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  <w:t>师宗县转移支付情况说明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</w:rPr>
        <w:t>一、20</w:t>
      </w:r>
      <w:r>
        <w:rPr>
          <w:rFonts w:hint="eastAsia" w:ascii="方正黑体_GBK" w:eastAsia="方正黑体_GBK"/>
          <w:b/>
          <w:sz w:val="32"/>
          <w:szCs w:val="32"/>
          <w:lang w:val="en-US" w:eastAsia="zh-CN"/>
        </w:rPr>
        <w:t>24</w:t>
      </w:r>
      <w:r>
        <w:rPr>
          <w:rFonts w:hint="eastAsia" w:ascii="方正黑体_GBK" w:eastAsia="方正黑体_GBK"/>
          <w:b/>
          <w:sz w:val="32"/>
          <w:szCs w:val="32"/>
        </w:rPr>
        <w:t>年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师宗县上级补助结算情况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Calibri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Calibri" w:eastAsia="方正仿宋_GBK" w:cs="Times New Roman"/>
          <w:sz w:val="32"/>
          <w:szCs w:val="32"/>
        </w:rPr>
        <w:t>年上级补助收入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207,185</w:t>
      </w:r>
      <w:r>
        <w:rPr>
          <w:rFonts w:hint="eastAsia" w:ascii="方正仿宋_GBK" w:hAnsi="Calibri" w:eastAsia="方正仿宋_GBK" w:cs="Times New Roman"/>
          <w:sz w:val="32"/>
          <w:szCs w:val="32"/>
        </w:rPr>
        <w:t>万元，其中：返还性收入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528.00</w:t>
      </w:r>
      <w:r>
        <w:rPr>
          <w:rFonts w:hint="eastAsia" w:ascii="方正仿宋_GBK" w:hAnsi="Calibri" w:eastAsia="方正仿宋_GBK" w:cs="Times New Roman"/>
          <w:sz w:val="32"/>
          <w:szCs w:val="32"/>
        </w:rPr>
        <w:t>万元、一般性转移支付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180,247</w:t>
      </w:r>
      <w:r>
        <w:rPr>
          <w:rFonts w:hint="eastAsia" w:ascii="方正仿宋_GBK" w:hAnsi="Calibri" w:eastAsia="方正仿宋_GBK" w:cs="Times New Roman"/>
          <w:sz w:val="32"/>
          <w:szCs w:val="32"/>
        </w:rPr>
        <w:t>万元、专项转移支付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26,410</w:t>
      </w:r>
      <w:r>
        <w:rPr>
          <w:rFonts w:hint="eastAsia" w:ascii="方正仿宋_GBK" w:hAnsi="Calibri" w:eastAsia="方正仿宋_GBK" w:cs="Times New Roman"/>
          <w:sz w:val="32"/>
          <w:szCs w:val="32"/>
        </w:rPr>
        <w:t>万元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。其中：一般公共服务支出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446万元；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国防支出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75.00万元；公共安全支出100.00万元；教育支出3,560.00万元；科学技术支出240.00万元；文化旅游体育与传媒21.00万元；社会保障和就业支出1,541.00万元；卫生健康460.00万元；</w:t>
      </w:r>
      <w: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  <w:t>节能环保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支出3,845.00万元；城乡社区支出635.00万元；</w:t>
      </w:r>
      <w: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  <w:t>农林水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支出11,206.00万元；交通运输1,327.00万元；金融支出2.00万元；自然资源海洋气象5.00万元；住房保障支出672.00万元；</w:t>
      </w:r>
      <w: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  <w:t>灾害防治及应急管理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支出2,275.00万元。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eastAsia="方正黑体_GBK"/>
          <w:b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b/>
          <w:sz w:val="32"/>
          <w:szCs w:val="32"/>
        </w:rPr>
        <w:t>、20</w:t>
      </w:r>
      <w:r>
        <w:rPr>
          <w:rFonts w:hint="eastAsia" w:ascii="方正黑体_GBK" w:eastAsia="方正黑体_GBK"/>
          <w:b/>
          <w:sz w:val="32"/>
          <w:szCs w:val="32"/>
          <w:lang w:val="en-US" w:eastAsia="zh-CN"/>
        </w:rPr>
        <w:t>25</w:t>
      </w:r>
      <w:r>
        <w:rPr>
          <w:rFonts w:hint="eastAsia" w:ascii="方正黑体_GBK" w:eastAsia="方正黑体_GBK"/>
          <w:b/>
          <w:sz w:val="32"/>
          <w:szCs w:val="32"/>
        </w:rPr>
        <w:t>年</w:t>
      </w:r>
      <w:r>
        <w:rPr>
          <w:rFonts w:hint="eastAsia" w:ascii="方正黑体_GBK" w:eastAsia="方正黑体_GBK"/>
          <w:b/>
          <w:sz w:val="32"/>
          <w:szCs w:val="32"/>
          <w:lang w:eastAsia="zh-CN"/>
        </w:rPr>
        <w:t>师宗县上级补助预算情况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2025年预算上级补助共200,528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</w:rPr>
        <w:t>其中：返还性收入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528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</w:rPr>
        <w:t>一般性转移支付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175,000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</w:rPr>
        <w:t>万元、专项转移支付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25,000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eastAsia="zh-CN"/>
        </w:rPr>
        <w:t>。其中：一般公共服务支出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万元；国防支出80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万元；公共安全支出100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万元；教育支出3,500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万元；科学技术支出150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.00万元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；文化旅游体育与传媒21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万元；社会保障和就业支出1,500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万元；卫生健康460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节能环保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支出3,800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万元；城乡社区支出600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农林水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支出9,500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万元；交通运输2,626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金融支出2.00万元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；自然资源海洋气象等5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万元；住房保障支出600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万元；灾害防治及应急管理支出1,656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.00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师宗县财政局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0986B4D"/>
    <w:rsid w:val="03970EF3"/>
    <w:rsid w:val="04BD58CA"/>
    <w:rsid w:val="07477756"/>
    <w:rsid w:val="0E8E4C15"/>
    <w:rsid w:val="109448A7"/>
    <w:rsid w:val="161B4D14"/>
    <w:rsid w:val="1708590C"/>
    <w:rsid w:val="20744939"/>
    <w:rsid w:val="28B526B6"/>
    <w:rsid w:val="2BD226AC"/>
    <w:rsid w:val="2E571C44"/>
    <w:rsid w:val="2FA13822"/>
    <w:rsid w:val="40B30D37"/>
    <w:rsid w:val="428542D2"/>
    <w:rsid w:val="45583147"/>
    <w:rsid w:val="4CC60DA1"/>
    <w:rsid w:val="53D36D3E"/>
    <w:rsid w:val="55927416"/>
    <w:rsid w:val="577B1898"/>
    <w:rsid w:val="59ED3713"/>
    <w:rsid w:val="5BD80CBB"/>
    <w:rsid w:val="5F1D7E18"/>
    <w:rsid w:val="7013358B"/>
    <w:rsid w:val="70206824"/>
    <w:rsid w:val="725B7F51"/>
    <w:rsid w:val="73A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609</Characters>
  <Lines>0</Lines>
  <Paragraphs>0</Paragraphs>
  <TotalTime>1</TotalTime>
  <ScaleCrop>false</ScaleCrop>
  <LinksUpToDate>false</LinksUpToDate>
  <CharactersWithSpaces>609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郑若愚</cp:lastModifiedBy>
  <dcterms:modified xsi:type="dcterms:W3CDTF">2025-07-04T03:01:43Z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AA49E551FCB8492692911A661FD3ED62_13</vt:lpwstr>
  </property>
  <property fmtid="{D5CDD505-2E9C-101B-9397-08002B2CF9AE}" pid="4" name="KSOTemplateDocerSaveRecord">
    <vt:lpwstr>eyJoZGlkIjoiYzVhNTVkZmE3ZmYxY2I4YTA4NDAxOWJhY2ZhYzRiOTAiLCJ1c2VySWQiOiIxMTQ1OTUxMzc5In0=</vt:lpwstr>
  </property>
</Properties>
</file>