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b w:val="0"/>
          <w:bCs w:val="0"/>
          <w:color w:val="auto"/>
          <w:kern w:val="2"/>
          <w:sz w:val="24"/>
          <w:szCs w:val="24"/>
          <w:lang w:val="zh-CN"/>
        </w:rPr>
        <w:id w:val="-1546603116"/>
        <w:docPartObj>
          <w:docPartGallery w:val="Table of Contents"/>
          <w:docPartUnique/>
        </w:docPartObj>
      </w:sdtPr>
      <w:sdtEndPr>
        <w:rPr>
          <w:rFonts w:ascii="Times New Roman" w:hAnsi="Times New Roman" w:eastAsia="宋体" w:cs="Times New Roman"/>
          <w:b w:val="0"/>
          <w:bCs w:val="0"/>
          <w:color w:val="auto"/>
          <w:kern w:val="2"/>
          <w:sz w:val="24"/>
          <w:szCs w:val="24"/>
          <w:lang w:val="zh-CN"/>
        </w:rPr>
      </w:sdtEndPr>
      <w:sdtContent>
        <w:p>
          <w:pPr>
            <w:pStyle w:val="90"/>
            <w:spacing w:line="360" w:lineRule="auto"/>
            <w:ind w:firstLine="480"/>
            <w:jc w:val="center"/>
            <w:rPr>
              <w:rFonts w:ascii="黑体" w:hAnsi="黑体" w:eastAsia="黑体"/>
              <w:color w:val="auto"/>
              <w:sz w:val="32"/>
              <w:szCs w:val="32"/>
            </w:rPr>
          </w:pPr>
          <w:bookmarkStart w:id="18" w:name="_GoBack"/>
          <w:bookmarkEnd w:id="18"/>
          <w:r>
            <w:rPr>
              <w:rFonts w:ascii="黑体" w:hAnsi="黑体" w:eastAsia="黑体"/>
              <w:color w:val="auto"/>
              <w:sz w:val="32"/>
              <w:szCs w:val="32"/>
              <w:lang w:val="zh-CN"/>
            </w:rPr>
            <w:t>目</w:t>
          </w:r>
          <w:r>
            <w:rPr>
              <w:rFonts w:hint="eastAsia" w:ascii="黑体" w:hAnsi="黑体" w:eastAsia="黑体"/>
              <w:color w:val="auto"/>
              <w:sz w:val="32"/>
              <w:szCs w:val="32"/>
              <w:lang w:val="zh-CN"/>
            </w:rPr>
            <w:t xml:space="preserve">  </w:t>
          </w:r>
          <w:r>
            <w:rPr>
              <w:rFonts w:ascii="黑体" w:hAnsi="黑体" w:eastAsia="黑体"/>
              <w:color w:val="auto"/>
              <w:sz w:val="32"/>
              <w:szCs w:val="32"/>
              <w:lang w:val="zh-CN"/>
            </w:rPr>
            <w:t>录</w:t>
          </w:r>
        </w:p>
        <w:p>
          <w:pPr>
            <w:pStyle w:val="17"/>
            <w:tabs>
              <w:tab w:val="right" w:leader="dot" w:pos="8834"/>
            </w:tabs>
            <w:ind w:firstLine="0" w:firstLineChars="0"/>
            <w:rPr>
              <w:rFonts w:asciiTheme="minorHAnsi" w:hAnsiTheme="minorHAnsi" w:eastAsiaTheme="minorEastAsia" w:cstheme="minorBidi"/>
              <w:color w:val="auto"/>
              <w:sz w:val="30"/>
              <w:szCs w:val="30"/>
            </w:rPr>
          </w:pPr>
          <w:r>
            <w:rPr>
              <w:rFonts w:asciiTheme="minorEastAsia" w:hAnsiTheme="minorEastAsia" w:eastAsiaTheme="minorEastAsia"/>
              <w:color w:val="auto"/>
              <w:sz w:val="30"/>
              <w:szCs w:val="30"/>
            </w:rPr>
            <w:fldChar w:fldCharType="begin"/>
          </w:r>
          <w:r>
            <w:rPr>
              <w:rFonts w:asciiTheme="minorEastAsia" w:hAnsiTheme="minorEastAsia" w:eastAsiaTheme="minorEastAsia"/>
              <w:color w:val="auto"/>
              <w:sz w:val="30"/>
              <w:szCs w:val="30"/>
            </w:rPr>
            <w:instrText xml:space="preserve"> TOC \o "1-3" \h \z \u </w:instrText>
          </w:r>
          <w:r>
            <w:rPr>
              <w:rFonts w:asciiTheme="minorEastAsia" w:hAnsiTheme="minorEastAsia" w:eastAsiaTheme="minorEastAsia"/>
              <w:color w:val="auto"/>
              <w:sz w:val="30"/>
              <w:szCs w:val="30"/>
            </w:rPr>
            <w:fldChar w:fldCharType="separate"/>
          </w:r>
          <w:r>
            <w:rPr>
              <w:color w:val="auto"/>
            </w:rPr>
            <w:fldChar w:fldCharType="begin"/>
          </w:r>
          <w:r>
            <w:rPr>
              <w:color w:val="auto"/>
            </w:rPr>
            <w:instrText xml:space="preserve"> HYPERLINK \l "_Toc103860793" </w:instrText>
          </w:r>
          <w:r>
            <w:rPr>
              <w:color w:val="auto"/>
            </w:rPr>
            <w:fldChar w:fldCharType="separate"/>
          </w:r>
          <w:r>
            <w:rPr>
              <w:rStyle w:val="32"/>
              <w:color w:val="auto"/>
              <w:sz w:val="30"/>
              <w:szCs w:val="30"/>
            </w:rPr>
            <w:t>一、建设项目基本情况</w:t>
          </w:r>
          <w:r>
            <w:rPr>
              <w:color w:val="auto"/>
              <w:sz w:val="30"/>
              <w:szCs w:val="30"/>
            </w:rPr>
            <w:tab/>
          </w:r>
          <w:r>
            <w:rPr>
              <w:color w:val="auto"/>
              <w:sz w:val="30"/>
              <w:szCs w:val="30"/>
            </w:rPr>
            <w:fldChar w:fldCharType="begin"/>
          </w:r>
          <w:r>
            <w:rPr>
              <w:color w:val="auto"/>
              <w:sz w:val="30"/>
              <w:szCs w:val="30"/>
            </w:rPr>
            <w:instrText xml:space="preserve"> PAGEREF _Toc103860793 \h </w:instrText>
          </w:r>
          <w:r>
            <w:rPr>
              <w:color w:val="auto"/>
              <w:sz w:val="30"/>
              <w:szCs w:val="30"/>
            </w:rPr>
            <w:fldChar w:fldCharType="separate"/>
          </w:r>
          <w:r>
            <w:rPr>
              <w:color w:val="auto"/>
              <w:sz w:val="30"/>
              <w:szCs w:val="30"/>
            </w:rPr>
            <w:t>1</w:t>
          </w:r>
          <w:r>
            <w:rPr>
              <w:color w:val="auto"/>
              <w:sz w:val="30"/>
              <w:szCs w:val="30"/>
            </w:rPr>
            <w:fldChar w:fldCharType="end"/>
          </w:r>
          <w:r>
            <w:rPr>
              <w:color w:val="auto"/>
              <w:sz w:val="30"/>
              <w:szCs w:val="30"/>
            </w:rPr>
            <w:fldChar w:fldCharType="end"/>
          </w:r>
        </w:p>
        <w:p>
          <w:pPr>
            <w:pStyle w:val="17"/>
            <w:tabs>
              <w:tab w:val="right" w:leader="dot" w:pos="8834"/>
            </w:tabs>
            <w:ind w:firstLine="0" w:firstLineChars="0"/>
            <w:rPr>
              <w:rFonts w:asciiTheme="minorHAnsi" w:hAnsiTheme="minorHAnsi" w:eastAsiaTheme="minorEastAsia" w:cstheme="minorBidi"/>
              <w:color w:val="auto"/>
              <w:sz w:val="30"/>
              <w:szCs w:val="30"/>
            </w:rPr>
          </w:pPr>
          <w:r>
            <w:rPr>
              <w:color w:val="auto"/>
            </w:rPr>
            <w:fldChar w:fldCharType="begin"/>
          </w:r>
          <w:r>
            <w:rPr>
              <w:color w:val="auto"/>
            </w:rPr>
            <w:instrText xml:space="preserve"> HYPERLINK \l "_Toc103860794" </w:instrText>
          </w:r>
          <w:r>
            <w:rPr>
              <w:color w:val="auto"/>
            </w:rPr>
            <w:fldChar w:fldCharType="separate"/>
          </w:r>
          <w:r>
            <w:rPr>
              <w:rStyle w:val="32"/>
              <w:color w:val="auto"/>
              <w:sz w:val="30"/>
              <w:szCs w:val="30"/>
            </w:rPr>
            <w:t>二、建设项目工程分析</w:t>
          </w:r>
          <w:r>
            <w:rPr>
              <w:color w:val="auto"/>
              <w:sz w:val="30"/>
              <w:szCs w:val="30"/>
            </w:rPr>
            <w:tab/>
          </w:r>
          <w:r>
            <w:rPr>
              <w:color w:val="auto"/>
              <w:sz w:val="30"/>
              <w:szCs w:val="30"/>
            </w:rPr>
            <w:fldChar w:fldCharType="begin"/>
          </w:r>
          <w:r>
            <w:rPr>
              <w:color w:val="auto"/>
              <w:sz w:val="30"/>
              <w:szCs w:val="30"/>
            </w:rPr>
            <w:instrText xml:space="preserve"> PAGEREF _Toc103860794 \h </w:instrText>
          </w:r>
          <w:r>
            <w:rPr>
              <w:color w:val="auto"/>
              <w:sz w:val="30"/>
              <w:szCs w:val="30"/>
            </w:rPr>
            <w:fldChar w:fldCharType="separate"/>
          </w:r>
          <w:r>
            <w:rPr>
              <w:color w:val="auto"/>
              <w:sz w:val="30"/>
              <w:szCs w:val="30"/>
            </w:rPr>
            <w:t>27</w:t>
          </w:r>
          <w:r>
            <w:rPr>
              <w:color w:val="auto"/>
              <w:sz w:val="30"/>
              <w:szCs w:val="30"/>
            </w:rPr>
            <w:fldChar w:fldCharType="end"/>
          </w:r>
          <w:r>
            <w:rPr>
              <w:color w:val="auto"/>
              <w:sz w:val="30"/>
              <w:szCs w:val="30"/>
            </w:rPr>
            <w:fldChar w:fldCharType="end"/>
          </w:r>
        </w:p>
        <w:p>
          <w:pPr>
            <w:pStyle w:val="17"/>
            <w:tabs>
              <w:tab w:val="right" w:leader="dot" w:pos="8834"/>
            </w:tabs>
            <w:ind w:firstLine="0" w:firstLineChars="0"/>
            <w:rPr>
              <w:rFonts w:asciiTheme="minorHAnsi" w:hAnsiTheme="minorHAnsi" w:eastAsiaTheme="minorEastAsia" w:cstheme="minorBidi"/>
              <w:color w:val="auto"/>
              <w:sz w:val="30"/>
              <w:szCs w:val="30"/>
            </w:rPr>
          </w:pPr>
          <w:r>
            <w:rPr>
              <w:color w:val="auto"/>
            </w:rPr>
            <w:fldChar w:fldCharType="begin"/>
          </w:r>
          <w:r>
            <w:rPr>
              <w:color w:val="auto"/>
            </w:rPr>
            <w:instrText xml:space="preserve"> HYPERLINK \l "_Toc103860795" </w:instrText>
          </w:r>
          <w:r>
            <w:rPr>
              <w:color w:val="auto"/>
            </w:rPr>
            <w:fldChar w:fldCharType="separate"/>
          </w:r>
          <w:r>
            <w:rPr>
              <w:rStyle w:val="32"/>
              <w:color w:val="auto"/>
              <w:sz w:val="30"/>
              <w:szCs w:val="30"/>
            </w:rPr>
            <w:t>三、区域环境质量现状、环境保护目标及评价标准</w:t>
          </w:r>
          <w:r>
            <w:rPr>
              <w:color w:val="auto"/>
              <w:sz w:val="30"/>
              <w:szCs w:val="30"/>
            </w:rPr>
            <w:tab/>
          </w:r>
          <w:r>
            <w:rPr>
              <w:color w:val="auto"/>
              <w:sz w:val="30"/>
              <w:szCs w:val="30"/>
            </w:rPr>
            <w:fldChar w:fldCharType="begin"/>
          </w:r>
          <w:r>
            <w:rPr>
              <w:color w:val="auto"/>
              <w:sz w:val="30"/>
              <w:szCs w:val="30"/>
            </w:rPr>
            <w:instrText xml:space="preserve"> PAGEREF _Toc103860795 \h </w:instrText>
          </w:r>
          <w:r>
            <w:rPr>
              <w:color w:val="auto"/>
              <w:sz w:val="30"/>
              <w:szCs w:val="30"/>
            </w:rPr>
            <w:fldChar w:fldCharType="separate"/>
          </w:r>
          <w:r>
            <w:rPr>
              <w:color w:val="auto"/>
              <w:sz w:val="30"/>
              <w:szCs w:val="30"/>
            </w:rPr>
            <w:t>42</w:t>
          </w:r>
          <w:r>
            <w:rPr>
              <w:color w:val="auto"/>
              <w:sz w:val="30"/>
              <w:szCs w:val="30"/>
            </w:rPr>
            <w:fldChar w:fldCharType="end"/>
          </w:r>
          <w:r>
            <w:rPr>
              <w:color w:val="auto"/>
              <w:sz w:val="30"/>
              <w:szCs w:val="30"/>
            </w:rPr>
            <w:fldChar w:fldCharType="end"/>
          </w:r>
        </w:p>
        <w:p>
          <w:pPr>
            <w:pStyle w:val="17"/>
            <w:tabs>
              <w:tab w:val="right" w:leader="dot" w:pos="8834"/>
            </w:tabs>
            <w:ind w:firstLine="0" w:firstLineChars="0"/>
            <w:rPr>
              <w:rFonts w:asciiTheme="minorHAnsi" w:hAnsiTheme="minorHAnsi" w:eastAsiaTheme="minorEastAsia" w:cstheme="minorBidi"/>
              <w:color w:val="auto"/>
              <w:sz w:val="30"/>
              <w:szCs w:val="30"/>
            </w:rPr>
          </w:pPr>
          <w:r>
            <w:rPr>
              <w:color w:val="auto"/>
            </w:rPr>
            <w:fldChar w:fldCharType="begin"/>
          </w:r>
          <w:r>
            <w:rPr>
              <w:color w:val="auto"/>
            </w:rPr>
            <w:instrText xml:space="preserve"> HYPERLINK \l "_Toc103860796" </w:instrText>
          </w:r>
          <w:r>
            <w:rPr>
              <w:color w:val="auto"/>
            </w:rPr>
            <w:fldChar w:fldCharType="separate"/>
          </w:r>
          <w:r>
            <w:rPr>
              <w:rStyle w:val="32"/>
              <w:color w:val="auto"/>
              <w:sz w:val="30"/>
              <w:szCs w:val="30"/>
            </w:rPr>
            <w:t>四、主要环境影响和保护措施</w:t>
          </w:r>
          <w:r>
            <w:rPr>
              <w:color w:val="auto"/>
              <w:sz w:val="30"/>
              <w:szCs w:val="30"/>
            </w:rPr>
            <w:tab/>
          </w:r>
          <w:r>
            <w:rPr>
              <w:color w:val="auto"/>
              <w:sz w:val="30"/>
              <w:szCs w:val="30"/>
            </w:rPr>
            <w:fldChar w:fldCharType="begin"/>
          </w:r>
          <w:r>
            <w:rPr>
              <w:color w:val="auto"/>
              <w:sz w:val="30"/>
              <w:szCs w:val="30"/>
            </w:rPr>
            <w:instrText xml:space="preserve"> PAGEREF _Toc103860796 \h </w:instrText>
          </w:r>
          <w:r>
            <w:rPr>
              <w:color w:val="auto"/>
              <w:sz w:val="30"/>
              <w:szCs w:val="30"/>
            </w:rPr>
            <w:fldChar w:fldCharType="separate"/>
          </w:r>
          <w:r>
            <w:rPr>
              <w:color w:val="auto"/>
              <w:sz w:val="30"/>
              <w:szCs w:val="30"/>
            </w:rPr>
            <w:t>49</w:t>
          </w:r>
          <w:r>
            <w:rPr>
              <w:color w:val="auto"/>
              <w:sz w:val="30"/>
              <w:szCs w:val="30"/>
            </w:rPr>
            <w:fldChar w:fldCharType="end"/>
          </w:r>
          <w:r>
            <w:rPr>
              <w:color w:val="auto"/>
              <w:sz w:val="30"/>
              <w:szCs w:val="30"/>
            </w:rPr>
            <w:fldChar w:fldCharType="end"/>
          </w:r>
        </w:p>
        <w:p>
          <w:pPr>
            <w:pStyle w:val="17"/>
            <w:tabs>
              <w:tab w:val="right" w:leader="dot" w:pos="8834"/>
            </w:tabs>
            <w:ind w:firstLine="0" w:firstLineChars="0"/>
            <w:rPr>
              <w:rFonts w:asciiTheme="minorHAnsi" w:hAnsiTheme="minorHAnsi" w:eastAsiaTheme="minorEastAsia" w:cstheme="minorBidi"/>
              <w:color w:val="auto"/>
              <w:sz w:val="30"/>
              <w:szCs w:val="30"/>
            </w:rPr>
          </w:pPr>
          <w:r>
            <w:rPr>
              <w:color w:val="auto"/>
            </w:rPr>
            <w:fldChar w:fldCharType="begin"/>
          </w:r>
          <w:r>
            <w:rPr>
              <w:color w:val="auto"/>
            </w:rPr>
            <w:instrText xml:space="preserve"> HYPERLINK \l "_Toc103860797" </w:instrText>
          </w:r>
          <w:r>
            <w:rPr>
              <w:color w:val="auto"/>
            </w:rPr>
            <w:fldChar w:fldCharType="separate"/>
          </w:r>
          <w:r>
            <w:rPr>
              <w:rStyle w:val="32"/>
              <w:color w:val="auto"/>
              <w:sz w:val="30"/>
              <w:szCs w:val="30"/>
            </w:rPr>
            <w:t>五、环境保护措施监督检查清单</w:t>
          </w:r>
          <w:r>
            <w:rPr>
              <w:color w:val="auto"/>
              <w:sz w:val="30"/>
              <w:szCs w:val="30"/>
            </w:rPr>
            <w:tab/>
          </w:r>
          <w:r>
            <w:rPr>
              <w:color w:val="auto"/>
              <w:sz w:val="30"/>
              <w:szCs w:val="30"/>
            </w:rPr>
            <w:fldChar w:fldCharType="begin"/>
          </w:r>
          <w:r>
            <w:rPr>
              <w:color w:val="auto"/>
              <w:sz w:val="30"/>
              <w:szCs w:val="30"/>
            </w:rPr>
            <w:instrText xml:space="preserve"> PAGEREF _Toc103860797 \h </w:instrText>
          </w:r>
          <w:r>
            <w:rPr>
              <w:color w:val="auto"/>
              <w:sz w:val="30"/>
              <w:szCs w:val="30"/>
            </w:rPr>
            <w:fldChar w:fldCharType="separate"/>
          </w:r>
          <w:r>
            <w:rPr>
              <w:color w:val="auto"/>
              <w:sz w:val="30"/>
              <w:szCs w:val="30"/>
            </w:rPr>
            <w:t>71</w:t>
          </w:r>
          <w:r>
            <w:rPr>
              <w:color w:val="auto"/>
              <w:sz w:val="30"/>
              <w:szCs w:val="30"/>
            </w:rPr>
            <w:fldChar w:fldCharType="end"/>
          </w:r>
          <w:r>
            <w:rPr>
              <w:color w:val="auto"/>
              <w:sz w:val="30"/>
              <w:szCs w:val="30"/>
            </w:rPr>
            <w:fldChar w:fldCharType="end"/>
          </w:r>
        </w:p>
        <w:p>
          <w:pPr>
            <w:pStyle w:val="17"/>
            <w:tabs>
              <w:tab w:val="right" w:leader="dot" w:pos="8834"/>
            </w:tabs>
            <w:ind w:firstLine="0" w:firstLineChars="0"/>
            <w:rPr>
              <w:rFonts w:asciiTheme="minorHAnsi" w:hAnsiTheme="minorHAnsi" w:eastAsiaTheme="minorEastAsia" w:cstheme="minorBidi"/>
              <w:color w:val="auto"/>
              <w:sz w:val="30"/>
              <w:szCs w:val="30"/>
            </w:rPr>
          </w:pPr>
          <w:r>
            <w:rPr>
              <w:color w:val="auto"/>
            </w:rPr>
            <w:fldChar w:fldCharType="begin"/>
          </w:r>
          <w:r>
            <w:rPr>
              <w:color w:val="auto"/>
            </w:rPr>
            <w:instrText xml:space="preserve"> HYPERLINK \l "_Toc103860798" </w:instrText>
          </w:r>
          <w:r>
            <w:rPr>
              <w:color w:val="auto"/>
            </w:rPr>
            <w:fldChar w:fldCharType="separate"/>
          </w:r>
          <w:r>
            <w:rPr>
              <w:rStyle w:val="32"/>
              <w:color w:val="auto"/>
              <w:sz w:val="30"/>
              <w:szCs w:val="30"/>
            </w:rPr>
            <w:t>六、结论</w:t>
          </w:r>
          <w:r>
            <w:rPr>
              <w:color w:val="auto"/>
              <w:sz w:val="30"/>
              <w:szCs w:val="30"/>
            </w:rPr>
            <w:tab/>
          </w:r>
          <w:r>
            <w:rPr>
              <w:color w:val="auto"/>
              <w:sz w:val="30"/>
              <w:szCs w:val="30"/>
            </w:rPr>
            <w:fldChar w:fldCharType="begin"/>
          </w:r>
          <w:r>
            <w:rPr>
              <w:color w:val="auto"/>
              <w:sz w:val="30"/>
              <w:szCs w:val="30"/>
            </w:rPr>
            <w:instrText xml:space="preserve"> PAGEREF _Toc103860798 \h </w:instrText>
          </w:r>
          <w:r>
            <w:rPr>
              <w:color w:val="auto"/>
              <w:sz w:val="30"/>
              <w:szCs w:val="30"/>
            </w:rPr>
            <w:fldChar w:fldCharType="separate"/>
          </w:r>
          <w:r>
            <w:rPr>
              <w:color w:val="auto"/>
              <w:sz w:val="30"/>
              <w:szCs w:val="30"/>
            </w:rPr>
            <w:t>73</w:t>
          </w:r>
          <w:r>
            <w:rPr>
              <w:color w:val="auto"/>
              <w:sz w:val="30"/>
              <w:szCs w:val="30"/>
            </w:rPr>
            <w:fldChar w:fldCharType="end"/>
          </w:r>
          <w:r>
            <w:rPr>
              <w:color w:val="auto"/>
              <w:sz w:val="30"/>
              <w:szCs w:val="30"/>
            </w:rPr>
            <w:fldChar w:fldCharType="end"/>
          </w:r>
        </w:p>
        <w:p>
          <w:pPr>
            <w:pStyle w:val="17"/>
            <w:tabs>
              <w:tab w:val="right" w:leader="dot" w:pos="8834"/>
            </w:tabs>
            <w:ind w:firstLine="0" w:firstLineChars="0"/>
            <w:rPr>
              <w:rFonts w:asciiTheme="minorHAnsi" w:hAnsiTheme="minorHAnsi" w:eastAsiaTheme="minorEastAsia" w:cstheme="minorBidi"/>
              <w:color w:val="auto"/>
              <w:sz w:val="30"/>
              <w:szCs w:val="30"/>
            </w:rPr>
          </w:pPr>
          <w:r>
            <w:rPr>
              <w:color w:val="auto"/>
            </w:rPr>
            <w:fldChar w:fldCharType="begin"/>
          </w:r>
          <w:r>
            <w:rPr>
              <w:color w:val="auto"/>
            </w:rPr>
            <w:instrText xml:space="preserve"> HYPERLINK \l "_Toc103860799" </w:instrText>
          </w:r>
          <w:r>
            <w:rPr>
              <w:color w:val="auto"/>
            </w:rPr>
            <w:fldChar w:fldCharType="separate"/>
          </w:r>
          <w:r>
            <w:rPr>
              <w:rStyle w:val="32"/>
              <w:color w:val="auto"/>
              <w:sz w:val="30"/>
              <w:szCs w:val="30"/>
            </w:rPr>
            <w:t>附表</w:t>
          </w:r>
          <w:r>
            <w:rPr>
              <w:color w:val="auto"/>
              <w:sz w:val="30"/>
              <w:szCs w:val="30"/>
            </w:rPr>
            <w:tab/>
          </w:r>
          <w:r>
            <w:rPr>
              <w:color w:val="auto"/>
              <w:sz w:val="30"/>
              <w:szCs w:val="30"/>
            </w:rPr>
            <w:fldChar w:fldCharType="begin"/>
          </w:r>
          <w:r>
            <w:rPr>
              <w:color w:val="auto"/>
              <w:sz w:val="30"/>
              <w:szCs w:val="30"/>
            </w:rPr>
            <w:instrText xml:space="preserve"> PAGEREF _Toc103860799 \h </w:instrText>
          </w:r>
          <w:r>
            <w:rPr>
              <w:color w:val="auto"/>
              <w:sz w:val="30"/>
              <w:szCs w:val="30"/>
            </w:rPr>
            <w:fldChar w:fldCharType="separate"/>
          </w:r>
          <w:r>
            <w:rPr>
              <w:color w:val="auto"/>
              <w:sz w:val="30"/>
              <w:szCs w:val="30"/>
            </w:rPr>
            <w:t>74</w:t>
          </w:r>
          <w:r>
            <w:rPr>
              <w:color w:val="auto"/>
              <w:sz w:val="30"/>
              <w:szCs w:val="30"/>
            </w:rPr>
            <w:fldChar w:fldCharType="end"/>
          </w:r>
          <w:r>
            <w:rPr>
              <w:color w:val="auto"/>
              <w:sz w:val="30"/>
              <w:szCs w:val="30"/>
            </w:rPr>
            <w:fldChar w:fldCharType="end"/>
          </w:r>
        </w:p>
        <w:p>
          <w:pPr>
            <w:pStyle w:val="17"/>
            <w:tabs>
              <w:tab w:val="right" w:leader="dot" w:pos="8834"/>
            </w:tabs>
            <w:ind w:firstLine="0" w:firstLineChars="0"/>
            <w:rPr>
              <w:rFonts w:asciiTheme="minorHAnsi" w:hAnsiTheme="minorHAnsi" w:eastAsiaTheme="minorEastAsia" w:cstheme="minorBidi"/>
              <w:color w:val="auto"/>
              <w:sz w:val="30"/>
              <w:szCs w:val="30"/>
            </w:rPr>
          </w:pPr>
          <w:r>
            <w:rPr>
              <w:color w:val="auto"/>
            </w:rPr>
            <w:fldChar w:fldCharType="begin"/>
          </w:r>
          <w:r>
            <w:rPr>
              <w:color w:val="auto"/>
            </w:rPr>
            <w:instrText xml:space="preserve"> HYPERLINK \l "_Toc103860800" </w:instrText>
          </w:r>
          <w:r>
            <w:rPr>
              <w:color w:val="auto"/>
            </w:rPr>
            <w:fldChar w:fldCharType="separate"/>
          </w:r>
          <w:r>
            <w:rPr>
              <w:rStyle w:val="32"/>
              <w:color w:val="auto"/>
              <w:sz w:val="30"/>
              <w:szCs w:val="30"/>
            </w:rPr>
            <w:t>建设项目污染物排放量汇总表</w:t>
          </w:r>
          <w:r>
            <w:rPr>
              <w:color w:val="auto"/>
              <w:sz w:val="30"/>
              <w:szCs w:val="30"/>
            </w:rPr>
            <w:tab/>
          </w:r>
          <w:r>
            <w:rPr>
              <w:color w:val="auto"/>
              <w:sz w:val="30"/>
              <w:szCs w:val="30"/>
            </w:rPr>
            <w:fldChar w:fldCharType="begin"/>
          </w:r>
          <w:r>
            <w:rPr>
              <w:color w:val="auto"/>
              <w:sz w:val="30"/>
              <w:szCs w:val="30"/>
            </w:rPr>
            <w:instrText xml:space="preserve"> PAGEREF _Toc103860800 \h </w:instrText>
          </w:r>
          <w:r>
            <w:rPr>
              <w:color w:val="auto"/>
              <w:sz w:val="30"/>
              <w:szCs w:val="30"/>
            </w:rPr>
            <w:fldChar w:fldCharType="separate"/>
          </w:r>
          <w:r>
            <w:rPr>
              <w:color w:val="auto"/>
              <w:sz w:val="30"/>
              <w:szCs w:val="30"/>
            </w:rPr>
            <w:t>74</w:t>
          </w:r>
          <w:r>
            <w:rPr>
              <w:color w:val="auto"/>
              <w:sz w:val="30"/>
              <w:szCs w:val="30"/>
            </w:rPr>
            <w:fldChar w:fldCharType="end"/>
          </w:r>
          <w:r>
            <w:rPr>
              <w:color w:val="auto"/>
              <w:sz w:val="30"/>
              <w:szCs w:val="30"/>
            </w:rPr>
            <w:fldChar w:fldCharType="end"/>
          </w:r>
        </w:p>
        <w:p>
          <w:pPr>
            <w:wordWrap/>
            <w:ind w:firstLine="0" w:firstLineChars="0"/>
            <w:rPr>
              <w:rFonts w:asciiTheme="minorEastAsia" w:hAnsiTheme="minorEastAsia" w:eastAsiaTheme="minorEastAsia"/>
              <w:b/>
              <w:bCs/>
              <w:color w:val="auto"/>
              <w:sz w:val="32"/>
              <w:szCs w:val="32"/>
              <w:lang w:val="zh-CN"/>
            </w:rPr>
          </w:pPr>
          <w:r>
            <w:rPr>
              <w:rFonts w:asciiTheme="minorEastAsia" w:hAnsiTheme="minorEastAsia" w:eastAsiaTheme="minorEastAsia"/>
              <w:b/>
              <w:bCs/>
              <w:color w:val="auto"/>
              <w:sz w:val="30"/>
              <w:szCs w:val="30"/>
              <w:lang w:val="zh-CN"/>
            </w:rPr>
            <w:fldChar w:fldCharType="end"/>
          </w:r>
        </w:p>
        <w:p>
          <w:pPr>
            <w:wordWrap/>
            <w:ind w:firstLine="0" w:firstLineChars="0"/>
            <w:rPr>
              <w:rFonts w:asciiTheme="minorEastAsia" w:hAnsiTheme="minorEastAsia" w:eastAsiaTheme="minorEastAsia"/>
              <w:b/>
              <w:bCs/>
              <w:color w:val="auto"/>
              <w:sz w:val="32"/>
              <w:szCs w:val="32"/>
              <w:lang w:val="zh-CN"/>
            </w:rPr>
          </w:pPr>
        </w:p>
        <w:p>
          <w:pPr>
            <w:wordWrap/>
            <w:ind w:firstLine="0" w:firstLineChars="0"/>
            <w:rPr>
              <w:rFonts w:asciiTheme="minorEastAsia" w:hAnsiTheme="minorEastAsia" w:eastAsiaTheme="minorEastAsia"/>
              <w:b/>
              <w:bCs/>
              <w:color w:val="auto"/>
              <w:sz w:val="32"/>
              <w:szCs w:val="32"/>
              <w:lang w:val="zh-CN"/>
            </w:rPr>
          </w:pPr>
        </w:p>
        <w:p>
          <w:pPr>
            <w:wordWrap/>
            <w:ind w:firstLine="0" w:firstLineChars="0"/>
            <w:rPr>
              <w:rFonts w:asciiTheme="minorEastAsia" w:hAnsiTheme="minorEastAsia" w:eastAsiaTheme="minorEastAsia"/>
              <w:b/>
              <w:bCs/>
              <w:color w:val="auto"/>
              <w:sz w:val="32"/>
              <w:szCs w:val="32"/>
              <w:lang w:val="zh-CN"/>
            </w:rPr>
          </w:pPr>
        </w:p>
        <w:p>
          <w:pPr>
            <w:wordWrap/>
            <w:ind w:firstLine="0" w:firstLineChars="0"/>
            <w:rPr>
              <w:rFonts w:asciiTheme="minorEastAsia" w:hAnsiTheme="minorEastAsia" w:eastAsiaTheme="minorEastAsia"/>
              <w:b/>
              <w:bCs/>
              <w:color w:val="auto"/>
              <w:sz w:val="32"/>
              <w:szCs w:val="32"/>
              <w:lang w:val="zh-CN"/>
            </w:rPr>
          </w:pPr>
        </w:p>
        <w:p>
          <w:pPr>
            <w:wordWrap/>
            <w:ind w:firstLine="0" w:firstLineChars="0"/>
            <w:rPr>
              <w:rFonts w:asciiTheme="minorEastAsia" w:hAnsiTheme="minorEastAsia" w:eastAsiaTheme="minorEastAsia"/>
              <w:b/>
              <w:bCs/>
              <w:color w:val="auto"/>
              <w:sz w:val="32"/>
              <w:szCs w:val="32"/>
              <w:lang w:val="zh-CN"/>
            </w:rPr>
          </w:pPr>
        </w:p>
        <w:p>
          <w:pPr>
            <w:wordWrap/>
            <w:ind w:firstLine="0" w:firstLineChars="0"/>
            <w:rPr>
              <w:rFonts w:asciiTheme="minorEastAsia" w:hAnsiTheme="minorEastAsia" w:eastAsiaTheme="minorEastAsia"/>
              <w:b/>
              <w:bCs/>
              <w:color w:val="auto"/>
              <w:sz w:val="32"/>
              <w:szCs w:val="32"/>
              <w:lang w:val="zh-CN"/>
            </w:rPr>
          </w:pPr>
        </w:p>
        <w:p>
          <w:pPr>
            <w:wordWrap/>
            <w:ind w:firstLine="0" w:firstLineChars="0"/>
            <w:rPr>
              <w:rFonts w:asciiTheme="minorEastAsia" w:hAnsiTheme="minorEastAsia" w:eastAsiaTheme="minorEastAsia"/>
              <w:b/>
              <w:bCs/>
              <w:color w:val="auto"/>
              <w:sz w:val="32"/>
              <w:szCs w:val="32"/>
              <w:lang w:val="zh-CN"/>
            </w:rPr>
          </w:pPr>
        </w:p>
        <w:p>
          <w:pPr>
            <w:wordWrap/>
            <w:ind w:firstLine="0" w:firstLineChars="0"/>
            <w:rPr>
              <w:rFonts w:asciiTheme="minorEastAsia" w:hAnsiTheme="minorEastAsia" w:eastAsiaTheme="minorEastAsia"/>
              <w:b/>
              <w:bCs/>
              <w:color w:val="auto"/>
              <w:sz w:val="32"/>
              <w:szCs w:val="32"/>
              <w:lang w:val="zh-CN"/>
            </w:rPr>
          </w:pPr>
        </w:p>
        <w:p>
          <w:pPr>
            <w:wordWrap/>
            <w:ind w:firstLine="0" w:firstLineChars="0"/>
            <w:rPr>
              <w:rFonts w:asciiTheme="minorEastAsia" w:hAnsiTheme="minorEastAsia" w:eastAsiaTheme="minorEastAsia"/>
              <w:b/>
              <w:bCs/>
              <w:color w:val="auto"/>
              <w:sz w:val="32"/>
              <w:szCs w:val="32"/>
              <w:lang w:val="zh-CN"/>
            </w:rPr>
          </w:pPr>
        </w:p>
        <w:p>
          <w:pPr>
            <w:wordWrap/>
            <w:ind w:firstLine="0" w:firstLineChars="0"/>
            <w:rPr>
              <w:rFonts w:asciiTheme="minorEastAsia" w:hAnsiTheme="minorEastAsia" w:eastAsiaTheme="minorEastAsia"/>
              <w:b/>
              <w:bCs/>
              <w:color w:val="auto"/>
              <w:sz w:val="32"/>
              <w:szCs w:val="32"/>
              <w:lang w:val="zh-CN"/>
            </w:rPr>
          </w:pPr>
        </w:p>
        <w:p>
          <w:pPr>
            <w:wordWrap/>
            <w:ind w:firstLine="0" w:firstLineChars="0"/>
            <w:rPr>
              <w:rFonts w:asciiTheme="minorEastAsia" w:hAnsiTheme="minorEastAsia" w:eastAsiaTheme="minorEastAsia"/>
              <w:b/>
              <w:bCs/>
              <w:color w:val="auto"/>
              <w:sz w:val="32"/>
              <w:szCs w:val="32"/>
              <w:lang w:val="zh-CN"/>
            </w:rPr>
          </w:pPr>
        </w:p>
        <w:p>
          <w:pPr>
            <w:wordWrap/>
            <w:ind w:firstLine="0" w:firstLineChars="0"/>
            <w:rPr>
              <w:rFonts w:asciiTheme="minorEastAsia" w:hAnsiTheme="minorEastAsia" w:eastAsiaTheme="minorEastAsia"/>
              <w:b/>
              <w:bCs/>
              <w:color w:val="auto"/>
              <w:sz w:val="32"/>
              <w:szCs w:val="32"/>
              <w:lang w:val="zh-CN"/>
            </w:rPr>
          </w:pPr>
          <w:r>
            <w:rPr>
              <w:rFonts w:asciiTheme="minorEastAsia" w:hAnsiTheme="minorEastAsia" w:eastAsiaTheme="minorEastAsia"/>
              <w:b/>
              <w:bCs/>
              <w:color w:val="auto"/>
              <w:sz w:val="32"/>
              <w:szCs w:val="32"/>
              <w:lang w:val="zh-CN"/>
            </w:rPr>
            <w:t>附件</w:t>
          </w:r>
        </w:p>
        <w:p>
          <w:pPr>
            <w:ind w:firstLine="480"/>
            <w:rPr>
              <w:color w:val="auto"/>
              <w:lang w:val="zh-CN"/>
            </w:rPr>
          </w:pPr>
          <w:r>
            <w:rPr>
              <w:rFonts w:hint="eastAsia"/>
              <w:color w:val="auto"/>
              <w:lang w:val="zh-CN"/>
            </w:rPr>
            <w:t>附件1</w:t>
          </w:r>
          <w:r>
            <w:rPr>
              <w:color w:val="auto"/>
              <w:lang w:val="zh-CN"/>
            </w:rPr>
            <w:t xml:space="preserve">  </w:t>
          </w:r>
          <w:r>
            <w:rPr>
              <w:rFonts w:hint="eastAsia"/>
              <w:color w:val="auto"/>
              <w:lang w:val="zh-CN"/>
            </w:rPr>
            <w:t>委托书</w:t>
          </w:r>
        </w:p>
        <w:p>
          <w:pPr>
            <w:ind w:firstLine="480"/>
            <w:rPr>
              <w:color w:val="auto"/>
              <w:lang w:val="zh-CN"/>
            </w:rPr>
          </w:pPr>
          <w:r>
            <w:rPr>
              <w:rFonts w:hint="eastAsia"/>
              <w:color w:val="auto"/>
              <w:lang w:val="zh-CN"/>
            </w:rPr>
            <w:t>附件2</w:t>
          </w:r>
          <w:r>
            <w:rPr>
              <w:color w:val="auto"/>
              <w:lang w:val="zh-CN"/>
            </w:rPr>
            <w:t xml:space="preserve">  </w:t>
          </w:r>
          <w:r>
            <w:rPr>
              <w:rFonts w:hint="eastAsia"/>
              <w:color w:val="auto"/>
              <w:lang w:val="zh-CN"/>
            </w:rPr>
            <w:t>投资项目备案证</w:t>
          </w:r>
        </w:p>
        <w:p>
          <w:pPr>
            <w:ind w:firstLine="480"/>
            <w:rPr>
              <w:color w:val="auto"/>
              <w:lang w:val="zh-CN"/>
            </w:rPr>
          </w:pPr>
          <w:r>
            <w:rPr>
              <w:rFonts w:hint="eastAsia"/>
              <w:color w:val="auto"/>
              <w:lang w:val="zh-CN"/>
            </w:rPr>
            <w:t>附件3</w:t>
          </w:r>
          <w:r>
            <w:rPr>
              <w:color w:val="auto"/>
              <w:lang w:val="zh-CN"/>
            </w:rPr>
            <w:t xml:space="preserve">  </w:t>
          </w:r>
          <w:r>
            <w:rPr>
              <w:rFonts w:hint="eastAsia"/>
              <w:color w:val="auto"/>
              <w:lang w:val="zh-CN"/>
            </w:rPr>
            <w:t>全厂现有项目、在建项目环评批复</w:t>
          </w:r>
        </w:p>
        <w:p>
          <w:pPr>
            <w:ind w:firstLine="480"/>
            <w:rPr>
              <w:color w:val="auto"/>
              <w:lang w:val="zh-CN"/>
            </w:rPr>
          </w:pPr>
          <w:r>
            <w:rPr>
              <w:rFonts w:hint="eastAsia"/>
              <w:color w:val="auto"/>
              <w:lang w:val="zh-CN"/>
            </w:rPr>
            <w:t>附件4</w:t>
          </w:r>
          <w:r>
            <w:rPr>
              <w:color w:val="auto"/>
              <w:lang w:val="zh-CN"/>
            </w:rPr>
            <w:t xml:space="preserve">  </w:t>
          </w:r>
          <w:r>
            <w:rPr>
              <w:rFonts w:hint="eastAsia"/>
              <w:color w:val="auto"/>
              <w:lang w:val="zh-CN"/>
            </w:rPr>
            <w:t>全厂现有项目验收意见</w:t>
          </w:r>
        </w:p>
        <w:p>
          <w:pPr>
            <w:ind w:firstLine="480"/>
            <w:rPr>
              <w:color w:val="auto"/>
              <w:lang w:val="zh-CN"/>
            </w:rPr>
          </w:pPr>
          <w:r>
            <w:rPr>
              <w:rFonts w:hint="eastAsia"/>
              <w:color w:val="auto"/>
              <w:lang w:val="zh-CN"/>
            </w:rPr>
            <w:t>附件5</w:t>
          </w:r>
          <w:r>
            <w:rPr>
              <w:color w:val="auto"/>
              <w:lang w:val="zh-CN"/>
            </w:rPr>
            <w:t xml:space="preserve">  </w:t>
          </w:r>
          <w:r>
            <w:rPr>
              <w:rFonts w:hint="eastAsia"/>
              <w:color w:val="auto"/>
              <w:lang w:val="zh-CN"/>
            </w:rPr>
            <w:t>危险废物处置协议</w:t>
          </w:r>
        </w:p>
        <w:p>
          <w:pPr>
            <w:ind w:firstLine="480"/>
            <w:rPr>
              <w:color w:val="auto"/>
              <w:lang w:val="zh-CN"/>
            </w:rPr>
          </w:pPr>
          <w:r>
            <w:rPr>
              <w:rFonts w:hint="eastAsia"/>
              <w:color w:val="auto"/>
              <w:lang w:val="zh-CN"/>
            </w:rPr>
            <w:t>附件6</w:t>
          </w:r>
          <w:r>
            <w:rPr>
              <w:color w:val="auto"/>
              <w:lang w:val="zh-CN"/>
            </w:rPr>
            <w:t xml:space="preserve">  </w:t>
          </w:r>
          <w:r>
            <w:rPr>
              <w:rFonts w:hint="eastAsia"/>
              <w:color w:val="auto"/>
              <w:lang w:val="zh-CN"/>
            </w:rPr>
            <w:t>排污许可证正本</w:t>
          </w:r>
        </w:p>
        <w:p>
          <w:pPr>
            <w:ind w:firstLine="480"/>
            <w:rPr>
              <w:color w:val="auto"/>
              <w:lang w:val="zh-CN"/>
            </w:rPr>
          </w:pPr>
          <w:r>
            <w:rPr>
              <w:rFonts w:hint="eastAsia"/>
              <w:color w:val="auto"/>
              <w:lang w:val="zh-CN"/>
            </w:rPr>
            <w:t>附件7</w:t>
          </w:r>
          <w:r>
            <w:rPr>
              <w:color w:val="auto"/>
              <w:lang w:val="zh-CN"/>
            </w:rPr>
            <w:t xml:space="preserve">  </w:t>
          </w:r>
          <w:r>
            <w:rPr>
              <w:rFonts w:hint="eastAsia"/>
              <w:color w:val="auto"/>
              <w:lang w:val="zh-CN"/>
            </w:rPr>
            <w:t>2022、2023年自行监测报告</w:t>
          </w:r>
        </w:p>
        <w:p>
          <w:pPr>
            <w:ind w:firstLine="480"/>
            <w:rPr>
              <w:color w:val="auto"/>
              <w:lang w:val="zh-CN"/>
            </w:rPr>
          </w:pPr>
          <w:r>
            <w:rPr>
              <w:rFonts w:hint="eastAsia"/>
              <w:color w:val="auto"/>
              <w:lang w:val="zh-CN"/>
            </w:rPr>
            <w:t>附件8</w:t>
          </w:r>
          <w:r>
            <w:rPr>
              <w:color w:val="auto"/>
              <w:lang w:val="zh-CN"/>
            </w:rPr>
            <w:t xml:space="preserve">  </w:t>
          </w:r>
          <w:r>
            <w:rPr>
              <w:rFonts w:hint="eastAsia"/>
              <w:color w:val="auto"/>
              <w:lang w:val="zh-CN"/>
            </w:rPr>
            <w:t>天然气气质报告</w:t>
          </w:r>
        </w:p>
        <w:p>
          <w:pPr>
            <w:ind w:firstLine="480"/>
            <w:rPr>
              <w:color w:val="auto"/>
              <w:lang w:val="zh-CN"/>
            </w:rPr>
          </w:pPr>
          <w:r>
            <w:rPr>
              <w:rFonts w:hint="eastAsia"/>
              <w:color w:val="auto"/>
              <w:lang w:val="zh-CN"/>
            </w:rPr>
            <w:t>附件</w:t>
          </w:r>
          <w:r>
            <w:rPr>
              <w:color w:val="auto"/>
              <w:lang w:val="zh-CN"/>
            </w:rPr>
            <w:t xml:space="preserve">9  </w:t>
          </w:r>
          <w:r>
            <w:rPr>
              <w:rFonts w:hint="eastAsia"/>
              <w:color w:val="auto"/>
              <w:lang w:val="zh-CN"/>
            </w:rPr>
            <w:t>规划环评审查意见的函及审查意见</w:t>
          </w:r>
        </w:p>
        <w:p>
          <w:pPr>
            <w:ind w:firstLine="480"/>
            <w:rPr>
              <w:color w:val="auto"/>
              <w:lang w:val="zh-CN"/>
            </w:rPr>
          </w:pPr>
          <w:r>
            <w:rPr>
              <w:rFonts w:hint="eastAsia"/>
              <w:color w:val="auto"/>
              <w:lang w:val="zh-CN"/>
            </w:rPr>
            <w:t>附件</w:t>
          </w:r>
          <w:r>
            <w:rPr>
              <w:color w:val="auto"/>
              <w:lang w:val="zh-CN"/>
            </w:rPr>
            <w:t xml:space="preserve">10  </w:t>
          </w:r>
          <w:r>
            <w:rPr>
              <w:rFonts w:hint="eastAsia"/>
              <w:color w:val="auto"/>
              <w:lang w:val="zh-CN"/>
            </w:rPr>
            <w:t>内部审核表</w:t>
          </w:r>
        </w:p>
        <w:p>
          <w:pPr>
            <w:ind w:firstLine="480"/>
            <w:rPr>
              <w:color w:val="auto"/>
              <w:lang w:val="zh-CN"/>
            </w:rPr>
          </w:pPr>
          <w:r>
            <w:rPr>
              <w:rFonts w:hint="eastAsia"/>
              <w:color w:val="auto"/>
              <w:lang w:val="zh-CN"/>
            </w:rPr>
            <w:t>附件</w:t>
          </w:r>
          <w:r>
            <w:rPr>
              <w:color w:val="auto"/>
              <w:lang w:val="zh-CN"/>
            </w:rPr>
            <w:t xml:space="preserve">11  </w:t>
          </w:r>
          <w:r>
            <w:rPr>
              <w:rFonts w:hint="eastAsia"/>
              <w:color w:val="auto"/>
              <w:lang w:val="zh-CN"/>
            </w:rPr>
            <w:t>进度管理表</w:t>
          </w:r>
        </w:p>
        <w:p>
          <w:pPr>
            <w:ind w:firstLine="480"/>
            <w:rPr>
              <w:color w:val="auto"/>
              <w:lang w:val="zh-CN"/>
            </w:rPr>
          </w:pPr>
          <w:r>
            <w:rPr>
              <w:rFonts w:hint="eastAsia"/>
              <w:color w:val="auto"/>
              <w:lang w:val="zh-CN"/>
            </w:rPr>
            <w:t>附件1</w:t>
          </w:r>
          <w:r>
            <w:rPr>
              <w:color w:val="auto"/>
              <w:lang w:val="zh-CN"/>
            </w:rPr>
            <w:t xml:space="preserve">2  </w:t>
          </w:r>
          <w:r>
            <w:rPr>
              <w:rFonts w:hint="eastAsia"/>
              <w:color w:val="auto"/>
              <w:lang w:val="zh-CN"/>
            </w:rPr>
            <w:t>确认书</w:t>
          </w:r>
        </w:p>
        <w:p>
          <w:pPr>
            <w:wordWrap/>
            <w:ind w:firstLine="0" w:firstLineChars="0"/>
            <w:rPr>
              <w:rFonts w:asciiTheme="minorEastAsia" w:hAnsiTheme="minorEastAsia" w:eastAsiaTheme="minorEastAsia"/>
              <w:b/>
              <w:bCs/>
              <w:color w:val="auto"/>
              <w:sz w:val="32"/>
              <w:szCs w:val="32"/>
              <w:lang w:val="zh-CN"/>
            </w:rPr>
          </w:pPr>
          <w:r>
            <w:rPr>
              <w:rFonts w:hint="eastAsia" w:asciiTheme="minorEastAsia" w:hAnsiTheme="minorEastAsia" w:eastAsiaTheme="minorEastAsia"/>
              <w:b/>
              <w:bCs/>
              <w:color w:val="auto"/>
              <w:sz w:val="32"/>
              <w:szCs w:val="32"/>
              <w:lang w:val="zh-CN"/>
            </w:rPr>
            <w:t>附图</w:t>
          </w:r>
        </w:p>
        <w:p>
          <w:pPr>
            <w:wordWrap/>
            <w:ind w:firstLine="480"/>
            <w:rPr>
              <w:color w:val="auto"/>
            </w:rPr>
          </w:pPr>
          <w:r>
            <w:rPr>
              <w:rFonts w:hint="eastAsia"/>
              <w:color w:val="auto"/>
            </w:rPr>
            <w:t xml:space="preserve">附图1 </w:t>
          </w:r>
          <w:r>
            <w:rPr>
              <w:color w:val="auto"/>
            </w:rPr>
            <w:t xml:space="preserve"> </w:t>
          </w:r>
          <w:r>
            <w:rPr>
              <w:rFonts w:hint="eastAsia"/>
              <w:color w:val="auto"/>
            </w:rPr>
            <w:t>项目区地理位置图</w:t>
          </w:r>
        </w:p>
        <w:p>
          <w:pPr>
            <w:wordWrap/>
            <w:ind w:firstLine="480"/>
            <w:rPr>
              <w:color w:val="auto"/>
            </w:rPr>
          </w:pPr>
          <w:r>
            <w:rPr>
              <w:rFonts w:hint="eastAsia"/>
              <w:color w:val="auto"/>
            </w:rPr>
            <w:t xml:space="preserve">附图2 </w:t>
          </w:r>
          <w:r>
            <w:rPr>
              <w:color w:val="auto"/>
            </w:rPr>
            <w:t xml:space="preserve"> </w:t>
          </w:r>
          <w:r>
            <w:rPr>
              <w:rFonts w:hint="eastAsia"/>
              <w:color w:val="auto"/>
            </w:rPr>
            <w:t>项目区水系图</w:t>
          </w:r>
        </w:p>
        <w:p>
          <w:pPr>
            <w:wordWrap/>
            <w:ind w:firstLine="480"/>
            <w:rPr>
              <w:color w:val="auto"/>
            </w:rPr>
          </w:pPr>
          <w:r>
            <w:rPr>
              <w:rFonts w:hint="eastAsia"/>
              <w:color w:val="auto"/>
            </w:rPr>
            <w:t>附图3  项目周边关系图</w:t>
          </w:r>
        </w:p>
        <w:p>
          <w:pPr>
            <w:wordWrap/>
            <w:ind w:firstLine="480"/>
            <w:rPr>
              <w:color w:val="auto"/>
            </w:rPr>
          </w:pPr>
          <w:r>
            <w:rPr>
              <w:rFonts w:hint="eastAsia"/>
              <w:color w:val="auto"/>
            </w:rPr>
            <w:t xml:space="preserve">附图4 </w:t>
          </w:r>
          <w:r>
            <w:rPr>
              <w:color w:val="auto"/>
            </w:rPr>
            <w:t xml:space="preserve"> </w:t>
          </w:r>
          <w:r>
            <w:rPr>
              <w:rFonts w:hint="eastAsia"/>
              <w:color w:val="auto"/>
            </w:rPr>
            <w:t>全厂位置关系图</w:t>
          </w:r>
        </w:p>
        <w:p>
          <w:pPr>
            <w:wordWrap/>
            <w:ind w:firstLine="480"/>
            <w:rPr>
              <w:rFonts w:hint="eastAsia" w:eastAsia="宋体"/>
              <w:color w:val="auto"/>
              <w:lang w:eastAsia="zh-CN"/>
            </w:rPr>
          </w:pPr>
          <w:r>
            <w:rPr>
              <w:rFonts w:hint="eastAsia"/>
              <w:color w:val="auto"/>
            </w:rPr>
            <w:t>附图5</w:t>
          </w:r>
          <w:r>
            <w:rPr>
              <w:color w:val="auto"/>
            </w:rPr>
            <w:t xml:space="preserve"> </w:t>
          </w:r>
          <w:r>
            <w:rPr>
              <w:rFonts w:hint="eastAsia"/>
              <w:color w:val="auto"/>
            </w:rPr>
            <w:t xml:space="preserve"> 本次技改</w:t>
          </w:r>
          <w:r>
            <w:rPr>
              <w:rFonts w:hint="eastAsia"/>
              <w:color w:val="auto"/>
              <w:lang w:eastAsia="zh-CN"/>
            </w:rPr>
            <w:t>总平面图</w:t>
          </w:r>
        </w:p>
        <w:p>
          <w:pPr>
            <w:wordWrap/>
            <w:ind w:firstLine="480"/>
            <w:rPr>
              <w:color w:val="auto"/>
            </w:rPr>
          </w:pPr>
          <w:r>
            <w:rPr>
              <w:rFonts w:hint="eastAsia"/>
              <w:color w:val="auto"/>
            </w:rPr>
            <w:t>附图6</w:t>
          </w:r>
          <w:r>
            <w:rPr>
              <w:color w:val="auto"/>
            </w:rPr>
            <w:t xml:space="preserve">  </w:t>
          </w:r>
          <w:r>
            <w:rPr>
              <w:rFonts w:hint="eastAsia"/>
              <w:color w:val="auto"/>
            </w:rPr>
            <w:t>大同片区功能分区图</w:t>
          </w:r>
        </w:p>
        <w:p>
          <w:pPr>
            <w:wordWrap/>
            <w:ind w:firstLine="480"/>
            <w:rPr>
              <w:color w:val="auto"/>
            </w:rPr>
          </w:pPr>
        </w:p>
      </w:sdtContent>
    </w:sdt>
    <w:p>
      <w:pPr>
        <w:adjustRightInd w:val="0"/>
        <w:snapToGrid w:val="0"/>
        <w:spacing w:line="288" w:lineRule="auto"/>
        <w:ind w:firstLine="0" w:firstLineChars="0"/>
        <w:rPr>
          <w:rFonts w:ascii="仿宋_GB2312" w:eastAsia="仿宋_GB2312"/>
          <w:color w:val="auto"/>
          <w:sz w:val="36"/>
          <w:szCs w:val="36"/>
        </w:rPr>
      </w:pPr>
    </w:p>
    <w:p>
      <w:pPr>
        <w:adjustRightInd w:val="0"/>
        <w:snapToGrid w:val="0"/>
        <w:spacing w:line="288" w:lineRule="auto"/>
        <w:ind w:firstLine="0" w:firstLineChars="0"/>
        <w:rPr>
          <w:rFonts w:ascii="仿宋_GB2312" w:eastAsia="仿宋_GB2312"/>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fmt="lowerRoman" w:start="1"/>
          <w:cols w:space="720" w:num="1"/>
          <w:docGrid w:linePitch="312" w:charSpace="0"/>
        </w:sectPr>
      </w:pPr>
    </w:p>
    <w:p>
      <w:pPr>
        <w:pStyle w:val="118"/>
        <w:rPr>
          <w:color w:val="auto"/>
        </w:rPr>
      </w:pPr>
      <w:bookmarkStart w:id="0" w:name="_Toc103860793"/>
      <w:r>
        <w:rPr>
          <w:rFonts w:hint="eastAsia"/>
          <w:color w:val="auto"/>
        </w:rPr>
        <w:t>一、建设项目基本情况</w:t>
      </w:r>
      <w:bookmarkEnd w:id="0"/>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62"/>
        <w:gridCol w:w="993"/>
        <w:gridCol w:w="2163"/>
        <w:gridCol w:w="1950"/>
        <w:gridCol w:w="29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pct"/>
            <w:gridSpan w:val="2"/>
            <w:tcMar>
              <w:top w:w="16" w:type="dxa"/>
              <w:left w:w="16" w:type="dxa"/>
              <w:right w:w="16" w:type="dxa"/>
            </w:tcMar>
            <w:vAlign w:val="center"/>
          </w:tcPr>
          <w:p>
            <w:pPr>
              <w:pStyle w:val="54"/>
              <w:rPr>
                <w:color w:val="auto"/>
                <w:szCs w:val="24"/>
              </w:rPr>
            </w:pPr>
            <w:r>
              <w:rPr>
                <w:rFonts w:hint="eastAsia"/>
                <w:color w:val="auto"/>
                <w:szCs w:val="24"/>
              </w:rPr>
              <w:t>建设项目名称</w:t>
            </w:r>
          </w:p>
        </w:tc>
        <w:tc>
          <w:tcPr>
            <w:tcW w:w="3954" w:type="pct"/>
            <w:gridSpan w:val="3"/>
            <w:vAlign w:val="center"/>
          </w:tcPr>
          <w:p>
            <w:pPr>
              <w:pStyle w:val="54"/>
              <w:rPr>
                <w:color w:val="auto"/>
                <w:szCs w:val="24"/>
              </w:rPr>
            </w:pPr>
            <w:r>
              <w:rPr>
                <w:rFonts w:hint="eastAsia"/>
                <w:color w:val="auto"/>
                <w:szCs w:val="24"/>
              </w:rPr>
              <w:t>年产30万吨热退酸洗生产线煤气改天然气技改项目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pct"/>
            <w:gridSpan w:val="2"/>
            <w:tcMar>
              <w:top w:w="16" w:type="dxa"/>
              <w:left w:w="16" w:type="dxa"/>
              <w:right w:w="16" w:type="dxa"/>
            </w:tcMar>
            <w:vAlign w:val="center"/>
          </w:tcPr>
          <w:p>
            <w:pPr>
              <w:pStyle w:val="54"/>
              <w:rPr>
                <w:color w:val="auto"/>
                <w:szCs w:val="24"/>
              </w:rPr>
            </w:pPr>
            <w:r>
              <w:rPr>
                <w:rFonts w:hint="eastAsia"/>
                <w:color w:val="auto"/>
                <w:szCs w:val="24"/>
              </w:rPr>
              <w:t>项目代码</w:t>
            </w:r>
          </w:p>
        </w:tc>
        <w:tc>
          <w:tcPr>
            <w:tcW w:w="3954" w:type="pct"/>
            <w:gridSpan w:val="3"/>
            <w:vAlign w:val="center"/>
          </w:tcPr>
          <w:p>
            <w:pPr>
              <w:pStyle w:val="54"/>
              <w:rPr>
                <w:color w:val="auto"/>
                <w:szCs w:val="24"/>
              </w:rPr>
            </w:pPr>
            <w:r>
              <w:rPr>
                <w:color w:val="auto"/>
                <w:szCs w:val="24"/>
              </w:rPr>
              <w:t>2404-530323-04-02-100846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pct"/>
            <w:gridSpan w:val="2"/>
            <w:tcMar>
              <w:top w:w="16" w:type="dxa"/>
              <w:left w:w="16" w:type="dxa"/>
              <w:right w:w="16" w:type="dxa"/>
            </w:tcMar>
            <w:vAlign w:val="center"/>
          </w:tcPr>
          <w:p>
            <w:pPr>
              <w:pStyle w:val="54"/>
              <w:rPr>
                <w:color w:val="auto"/>
                <w:szCs w:val="24"/>
              </w:rPr>
            </w:pPr>
            <w:r>
              <w:rPr>
                <w:rFonts w:hint="eastAsia"/>
                <w:color w:val="auto"/>
                <w:szCs w:val="24"/>
              </w:rPr>
              <w:t>建设单位联系人</w:t>
            </w:r>
          </w:p>
        </w:tc>
        <w:tc>
          <w:tcPr>
            <w:tcW w:w="1219" w:type="pct"/>
            <w:vAlign w:val="center"/>
          </w:tcPr>
          <w:p>
            <w:pPr>
              <w:pStyle w:val="54"/>
              <w:rPr>
                <w:rFonts w:hint="default" w:eastAsia="宋体"/>
                <w:color w:val="auto"/>
                <w:szCs w:val="24"/>
                <w:lang w:val="en-US" w:eastAsia="zh-CN"/>
              </w:rPr>
            </w:pPr>
            <w:r>
              <w:rPr>
                <w:rFonts w:hint="eastAsia"/>
                <w:color w:val="auto"/>
                <w:szCs w:val="24"/>
              </w:rPr>
              <w:t>李</w:t>
            </w:r>
            <w:r>
              <w:rPr>
                <w:rFonts w:hint="eastAsia"/>
                <w:color w:val="auto"/>
                <w:szCs w:val="24"/>
                <w:lang w:val="en-US" w:eastAsia="zh-CN"/>
              </w:rPr>
              <w:t>xx</w:t>
            </w:r>
          </w:p>
        </w:tc>
        <w:tc>
          <w:tcPr>
            <w:tcW w:w="1099" w:type="pct"/>
            <w:vAlign w:val="center"/>
          </w:tcPr>
          <w:p>
            <w:pPr>
              <w:pStyle w:val="54"/>
              <w:rPr>
                <w:color w:val="auto"/>
                <w:szCs w:val="24"/>
              </w:rPr>
            </w:pPr>
            <w:r>
              <w:rPr>
                <w:rFonts w:hint="eastAsia"/>
                <w:color w:val="auto"/>
                <w:szCs w:val="24"/>
              </w:rPr>
              <w:t>联系方式</w:t>
            </w:r>
          </w:p>
        </w:tc>
        <w:tc>
          <w:tcPr>
            <w:tcW w:w="1636" w:type="pct"/>
            <w:vAlign w:val="center"/>
          </w:tcPr>
          <w:p>
            <w:pPr>
              <w:pStyle w:val="54"/>
              <w:rPr>
                <w:rFonts w:hint="default" w:eastAsia="宋体"/>
                <w:color w:val="auto"/>
                <w:szCs w:val="24"/>
                <w:lang w:val="en-US" w:eastAsia="zh-CN"/>
              </w:rPr>
            </w:pPr>
            <w:r>
              <w:rPr>
                <w:color w:val="auto"/>
                <w:szCs w:val="24"/>
              </w:rPr>
              <w:t>1588744</w:t>
            </w:r>
            <w:r>
              <w:rPr>
                <w:rFonts w:hint="eastAsia"/>
                <w:color w:val="auto"/>
                <w:szCs w:val="24"/>
                <w:lang w:val="en-US" w:eastAsia="zh-CN"/>
              </w:rPr>
              <w:t>xxxx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pct"/>
            <w:gridSpan w:val="2"/>
            <w:tcMar>
              <w:top w:w="16" w:type="dxa"/>
              <w:left w:w="16" w:type="dxa"/>
              <w:right w:w="16" w:type="dxa"/>
            </w:tcMar>
            <w:vAlign w:val="center"/>
          </w:tcPr>
          <w:p>
            <w:pPr>
              <w:pStyle w:val="54"/>
              <w:rPr>
                <w:color w:val="auto"/>
                <w:szCs w:val="24"/>
              </w:rPr>
            </w:pPr>
            <w:r>
              <w:rPr>
                <w:rFonts w:hint="eastAsia"/>
                <w:color w:val="auto"/>
                <w:szCs w:val="24"/>
              </w:rPr>
              <w:t>建设地点</w:t>
            </w:r>
          </w:p>
        </w:tc>
        <w:tc>
          <w:tcPr>
            <w:tcW w:w="3954" w:type="pct"/>
            <w:gridSpan w:val="3"/>
            <w:vAlign w:val="center"/>
          </w:tcPr>
          <w:p>
            <w:pPr>
              <w:pStyle w:val="54"/>
              <w:rPr>
                <w:color w:val="auto"/>
                <w:szCs w:val="24"/>
              </w:rPr>
            </w:pPr>
            <w:r>
              <w:rPr>
                <w:rFonts w:hint="eastAsia"/>
                <w:color w:val="auto"/>
              </w:rPr>
              <w:t>云南师宗产业园区大同片区（云南天高镍业有限公司内）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pct"/>
            <w:gridSpan w:val="2"/>
            <w:tcMar>
              <w:top w:w="16" w:type="dxa"/>
              <w:left w:w="16" w:type="dxa"/>
              <w:right w:w="16" w:type="dxa"/>
            </w:tcMar>
            <w:vAlign w:val="center"/>
          </w:tcPr>
          <w:p>
            <w:pPr>
              <w:pStyle w:val="54"/>
              <w:rPr>
                <w:color w:val="auto"/>
                <w:szCs w:val="24"/>
              </w:rPr>
            </w:pPr>
            <w:r>
              <w:rPr>
                <w:rFonts w:hint="eastAsia"/>
                <w:color w:val="auto"/>
                <w:szCs w:val="24"/>
              </w:rPr>
              <w:t>地理坐标</w:t>
            </w:r>
          </w:p>
        </w:tc>
        <w:tc>
          <w:tcPr>
            <w:tcW w:w="3954" w:type="pct"/>
            <w:gridSpan w:val="3"/>
            <w:vAlign w:val="center"/>
          </w:tcPr>
          <w:p>
            <w:pPr>
              <w:pStyle w:val="54"/>
              <w:rPr>
                <w:color w:val="auto"/>
                <w:szCs w:val="24"/>
              </w:rPr>
            </w:pPr>
            <w:r>
              <w:rPr>
                <w:color w:val="auto"/>
                <w:szCs w:val="24"/>
                <w:u w:val="single"/>
              </w:rPr>
              <w:t xml:space="preserve"> </w:t>
            </w:r>
            <w:r>
              <w:rPr>
                <w:rFonts w:hint="eastAsia"/>
                <w:color w:val="auto"/>
                <w:szCs w:val="24"/>
                <w:u w:val="single"/>
              </w:rPr>
              <w:t>10</w:t>
            </w:r>
            <w:r>
              <w:rPr>
                <w:color w:val="auto"/>
                <w:szCs w:val="24"/>
                <w:u w:val="single"/>
              </w:rPr>
              <w:t xml:space="preserve">4 </w:t>
            </w:r>
            <w:r>
              <w:rPr>
                <w:rFonts w:hint="eastAsia"/>
                <w:color w:val="auto"/>
                <w:szCs w:val="24"/>
              </w:rPr>
              <w:t>度</w:t>
            </w:r>
            <w:r>
              <w:rPr>
                <w:color w:val="auto"/>
                <w:szCs w:val="24"/>
                <w:u w:val="single"/>
              </w:rPr>
              <w:t xml:space="preserve"> 3 </w:t>
            </w:r>
            <w:r>
              <w:rPr>
                <w:rFonts w:hint="eastAsia"/>
                <w:color w:val="auto"/>
                <w:szCs w:val="24"/>
              </w:rPr>
              <w:t>分</w:t>
            </w:r>
            <w:r>
              <w:rPr>
                <w:color w:val="auto"/>
                <w:szCs w:val="24"/>
                <w:u w:val="single"/>
              </w:rPr>
              <w:t xml:space="preserve"> </w:t>
            </w:r>
            <w:r>
              <w:rPr>
                <w:rFonts w:hint="eastAsia"/>
                <w:color w:val="auto"/>
                <w:szCs w:val="24"/>
                <w:u w:val="single"/>
              </w:rPr>
              <w:t>39.969</w:t>
            </w:r>
            <w:r>
              <w:rPr>
                <w:color w:val="auto"/>
                <w:szCs w:val="24"/>
                <w:u w:val="single"/>
              </w:rPr>
              <w:t xml:space="preserve"> </w:t>
            </w:r>
            <w:r>
              <w:rPr>
                <w:rFonts w:hint="eastAsia"/>
                <w:color w:val="auto"/>
                <w:szCs w:val="24"/>
              </w:rPr>
              <w:t>秒，</w:t>
            </w:r>
            <w:r>
              <w:rPr>
                <w:color w:val="auto"/>
                <w:szCs w:val="24"/>
                <w:u w:val="single"/>
              </w:rPr>
              <w:t xml:space="preserve"> </w:t>
            </w:r>
            <w:r>
              <w:rPr>
                <w:rFonts w:hint="eastAsia"/>
                <w:color w:val="auto"/>
                <w:szCs w:val="24"/>
                <w:u w:val="single"/>
              </w:rPr>
              <w:t>2</w:t>
            </w:r>
            <w:r>
              <w:rPr>
                <w:color w:val="auto"/>
                <w:szCs w:val="24"/>
                <w:u w:val="single"/>
              </w:rPr>
              <w:t xml:space="preserve">4 </w:t>
            </w:r>
            <w:r>
              <w:rPr>
                <w:rFonts w:hint="eastAsia"/>
                <w:color w:val="auto"/>
                <w:szCs w:val="24"/>
              </w:rPr>
              <w:t>度</w:t>
            </w:r>
            <w:r>
              <w:rPr>
                <w:color w:val="auto"/>
                <w:szCs w:val="24"/>
                <w:u w:val="single"/>
              </w:rPr>
              <w:t xml:space="preserve"> 47 </w:t>
            </w:r>
            <w:r>
              <w:rPr>
                <w:rFonts w:hint="eastAsia"/>
                <w:color w:val="auto"/>
                <w:szCs w:val="24"/>
              </w:rPr>
              <w:t>分</w:t>
            </w:r>
            <w:r>
              <w:rPr>
                <w:color w:val="auto"/>
                <w:szCs w:val="24"/>
                <w:u w:val="single"/>
              </w:rPr>
              <w:t xml:space="preserve"> </w:t>
            </w:r>
            <w:r>
              <w:rPr>
                <w:rFonts w:hint="eastAsia"/>
                <w:color w:val="auto"/>
                <w:szCs w:val="24"/>
                <w:u w:val="single"/>
              </w:rPr>
              <w:t>56.574</w:t>
            </w:r>
            <w:r>
              <w:rPr>
                <w:color w:val="auto"/>
                <w:szCs w:val="24"/>
                <w:u w:val="single"/>
              </w:rPr>
              <w:t xml:space="preserve"> </w:t>
            </w:r>
            <w:r>
              <w:rPr>
                <w:rFonts w:hint="eastAsia"/>
                <w:color w:val="auto"/>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46" w:type="pct"/>
            <w:gridSpan w:val="2"/>
            <w:tcMar>
              <w:top w:w="16" w:type="dxa"/>
              <w:left w:w="16" w:type="dxa"/>
              <w:right w:w="16" w:type="dxa"/>
            </w:tcMar>
            <w:vAlign w:val="center"/>
          </w:tcPr>
          <w:p>
            <w:pPr>
              <w:pStyle w:val="54"/>
              <w:rPr>
                <w:color w:val="auto"/>
                <w:szCs w:val="24"/>
              </w:rPr>
            </w:pPr>
            <w:r>
              <w:rPr>
                <w:rFonts w:hint="eastAsia"/>
                <w:color w:val="auto"/>
                <w:szCs w:val="24"/>
              </w:rPr>
              <w:t>国民经济</w:t>
            </w:r>
          </w:p>
          <w:p>
            <w:pPr>
              <w:pStyle w:val="54"/>
              <w:rPr>
                <w:color w:val="auto"/>
                <w:szCs w:val="24"/>
              </w:rPr>
            </w:pPr>
            <w:r>
              <w:rPr>
                <w:rFonts w:hint="eastAsia"/>
                <w:color w:val="auto"/>
                <w:szCs w:val="24"/>
              </w:rPr>
              <w:t>行业类别</w:t>
            </w:r>
          </w:p>
        </w:tc>
        <w:tc>
          <w:tcPr>
            <w:tcW w:w="1219" w:type="pct"/>
            <w:vAlign w:val="center"/>
          </w:tcPr>
          <w:p>
            <w:pPr>
              <w:pStyle w:val="54"/>
              <w:rPr>
                <w:color w:val="auto"/>
                <w:szCs w:val="24"/>
              </w:rPr>
            </w:pPr>
            <w:r>
              <w:rPr>
                <w:rFonts w:hint="eastAsia"/>
                <w:color w:val="auto"/>
                <w:szCs w:val="24"/>
              </w:rPr>
              <w:t>C3130钢压延加工</w:t>
            </w:r>
          </w:p>
        </w:tc>
        <w:tc>
          <w:tcPr>
            <w:tcW w:w="1099" w:type="pct"/>
            <w:vAlign w:val="center"/>
          </w:tcPr>
          <w:p>
            <w:pPr>
              <w:pStyle w:val="54"/>
              <w:rPr>
                <w:color w:val="auto"/>
                <w:szCs w:val="24"/>
              </w:rPr>
            </w:pPr>
            <w:bookmarkStart w:id="1" w:name="_Hlk49843745"/>
            <w:r>
              <w:rPr>
                <w:rFonts w:hint="eastAsia"/>
                <w:color w:val="auto"/>
                <w:szCs w:val="24"/>
              </w:rPr>
              <w:t>建设项目行业类别</w:t>
            </w:r>
            <w:bookmarkEnd w:id="1"/>
          </w:p>
        </w:tc>
        <w:tc>
          <w:tcPr>
            <w:tcW w:w="1636" w:type="pct"/>
            <w:vAlign w:val="center"/>
          </w:tcPr>
          <w:p>
            <w:pPr>
              <w:pStyle w:val="54"/>
              <w:rPr>
                <w:color w:val="auto"/>
                <w:szCs w:val="24"/>
              </w:rPr>
            </w:pPr>
            <w:r>
              <w:rPr>
                <w:rFonts w:hint="eastAsia"/>
                <w:color w:val="auto"/>
              </w:rPr>
              <w:t>二十八、黑色金属冶炼和压延加工业31-63</w:t>
            </w:r>
            <w:r>
              <w:rPr>
                <w:color w:val="auto"/>
              </w:rPr>
              <w:t xml:space="preserve"> </w:t>
            </w:r>
            <w:r>
              <w:rPr>
                <w:rFonts w:hint="eastAsia"/>
                <w:color w:val="auto"/>
              </w:rPr>
              <w:t>钢压延加工313</w:t>
            </w:r>
            <w:r>
              <w:rPr>
                <w:color w:val="auto"/>
              </w:rPr>
              <w:t>-</w:t>
            </w:r>
            <w:r>
              <w:rPr>
                <w:rFonts w:hint="eastAsia"/>
                <w:color w:val="auto"/>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46" w:type="pct"/>
            <w:gridSpan w:val="2"/>
            <w:tcMar>
              <w:top w:w="16" w:type="dxa"/>
              <w:left w:w="16" w:type="dxa"/>
              <w:right w:w="16" w:type="dxa"/>
            </w:tcMar>
            <w:vAlign w:val="center"/>
          </w:tcPr>
          <w:p>
            <w:pPr>
              <w:pStyle w:val="54"/>
              <w:rPr>
                <w:color w:val="auto"/>
                <w:szCs w:val="24"/>
              </w:rPr>
            </w:pPr>
            <w:r>
              <w:rPr>
                <w:rFonts w:hint="eastAsia"/>
                <w:color w:val="auto"/>
                <w:szCs w:val="24"/>
              </w:rPr>
              <w:t>建设性质</w:t>
            </w:r>
          </w:p>
        </w:tc>
        <w:tc>
          <w:tcPr>
            <w:tcW w:w="1219" w:type="pct"/>
            <w:vAlign w:val="center"/>
          </w:tcPr>
          <w:p>
            <w:pPr>
              <w:pStyle w:val="54"/>
              <w:jc w:val="left"/>
              <w:rPr>
                <w:color w:val="auto"/>
                <w:szCs w:val="24"/>
              </w:rPr>
            </w:pPr>
            <w:r>
              <w:rPr>
                <w:rFonts w:hint="eastAsia"/>
                <w:color w:val="auto"/>
                <w:szCs w:val="24"/>
              </w:rPr>
              <w:t>□新建（迁建）</w:t>
            </w:r>
          </w:p>
          <w:p>
            <w:pPr>
              <w:pStyle w:val="54"/>
              <w:jc w:val="left"/>
              <w:rPr>
                <w:color w:val="auto"/>
                <w:szCs w:val="24"/>
              </w:rPr>
            </w:pPr>
            <w:r>
              <w:rPr>
                <w:rFonts w:hint="eastAsia"/>
                <w:color w:val="auto"/>
                <w:szCs w:val="24"/>
              </w:rPr>
              <w:t>□改建</w:t>
            </w:r>
          </w:p>
          <w:p>
            <w:pPr>
              <w:pStyle w:val="54"/>
              <w:jc w:val="left"/>
              <w:rPr>
                <w:color w:val="auto"/>
                <w:szCs w:val="24"/>
              </w:rPr>
            </w:pPr>
            <w:r>
              <w:rPr>
                <w:rFonts w:hint="eastAsia"/>
                <w:color w:val="auto"/>
                <w:szCs w:val="24"/>
              </w:rPr>
              <w:t>□扩建</w:t>
            </w:r>
          </w:p>
          <w:p>
            <w:pPr>
              <w:pStyle w:val="54"/>
              <w:jc w:val="left"/>
              <w:rPr>
                <w:color w:val="auto"/>
                <w:szCs w:val="24"/>
              </w:rPr>
            </w:pPr>
            <w:r>
              <w:rPr>
                <w:rFonts w:hint="eastAsia"/>
                <w:color w:val="auto"/>
                <w:szCs w:val="24"/>
              </w:rPr>
              <w:sym w:font="Wingdings 2" w:char="F052"/>
            </w:r>
            <w:r>
              <w:rPr>
                <w:rFonts w:hint="eastAsia"/>
                <w:color w:val="auto"/>
                <w:szCs w:val="24"/>
              </w:rPr>
              <w:t>技术改造</w:t>
            </w:r>
          </w:p>
        </w:tc>
        <w:tc>
          <w:tcPr>
            <w:tcW w:w="1099" w:type="pct"/>
            <w:vAlign w:val="center"/>
          </w:tcPr>
          <w:p>
            <w:pPr>
              <w:pStyle w:val="54"/>
              <w:rPr>
                <w:color w:val="auto"/>
                <w:szCs w:val="24"/>
              </w:rPr>
            </w:pPr>
            <w:r>
              <w:rPr>
                <w:rFonts w:hint="eastAsia"/>
                <w:color w:val="auto"/>
                <w:szCs w:val="24"/>
              </w:rPr>
              <w:t>建设项目申报情形</w:t>
            </w:r>
          </w:p>
        </w:tc>
        <w:tc>
          <w:tcPr>
            <w:tcW w:w="1636" w:type="pct"/>
            <w:vAlign w:val="center"/>
          </w:tcPr>
          <w:p>
            <w:pPr>
              <w:pStyle w:val="54"/>
              <w:jc w:val="left"/>
              <w:rPr>
                <w:color w:val="auto"/>
                <w:szCs w:val="24"/>
              </w:rPr>
            </w:pPr>
            <w:r>
              <w:rPr>
                <w:rFonts w:hint="eastAsia"/>
                <w:color w:val="auto"/>
                <w:szCs w:val="24"/>
              </w:rPr>
              <w:sym w:font="Wingdings 2" w:char="F052"/>
            </w:r>
            <w:r>
              <w:rPr>
                <w:rFonts w:hint="eastAsia"/>
                <w:color w:val="auto"/>
                <w:szCs w:val="24"/>
              </w:rPr>
              <w:t>首次申报项目</w:t>
            </w:r>
          </w:p>
          <w:p>
            <w:pPr>
              <w:pStyle w:val="54"/>
              <w:jc w:val="left"/>
              <w:rPr>
                <w:color w:val="auto"/>
                <w:szCs w:val="24"/>
              </w:rPr>
            </w:pPr>
            <w:r>
              <w:rPr>
                <w:rFonts w:hint="eastAsia"/>
                <w:color w:val="auto"/>
                <w:szCs w:val="24"/>
              </w:rPr>
              <w:t>□不予批准后再次申报项目</w:t>
            </w:r>
          </w:p>
          <w:p>
            <w:pPr>
              <w:pStyle w:val="54"/>
              <w:jc w:val="left"/>
              <w:rPr>
                <w:color w:val="auto"/>
                <w:szCs w:val="24"/>
              </w:rPr>
            </w:pPr>
            <w:r>
              <w:rPr>
                <w:rFonts w:hint="eastAsia"/>
                <w:color w:val="auto"/>
                <w:szCs w:val="24"/>
              </w:rPr>
              <w:t>□超五年重新审核项目</w:t>
            </w:r>
          </w:p>
          <w:p>
            <w:pPr>
              <w:pStyle w:val="54"/>
              <w:jc w:val="left"/>
              <w:rPr>
                <w:color w:val="auto"/>
                <w:szCs w:val="24"/>
              </w:rPr>
            </w:pPr>
            <w:r>
              <w:rPr>
                <w:rFonts w:hint="eastAsia"/>
                <w:color w:val="auto"/>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46" w:type="pct"/>
            <w:gridSpan w:val="2"/>
            <w:tcMar>
              <w:top w:w="16" w:type="dxa"/>
              <w:left w:w="16" w:type="dxa"/>
              <w:right w:w="16" w:type="dxa"/>
            </w:tcMar>
            <w:vAlign w:val="center"/>
          </w:tcPr>
          <w:p>
            <w:pPr>
              <w:pStyle w:val="54"/>
              <w:rPr>
                <w:color w:val="auto"/>
                <w:szCs w:val="24"/>
              </w:rPr>
            </w:pPr>
            <w:r>
              <w:rPr>
                <w:rFonts w:hint="eastAsia"/>
                <w:color w:val="auto"/>
                <w:szCs w:val="24"/>
              </w:rPr>
              <w:t>项目审批（核准</w:t>
            </w:r>
            <w:r>
              <w:rPr>
                <w:color w:val="auto"/>
                <w:szCs w:val="24"/>
              </w:rPr>
              <w:t>/</w:t>
            </w:r>
            <w:r>
              <w:rPr>
                <w:rFonts w:hint="eastAsia"/>
                <w:color w:val="auto"/>
                <w:szCs w:val="24"/>
              </w:rPr>
              <w:t>备案）部门（选填）</w:t>
            </w:r>
          </w:p>
        </w:tc>
        <w:tc>
          <w:tcPr>
            <w:tcW w:w="1219" w:type="pct"/>
            <w:vAlign w:val="center"/>
          </w:tcPr>
          <w:p>
            <w:pPr>
              <w:pStyle w:val="54"/>
              <w:rPr>
                <w:color w:val="auto"/>
                <w:szCs w:val="24"/>
              </w:rPr>
            </w:pPr>
            <w:r>
              <w:rPr>
                <w:rFonts w:hint="eastAsia"/>
                <w:color w:val="auto"/>
                <w:szCs w:val="24"/>
              </w:rPr>
              <w:t>师宗县</w:t>
            </w:r>
            <w:r>
              <w:rPr>
                <w:color w:val="auto"/>
                <w:szCs w:val="24"/>
              </w:rPr>
              <w:t>发展和改革局</w:t>
            </w:r>
          </w:p>
        </w:tc>
        <w:tc>
          <w:tcPr>
            <w:tcW w:w="1099" w:type="pct"/>
            <w:vAlign w:val="center"/>
          </w:tcPr>
          <w:p>
            <w:pPr>
              <w:pStyle w:val="54"/>
              <w:rPr>
                <w:color w:val="auto"/>
                <w:szCs w:val="24"/>
              </w:rPr>
            </w:pPr>
            <w:r>
              <w:rPr>
                <w:rFonts w:hint="eastAsia"/>
                <w:color w:val="auto"/>
                <w:szCs w:val="24"/>
              </w:rPr>
              <w:t>项目审批（核准</w:t>
            </w:r>
            <w:r>
              <w:rPr>
                <w:color w:val="auto"/>
                <w:szCs w:val="24"/>
              </w:rPr>
              <w:t>/</w:t>
            </w:r>
            <w:r>
              <w:rPr>
                <w:rFonts w:hint="eastAsia"/>
                <w:color w:val="auto"/>
                <w:szCs w:val="24"/>
              </w:rPr>
              <w:t>备案）文号（选填）</w:t>
            </w:r>
          </w:p>
        </w:tc>
        <w:tc>
          <w:tcPr>
            <w:tcW w:w="1636" w:type="pct"/>
            <w:vAlign w:val="center"/>
          </w:tcPr>
          <w:p>
            <w:pPr>
              <w:pStyle w:val="54"/>
              <w:rPr>
                <w:color w:val="auto"/>
                <w:szCs w:val="24"/>
              </w:rPr>
            </w:pPr>
            <w:r>
              <w:rPr>
                <w:color w:val="auto"/>
                <w:szCs w:val="24"/>
              </w:rPr>
              <w:t>2404-530323-04-02-100846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pct"/>
            <w:gridSpan w:val="2"/>
            <w:tcMar>
              <w:top w:w="16" w:type="dxa"/>
              <w:left w:w="16" w:type="dxa"/>
              <w:right w:w="16" w:type="dxa"/>
            </w:tcMar>
            <w:vAlign w:val="center"/>
          </w:tcPr>
          <w:p>
            <w:pPr>
              <w:pStyle w:val="54"/>
              <w:rPr>
                <w:color w:val="auto"/>
                <w:szCs w:val="24"/>
              </w:rPr>
            </w:pPr>
            <w:r>
              <w:rPr>
                <w:rFonts w:hint="eastAsia"/>
                <w:color w:val="auto"/>
                <w:szCs w:val="24"/>
              </w:rPr>
              <w:t>总投资（万元）</w:t>
            </w:r>
          </w:p>
        </w:tc>
        <w:tc>
          <w:tcPr>
            <w:tcW w:w="1219" w:type="pct"/>
            <w:vAlign w:val="center"/>
          </w:tcPr>
          <w:p>
            <w:pPr>
              <w:pStyle w:val="54"/>
              <w:rPr>
                <w:color w:val="auto"/>
                <w:szCs w:val="24"/>
              </w:rPr>
            </w:pPr>
            <w:r>
              <w:rPr>
                <w:color w:val="auto"/>
                <w:szCs w:val="24"/>
              </w:rPr>
              <w:t>150</w:t>
            </w:r>
          </w:p>
        </w:tc>
        <w:tc>
          <w:tcPr>
            <w:tcW w:w="1099" w:type="pct"/>
            <w:tcMar>
              <w:top w:w="16" w:type="dxa"/>
              <w:left w:w="16" w:type="dxa"/>
              <w:right w:w="16" w:type="dxa"/>
            </w:tcMar>
            <w:vAlign w:val="center"/>
          </w:tcPr>
          <w:p>
            <w:pPr>
              <w:pStyle w:val="54"/>
              <w:rPr>
                <w:color w:val="auto"/>
                <w:szCs w:val="24"/>
              </w:rPr>
            </w:pPr>
            <w:r>
              <w:rPr>
                <w:rFonts w:hint="eastAsia"/>
                <w:color w:val="auto"/>
                <w:szCs w:val="24"/>
              </w:rPr>
              <w:t>环保投资（万元）</w:t>
            </w:r>
          </w:p>
        </w:tc>
        <w:tc>
          <w:tcPr>
            <w:tcW w:w="1636" w:type="pct"/>
            <w:vAlign w:val="center"/>
          </w:tcPr>
          <w:p>
            <w:pPr>
              <w:pStyle w:val="54"/>
              <w:rPr>
                <w:color w:val="auto"/>
                <w:szCs w:val="24"/>
              </w:rPr>
            </w:pPr>
            <w:r>
              <w:rPr>
                <w:color w:val="auto"/>
                <w:szCs w:val="24"/>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pct"/>
            <w:gridSpan w:val="2"/>
            <w:tcMar>
              <w:top w:w="16" w:type="dxa"/>
              <w:left w:w="16" w:type="dxa"/>
              <w:right w:w="16" w:type="dxa"/>
            </w:tcMar>
            <w:vAlign w:val="center"/>
          </w:tcPr>
          <w:p>
            <w:pPr>
              <w:pStyle w:val="54"/>
              <w:rPr>
                <w:color w:val="auto"/>
                <w:szCs w:val="24"/>
              </w:rPr>
            </w:pPr>
            <w:r>
              <w:rPr>
                <w:rFonts w:hint="eastAsia"/>
                <w:color w:val="auto"/>
                <w:szCs w:val="24"/>
              </w:rPr>
              <w:t>环保投资占比（</w:t>
            </w:r>
            <w:r>
              <w:rPr>
                <w:color w:val="auto"/>
                <w:szCs w:val="24"/>
              </w:rPr>
              <w:t>%</w:t>
            </w:r>
            <w:r>
              <w:rPr>
                <w:rFonts w:hint="eastAsia"/>
                <w:color w:val="auto"/>
                <w:szCs w:val="24"/>
              </w:rPr>
              <w:t>）</w:t>
            </w:r>
          </w:p>
        </w:tc>
        <w:tc>
          <w:tcPr>
            <w:tcW w:w="1219" w:type="pct"/>
            <w:vAlign w:val="center"/>
          </w:tcPr>
          <w:p>
            <w:pPr>
              <w:pStyle w:val="54"/>
              <w:rPr>
                <w:color w:val="auto"/>
                <w:szCs w:val="24"/>
              </w:rPr>
            </w:pPr>
            <w:r>
              <w:rPr>
                <w:color w:val="auto"/>
                <w:szCs w:val="24"/>
              </w:rPr>
              <w:t>6</w:t>
            </w:r>
          </w:p>
        </w:tc>
        <w:tc>
          <w:tcPr>
            <w:tcW w:w="1099" w:type="pct"/>
            <w:tcMar>
              <w:top w:w="16" w:type="dxa"/>
              <w:left w:w="16" w:type="dxa"/>
              <w:right w:w="16" w:type="dxa"/>
            </w:tcMar>
            <w:vAlign w:val="center"/>
          </w:tcPr>
          <w:p>
            <w:pPr>
              <w:pStyle w:val="54"/>
              <w:rPr>
                <w:color w:val="auto"/>
                <w:szCs w:val="24"/>
              </w:rPr>
            </w:pPr>
            <w:r>
              <w:rPr>
                <w:rFonts w:hint="eastAsia"/>
                <w:color w:val="auto"/>
                <w:szCs w:val="24"/>
              </w:rPr>
              <w:t>施工工期</w:t>
            </w:r>
          </w:p>
        </w:tc>
        <w:tc>
          <w:tcPr>
            <w:tcW w:w="1636" w:type="pct"/>
            <w:vAlign w:val="center"/>
          </w:tcPr>
          <w:p>
            <w:pPr>
              <w:pStyle w:val="54"/>
              <w:rPr>
                <w:color w:val="auto"/>
                <w:szCs w:val="24"/>
              </w:rPr>
            </w:pPr>
            <w:r>
              <w:rPr>
                <w:color w:val="auto"/>
                <w:szCs w:val="24"/>
              </w:rPr>
              <w:t>8</w:t>
            </w:r>
            <w:r>
              <w:rPr>
                <w:rFonts w:hint="eastAsia"/>
                <w:color w:val="auto"/>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pct"/>
            <w:gridSpan w:val="2"/>
            <w:tcMar>
              <w:top w:w="16" w:type="dxa"/>
              <w:left w:w="16" w:type="dxa"/>
              <w:right w:w="16" w:type="dxa"/>
            </w:tcMar>
            <w:vAlign w:val="center"/>
          </w:tcPr>
          <w:p>
            <w:pPr>
              <w:pStyle w:val="54"/>
              <w:rPr>
                <w:color w:val="auto"/>
                <w:szCs w:val="24"/>
              </w:rPr>
            </w:pPr>
            <w:r>
              <w:rPr>
                <w:rFonts w:hint="eastAsia"/>
                <w:color w:val="auto"/>
                <w:szCs w:val="24"/>
              </w:rPr>
              <w:t>是否开工建设</w:t>
            </w:r>
          </w:p>
        </w:tc>
        <w:tc>
          <w:tcPr>
            <w:tcW w:w="1219" w:type="pct"/>
            <w:vAlign w:val="center"/>
          </w:tcPr>
          <w:p>
            <w:pPr>
              <w:pStyle w:val="54"/>
              <w:jc w:val="left"/>
              <w:rPr>
                <w:color w:val="auto"/>
                <w:szCs w:val="24"/>
              </w:rPr>
            </w:pPr>
            <w:r>
              <w:rPr>
                <w:rFonts w:hint="eastAsia"/>
                <w:color w:val="auto"/>
                <w:szCs w:val="24"/>
              </w:rPr>
              <w:sym w:font="Wingdings 2" w:char="F052"/>
            </w:r>
            <w:r>
              <w:rPr>
                <w:rFonts w:hint="eastAsia"/>
                <w:color w:val="auto"/>
                <w:szCs w:val="24"/>
              </w:rPr>
              <w:t>否</w:t>
            </w:r>
          </w:p>
          <w:p>
            <w:pPr>
              <w:pStyle w:val="54"/>
              <w:jc w:val="left"/>
              <w:rPr>
                <w:color w:val="auto"/>
                <w:szCs w:val="24"/>
              </w:rPr>
            </w:pPr>
            <w:r>
              <w:rPr>
                <w:rFonts w:hint="eastAsia"/>
                <w:color w:val="auto"/>
                <w:szCs w:val="24"/>
              </w:rPr>
              <w:t>□是：</w:t>
            </w:r>
            <w:r>
              <w:rPr>
                <w:rFonts w:hint="eastAsia"/>
                <w:color w:val="auto"/>
                <w:szCs w:val="24"/>
                <w:u w:val="single"/>
              </w:rPr>
              <w:t xml:space="preserve"> </w:t>
            </w:r>
            <w:r>
              <w:rPr>
                <w:color w:val="auto"/>
                <w:szCs w:val="24"/>
                <w:u w:val="single"/>
              </w:rPr>
              <w:t xml:space="preserve">          </w:t>
            </w:r>
          </w:p>
        </w:tc>
        <w:tc>
          <w:tcPr>
            <w:tcW w:w="1099" w:type="pct"/>
            <w:tcMar>
              <w:top w:w="16" w:type="dxa"/>
              <w:left w:w="16" w:type="dxa"/>
              <w:right w:w="16" w:type="dxa"/>
            </w:tcMar>
            <w:vAlign w:val="center"/>
          </w:tcPr>
          <w:p>
            <w:pPr>
              <w:pStyle w:val="54"/>
              <w:rPr>
                <w:color w:val="auto"/>
                <w:spacing w:val="-6"/>
                <w:szCs w:val="24"/>
              </w:rPr>
            </w:pPr>
            <w:r>
              <w:rPr>
                <w:rFonts w:hint="eastAsia"/>
                <w:color w:val="auto"/>
                <w:spacing w:val="-6"/>
                <w:szCs w:val="24"/>
              </w:rPr>
              <w:t>用地（用海）</w:t>
            </w:r>
          </w:p>
          <w:p>
            <w:pPr>
              <w:pStyle w:val="54"/>
              <w:rPr>
                <w:color w:val="auto"/>
                <w:szCs w:val="24"/>
              </w:rPr>
            </w:pPr>
            <w:r>
              <w:rPr>
                <w:rFonts w:hint="eastAsia"/>
                <w:color w:val="auto"/>
                <w:spacing w:val="-6"/>
                <w:szCs w:val="24"/>
              </w:rPr>
              <w:t>面积（</w:t>
            </w:r>
            <w:r>
              <w:rPr>
                <w:color w:val="auto"/>
                <w:spacing w:val="-6"/>
                <w:szCs w:val="24"/>
              </w:rPr>
              <w:t>m</w:t>
            </w:r>
            <w:r>
              <w:rPr>
                <w:color w:val="auto"/>
                <w:spacing w:val="-6"/>
                <w:szCs w:val="24"/>
                <w:vertAlign w:val="superscript"/>
              </w:rPr>
              <w:t>2</w:t>
            </w:r>
            <w:r>
              <w:rPr>
                <w:rFonts w:hint="eastAsia"/>
                <w:color w:val="auto"/>
                <w:spacing w:val="-6"/>
                <w:szCs w:val="24"/>
              </w:rPr>
              <w:t>）</w:t>
            </w:r>
          </w:p>
        </w:tc>
        <w:tc>
          <w:tcPr>
            <w:tcW w:w="1636" w:type="pct"/>
            <w:vAlign w:val="center"/>
          </w:tcPr>
          <w:p>
            <w:pPr>
              <w:pStyle w:val="54"/>
              <w:rPr>
                <w:color w:val="auto"/>
                <w:szCs w:val="24"/>
              </w:rPr>
            </w:pPr>
            <w:r>
              <w:rPr>
                <w:color w:val="auto"/>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046" w:type="pct"/>
            <w:gridSpan w:val="2"/>
            <w:vAlign w:val="center"/>
          </w:tcPr>
          <w:p>
            <w:pPr>
              <w:pStyle w:val="54"/>
              <w:rPr>
                <w:color w:val="auto"/>
                <w:szCs w:val="24"/>
              </w:rPr>
            </w:pPr>
            <w:r>
              <w:rPr>
                <w:rFonts w:hint="eastAsia"/>
                <w:color w:val="auto"/>
                <w:szCs w:val="24"/>
              </w:rPr>
              <w:t>专项评价设置情况</w:t>
            </w:r>
          </w:p>
        </w:tc>
        <w:tc>
          <w:tcPr>
            <w:tcW w:w="3954" w:type="pct"/>
            <w:gridSpan w:val="3"/>
            <w:vAlign w:val="center"/>
          </w:tcPr>
          <w:p>
            <w:pPr>
              <w:ind w:firstLine="480"/>
              <w:rPr>
                <w:color w:val="auto"/>
              </w:rPr>
            </w:pPr>
            <w:r>
              <w:rPr>
                <w:rFonts w:hint="eastAsia"/>
                <w:color w:val="auto"/>
              </w:rPr>
              <w:t>本项目专项评价设置情况见下表。</w:t>
            </w:r>
          </w:p>
          <w:p>
            <w:pPr>
              <w:pStyle w:val="66"/>
              <w:rPr>
                <w:color w:val="auto"/>
              </w:rPr>
            </w:pPr>
            <w:r>
              <w:rPr>
                <w:rFonts w:hint="eastAsia"/>
                <w:color w:val="auto"/>
              </w:rPr>
              <w:t>表1</w:t>
            </w:r>
            <w:r>
              <w:rPr>
                <w:color w:val="auto"/>
              </w:rPr>
              <w:t xml:space="preserve"> </w:t>
            </w:r>
            <w:r>
              <w:rPr>
                <w:rFonts w:hint="eastAsia"/>
                <w:color w:val="auto"/>
              </w:rPr>
              <w:t>专项情况设置一览表</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36"/>
              <w:gridCol w:w="1930"/>
              <w:gridCol w:w="2711"/>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 w:type="pct"/>
                  <w:vAlign w:val="center"/>
                </w:tcPr>
                <w:p>
                  <w:pPr>
                    <w:pStyle w:val="63"/>
                    <w:rPr>
                      <w:color w:val="auto"/>
                    </w:rPr>
                  </w:pPr>
                  <w:r>
                    <w:rPr>
                      <w:color w:val="auto"/>
                    </w:rPr>
                    <w:t>序号</w:t>
                  </w:r>
                </w:p>
              </w:tc>
              <w:tc>
                <w:tcPr>
                  <w:tcW w:w="690" w:type="pct"/>
                  <w:vAlign w:val="center"/>
                </w:tcPr>
                <w:p>
                  <w:pPr>
                    <w:pStyle w:val="63"/>
                    <w:rPr>
                      <w:color w:val="auto"/>
                    </w:rPr>
                  </w:pPr>
                  <w:r>
                    <w:rPr>
                      <w:color w:val="auto"/>
                    </w:rPr>
                    <w:t>专项评价的类别</w:t>
                  </w:r>
                </w:p>
              </w:tc>
              <w:tc>
                <w:tcPr>
                  <w:tcW w:w="1422" w:type="pct"/>
                  <w:vAlign w:val="center"/>
                </w:tcPr>
                <w:p>
                  <w:pPr>
                    <w:pStyle w:val="63"/>
                    <w:rPr>
                      <w:color w:val="auto"/>
                    </w:rPr>
                  </w:pPr>
                  <w:r>
                    <w:rPr>
                      <w:color w:val="auto"/>
                    </w:rPr>
                    <w:t>设置原则</w:t>
                  </w:r>
                </w:p>
              </w:tc>
              <w:tc>
                <w:tcPr>
                  <w:tcW w:w="1998" w:type="pct"/>
                  <w:vAlign w:val="center"/>
                </w:tcPr>
                <w:p>
                  <w:pPr>
                    <w:pStyle w:val="63"/>
                    <w:rPr>
                      <w:color w:val="auto"/>
                    </w:rPr>
                  </w:pPr>
                  <w:r>
                    <w:rPr>
                      <w:color w:val="auto"/>
                    </w:rPr>
                    <w:t>本项目建设情况</w:t>
                  </w:r>
                </w:p>
                <w:p>
                  <w:pPr>
                    <w:pStyle w:val="63"/>
                    <w:rPr>
                      <w:color w:val="auto"/>
                    </w:rPr>
                  </w:pPr>
                  <w:r>
                    <w:rPr>
                      <w:color w:val="auto"/>
                    </w:rPr>
                    <w:t>（设置专项理由）</w:t>
                  </w:r>
                </w:p>
              </w:tc>
              <w:tc>
                <w:tcPr>
                  <w:tcW w:w="576" w:type="pct"/>
                  <w:vAlign w:val="center"/>
                </w:tcPr>
                <w:p>
                  <w:pPr>
                    <w:pStyle w:val="63"/>
                    <w:rPr>
                      <w:color w:val="auto"/>
                    </w:rPr>
                  </w:pPr>
                  <w:r>
                    <w:rPr>
                      <w:color w:val="auto"/>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14" w:type="pct"/>
                  <w:vAlign w:val="center"/>
                </w:tcPr>
                <w:p>
                  <w:pPr>
                    <w:pStyle w:val="63"/>
                    <w:rPr>
                      <w:color w:val="auto"/>
                    </w:rPr>
                  </w:pPr>
                  <w:r>
                    <w:rPr>
                      <w:color w:val="auto"/>
                    </w:rPr>
                    <w:t>1</w:t>
                  </w:r>
                </w:p>
              </w:tc>
              <w:tc>
                <w:tcPr>
                  <w:tcW w:w="690" w:type="pct"/>
                  <w:vAlign w:val="center"/>
                </w:tcPr>
                <w:p>
                  <w:pPr>
                    <w:pStyle w:val="63"/>
                    <w:rPr>
                      <w:color w:val="auto"/>
                    </w:rPr>
                  </w:pPr>
                  <w:r>
                    <w:rPr>
                      <w:color w:val="auto"/>
                    </w:rPr>
                    <w:t>大气</w:t>
                  </w:r>
                </w:p>
              </w:tc>
              <w:tc>
                <w:tcPr>
                  <w:tcW w:w="1422" w:type="pct"/>
                  <w:vAlign w:val="center"/>
                </w:tcPr>
                <w:p>
                  <w:pPr>
                    <w:pStyle w:val="63"/>
                    <w:rPr>
                      <w:color w:val="auto"/>
                    </w:rPr>
                  </w:pPr>
                  <w:r>
                    <w:rPr>
                      <w:color w:val="auto"/>
                    </w:rPr>
                    <w:t>排放废气含有毒有害污染物、二噁英、苯并〔a〕芘、氰化物、氯气且厂界外500m范围内有环境空气保护目标的建设项目</w:t>
                  </w:r>
                </w:p>
              </w:tc>
              <w:tc>
                <w:tcPr>
                  <w:tcW w:w="1998" w:type="pct"/>
                  <w:vAlign w:val="center"/>
                </w:tcPr>
                <w:p>
                  <w:pPr>
                    <w:pStyle w:val="63"/>
                    <w:rPr>
                      <w:color w:val="auto"/>
                    </w:rPr>
                  </w:pPr>
                  <w:r>
                    <w:rPr>
                      <w:rFonts w:hint="eastAsia"/>
                      <w:color w:val="auto"/>
                      <w:lang w:eastAsia="zh-CN"/>
                    </w:rPr>
                    <w:t>本</w:t>
                  </w:r>
                  <w:r>
                    <w:rPr>
                      <w:rFonts w:hint="eastAsia"/>
                      <w:color w:val="auto"/>
                    </w:rPr>
                    <w:t>项目排放的废气主要为</w:t>
                  </w:r>
                  <w:r>
                    <w:rPr>
                      <w:rFonts w:hint="eastAsia"/>
                      <w:color w:val="auto"/>
                      <w:lang w:eastAsia="zh-CN"/>
                    </w:rPr>
                    <w:t>颗粒物、二氧化硫、氮氧化物，</w:t>
                  </w:r>
                  <w:r>
                    <w:rPr>
                      <w:rFonts w:hint="eastAsia"/>
                      <w:color w:val="auto"/>
                    </w:rPr>
                    <w:t>不属于编制指南中列举的二噁英、苯并[a]芘、氰化物、氯气；也不属于《有毒有害大气污染物名录》中列出的</w:t>
                  </w:r>
                  <w:r>
                    <w:rPr>
                      <w:rFonts w:hint="eastAsia"/>
                      <w:color w:val="auto"/>
                      <w:lang w:eastAsia="zh-CN"/>
                    </w:rPr>
                    <w:t>有毒有害污染物，项目周边5</w:t>
                  </w:r>
                  <w:r>
                    <w:rPr>
                      <w:color w:val="auto"/>
                      <w:lang w:eastAsia="zh-CN"/>
                    </w:rPr>
                    <w:t>00</w:t>
                  </w:r>
                  <w:r>
                    <w:rPr>
                      <w:rFonts w:hint="eastAsia"/>
                      <w:color w:val="auto"/>
                      <w:lang w:eastAsia="zh-CN"/>
                    </w:rPr>
                    <w:t>m范围内无环境空气保护目标</w:t>
                  </w:r>
                </w:p>
              </w:tc>
              <w:tc>
                <w:tcPr>
                  <w:tcW w:w="576" w:type="pct"/>
                  <w:vAlign w:val="center"/>
                </w:tcPr>
                <w:p>
                  <w:pPr>
                    <w:pStyle w:val="63"/>
                    <w:rPr>
                      <w:color w:val="auto"/>
                    </w:rPr>
                  </w:pPr>
                  <w:r>
                    <w:rPr>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4" w:type="pct"/>
                  <w:vAlign w:val="center"/>
                </w:tcPr>
                <w:p>
                  <w:pPr>
                    <w:pStyle w:val="63"/>
                    <w:rPr>
                      <w:color w:val="auto"/>
                    </w:rPr>
                  </w:pPr>
                  <w:r>
                    <w:rPr>
                      <w:color w:val="auto"/>
                    </w:rPr>
                    <w:t>2</w:t>
                  </w:r>
                </w:p>
              </w:tc>
              <w:tc>
                <w:tcPr>
                  <w:tcW w:w="690" w:type="pct"/>
                  <w:vAlign w:val="center"/>
                </w:tcPr>
                <w:p>
                  <w:pPr>
                    <w:pStyle w:val="63"/>
                    <w:rPr>
                      <w:color w:val="auto"/>
                    </w:rPr>
                  </w:pPr>
                  <w:r>
                    <w:rPr>
                      <w:color w:val="auto"/>
                    </w:rPr>
                    <w:t>地表水</w:t>
                  </w:r>
                </w:p>
              </w:tc>
              <w:tc>
                <w:tcPr>
                  <w:tcW w:w="1422" w:type="pct"/>
                  <w:vAlign w:val="center"/>
                </w:tcPr>
                <w:p>
                  <w:pPr>
                    <w:pStyle w:val="63"/>
                    <w:rPr>
                      <w:color w:val="auto"/>
                    </w:rPr>
                  </w:pPr>
                  <w:r>
                    <w:rPr>
                      <w:color w:val="auto"/>
                    </w:rPr>
                    <w:t>新增工业废水直排建设项目（槽罐车外送污水处理厂的除外）；新增废水直排的污水集中处理厂</w:t>
                  </w:r>
                </w:p>
              </w:tc>
              <w:tc>
                <w:tcPr>
                  <w:tcW w:w="1998" w:type="pct"/>
                  <w:vAlign w:val="center"/>
                </w:tcPr>
                <w:p>
                  <w:pPr>
                    <w:pStyle w:val="63"/>
                    <w:rPr>
                      <w:color w:val="auto"/>
                      <w:highlight w:val="green"/>
                    </w:rPr>
                  </w:pPr>
                  <w:r>
                    <w:rPr>
                      <w:rFonts w:hint="eastAsia"/>
                      <w:color w:val="auto"/>
                    </w:rPr>
                    <w:t>本项目</w:t>
                  </w:r>
                  <w:r>
                    <w:rPr>
                      <w:rFonts w:hint="eastAsia"/>
                      <w:color w:val="auto"/>
                      <w:lang w:eastAsia="zh-CN"/>
                    </w:rPr>
                    <w:t>仅对热退火炉燃烧系统进行技改，不涉及其他工序的改造，运营期不新增生产废水和生活污水，现有项目无生产废水、生活污水外排</w:t>
                  </w:r>
                </w:p>
              </w:tc>
              <w:tc>
                <w:tcPr>
                  <w:tcW w:w="576" w:type="pct"/>
                  <w:vAlign w:val="center"/>
                </w:tcPr>
                <w:p>
                  <w:pPr>
                    <w:pStyle w:val="63"/>
                    <w:rPr>
                      <w:color w:val="auto"/>
                    </w:rPr>
                  </w:pPr>
                  <w:r>
                    <w:rPr>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314" w:type="pct"/>
                  <w:vAlign w:val="center"/>
                </w:tcPr>
                <w:p>
                  <w:pPr>
                    <w:pStyle w:val="63"/>
                    <w:rPr>
                      <w:color w:val="auto"/>
                    </w:rPr>
                  </w:pPr>
                  <w:r>
                    <w:rPr>
                      <w:color w:val="auto"/>
                    </w:rPr>
                    <w:t>3</w:t>
                  </w:r>
                </w:p>
              </w:tc>
              <w:tc>
                <w:tcPr>
                  <w:tcW w:w="690" w:type="pct"/>
                  <w:vAlign w:val="center"/>
                </w:tcPr>
                <w:p>
                  <w:pPr>
                    <w:pStyle w:val="63"/>
                    <w:rPr>
                      <w:color w:val="auto"/>
                    </w:rPr>
                  </w:pPr>
                  <w:r>
                    <w:rPr>
                      <w:color w:val="auto"/>
                    </w:rPr>
                    <w:t>环境风险</w:t>
                  </w:r>
                </w:p>
              </w:tc>
              <w:tc>
                <w:tcPr>
                  <w:tcW w:w="1422" w:type="pct"/>
                  <w:vAlign w:val="center"/>
                </w:tcPr>
                <w:p>
                  <w:pPr>
                    <w:pStyle w:val="63"/>
                    <w:rPr>
                      <w:color w:val="auto"/>
                    </w:rPr>
                  </w:pPr>
                  <w:r>
                    <w:rPr>
                      <w:color w:val="auto"/>
                    </w:rPr>
                    <w:t>有毒有害和易燃易爆危险物质存储量超过临界量的建设项目</w:t>
                  </w:r>
                </w:p>
              </w:tc>
              <w:tc>
                <w:tcPr>
                  <w:tcW w:w="1998" w:type="pct"/>
                  <w:vAlign w:val="center"/>
                </w:tcPr>
                <w:p>
                  <w:pPr>
                    <w:pStyle w:val="63"/>
                    <w:rPr>
                      <w:color w:val="auto"/>
                    </w:rPr>
                  </w:pPr>
                  <w:r>
                    <w:rPr>
                      <w:rFonts w:hint="eastAsia"/>
                      <w:color w:val="auto"/>
                    </w:rPr>
                    <w:t>本项目</w:t>
                  </w:r>
                  <w:r>
                    <w:rPr>
                      <w:rFonts w:hint="eastAsia"/>
                      <w:color w:val="auto"/>
                      <w:lang w:eastAsia="zh-CN"/>
                    </w:rPr>
                    <w:t>使用</w:t>
                  </w:r>
                  <w:r>
                    <w:rPr>
                      <w:rFonts w:hint="eastAsia"/>
                      <w:color w:val="auto"/>
                    </w:rPr>
                    <w:t>的</w:t>
                  </w:r>
                  <w:r>
                    <w:rPr>
                      <w:rFonts w:hint="eastAsia"/>
                      <w:color w:val="auto"/>
                      <w:lang w:eastAsia="zh-CN"/>
                    </w:rPr>
                    <w:t>天然气</w:t>
                  </w:r>
                  <w:r>
                    <w:rPr>
                      <w:rFonts w:hint="eastAsia"/>
                      <w:color w:val="auto"/>
                    </w:rPr>
                    <w:t>临界量</w:t>
                  </w:r>
                  <w:r>
                    <w:rPr>
                      <w:rFonts w:hint="eastAsia"/>
                      <w:color w:val="auto"/>
                      <w:lang w:eastAsia="zh-CN"/>
                    </w:rPr>
                    <w:t>0</w:t>
                  </w:r>
                  <w:r>
                    <w:rPr>
                      <w:color w:val="auto"/>
                      <w:lang w:eastAsia="zh-CN"/>
                    </w:rPr>
                    <w:t>.298</w:t>
                  </w:r>
                  <w:r>
                    <w:rPr>
                      <w:rFonts w:hint="eastAsia"/>
                      <w:color w:val="auto"/>
                      <w:lang w:eastAsia="zh-CN"/>
                    </w:rPr>
                    <w:t>t，Q值为0</w:t>
                  </w:r>
                  <w:r>
                    <w:rPr>
                      <w:color w:val="auto"/>
                      <w:lang w:eastAsia="zh-CN"/>
                    </w:rPr>
                    <w:t>.00596</w:t>
                  </w:r>
                  <w:r>
                    <w:rPr>
                      <w:rFonts w:hint="eastAsia"/>
                      <w:color w:val="auto"/>
                      <w:lang w:eastAsia="zh-CN"/>
                    </w:rPr>
                    <w:t>，</w:t>
                  </w:r>
                  <w:r>
                    <w:rPr>
                      <w:rFonts w:hint="eastAsia"/>
                      <w:color w:val="auto"/>
                    </w:rPr>
                    <w:t>未超过《建设项目环境风险评价技术导则》（HJ 169</w:t>
                  </w:r>
                  <w:r>
                    <w:rPr>
                      <w:color w:val="auto"/>
                    </w:rPr>
                    <w:t>-2018</w:t>
                  </w:r>
                  <w:r>
                    <w:rPr>
                      <w:rFonts w:hint="eastAsia"/>
                      <w:color w:val="auto"/>
                    </w:rPr>
                    <w:t>）要求</w:t>
                  </w:r>
                </w:p>
              </w:tc>
              <w:tc>
                <w:tcPr>
                  <w:tcW w:w="576" w:type="pct"/>
                  <w:vAlign w:val="center"/>
                </w:tcPr>
                <w:p>
                  <w:pPr>
                    <w:pStyle w:val="63"/>
                    <w:rPr>
                      <w:color w:val="auto"/>
                    </w:rPr>
                  </w:pPr>
                  <w:r>
                    <w:rPr>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 w:type="pct"/>
                  <w:vAlign w:val="center"/>
                </w:tcPr>
                <w:p>
                  <w:pPr>
                    <w:pStyle w:val="63"/>
                    <w:rPr>
                      <w:color w:val="auto"/>
                    </w:rPr>
                  </w:pPr>
                  <w:r>
                    <w:rPr>
                      <w:color w:val="auto"/>
                    </w:rPr>
                    <w:t>4</w:t>
                  </w:r>
                </w:p>
              </w:tc>
              <w:tc>
                <w:tcPr>
                  <w:tcW w:w="690" w:type="pct"/>
                  <w:vAlign w:val="center"/>
                </w:tcPr>
                <w:p>
                  <w:pPr>
                    <w:pStyle w:val="63"/>
                    <w:rPr>
                      <w:color w:val="auto"/>
                    </w:rPr>
                  </w:pPr>
                  <w:r>
                    <w:rPr>
                      <w:color w:val="auto"/>
                    </w:rPr>
                    <w:t>生态</w:t>
                  </w:r>
                </w:p>
              </w:tc>
              <w:tc>
                <w:tcPr>
                  <w:tcW w:w="1422" w:type="pct"/>
                  <w:vAlign w:val="center"/>
                </w:tcPr>
                <w:p>
                  <w:pPr>
                    <w:pStyle w:val="63"/>
                    <w:rPr>
                      <w:color w:val="auto"/>
                    </w:rPr>
                  </w:pPr>
                  <w:r>
                    <w:rPr>
                      <w:color w:val="auto"/>
                    </w:rPr>
                    <w:t>取水口下游500m范围内有重要水生生物的自然产卵场、索饵场、越冬</w:t>
                  </w:r>
                  <w:r>
                    <w:rPr>
                      <w:rFonts w:hint="eastAsia"/>
                      <w:color w:val="auto"/>
                      <w:lang w:val="en-US" w:eastAsia="zh-CN"/>
                    </w:rPr>
                    <w:t>场和洄游</w:t>
                  </w:r>
                  <w:r>
                    <w:rPr>
                      <w:color w:val="auto"/>
                    </w:rPr>
                    <w:t>通道的新增河道取水的污染类建设项目</w:t>
                  </w:r>
                </w:p>
              </w:tc>
              <w:tc>
                <w:tcPr>
                  <w:tcW w:w="1998" w:type="pct"/>
                  <w:vAlign w:val="center"/>
                </w:tcPr>
                <w:p>
                  <w:pPr>
                    <w:pStyle w:val="63"/>
                    <w:rPr>
                      <w:color w:val="auto"/>
                      <w:lang w:eastAsia="zh-CN"/>
                    </w:rPr>
                  </w:pPr>
                  <w:r>
                    <w:rPr>
                      <w:color w:val="auto"/>
                    </w:rPr>
                    <w:t>本项目</w:t>
                  </w:r>
                  <w:r>
                    <w:rPr>
                      <w:rFonts w:hint="eastAsia"/>
                      <w:color w:val="auto"/>
                      <w:lang w:eastAsia="zh-CN"/>
                    </w:rPr>
                    <w:t>生产、生活用水由园区供水管网</w:t>
                  </w:r>
                  <w:r>
                    <w:rPr>
                      <w:rFonts w:hint="eastAsia"/>
                      <w:color w:val="auto"/>
                      <w:lang w:val="en-US" w:eastAsia="zh-CN"/>
                    </w:rPr>
                    <w:t>提供，</w:t>
                  </w:r>
                  <w:r>
                    <w:rPr>
                      <w:color w:val="auto"/>
                    </w:rPr>
                    <w:t>不涉及取水口</w:t>
                  </w:r>
                </w:p>
              </w:tc>
              <w:tc>
                <w:tcPr>
                  <w:tcW w:w="576" w:type="pct"/>
                  <w:vAlign w:val="center"/>
                </w:tcPr>
                <w:p>
                  <w:pPr>
                    <w:pStyle w:val="63"/>
                    <w:rPr>
                      <w:color w:val="auto"/>
                    </w:rPr>
                  </w:pPr>
                  <w:r>
                    <w:rPr>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 w:type="pct"/>
                  <w:vAlign w:val="center"/>
                </w:tcPr>
                <w:p>
                  <w:pPr>
                    <w:pStyle w:val="63"/>
                    <w:rPr>
                      <w:color w:val="auto"/>
                      <w:lang w:eastAsia="zh-CN"/>
                    </w:rPr>
                  </w:pPr>
                  <w:r>
                    <w:rPr>
                      <w:rFonts w:hint="eastAsia"/>
                      <w:color w:val="auto"/>
                      <w:lang w:eastAsia="zh-CN"/>
                    </w:rPr>
                    <w:t>5</w:t>
                  </w:r>
                </w:p>
              </w:tc>
              <w:tc>
                <w:tcPr>
                  <w:tcW w:w="690" w:type="pct"/>
                  <w:vAlign w:val="center"/>
                </w:tcPr>
                <w:p>
                  <w:pPr>
                    <w:pStyle w:val="63"/>
                    <w:rPr>
                      <w:color w:val="auto"/>
                    </w:rPr>
                  </w:pPr>
                  <w:r>
                    <w:rPr>
                      <w:rFonts w:hint="eastAsia"/>
                      <w:color w:val="auto"/>
                      <w:lang w:eastAsia="zh-CN"/>
                    </w:rPr>
                    <w:t>海洋</w:t>
                  </w:r>
                </w:p>
              </w:tc>
              <w:tc>
                <w:tcPr>
                  <w:tcW w:w="1422" w:type="pct"/>
                  <w:vAlign w:val="center"/>
                </w:tcPr>
                <w:p>
                  <w:pPr>
                    <w:pStyle w:val="63"/>
                    <w:rPr>
                      <w:color w:val="auto"/>
                    </w:rPr>
                  </w:pPr>
                  <w:r>
                    <w:rPr>
                      <w:rFonts w:hint="eastAsia"/>
                      <w:color w:val="auto"/>
                    </w:rPr>
                    <w:t>直接向海排放污染物的海洋工程建设项目</w:t>
                  </w:r>
                </w:p>
              </w:tc>
              <w:tc>
                <w:tcPr>
                  <w:tcW w:w="1998" w:type="pct"/>
                  <w:vAlign w:val="center"/>
                </w:tcPr>
                <w:p>
                  <w:pPr>
                    <w:pStyle w:val="63"/>
                    <w:rPr>
                      <w:color w:val="auto"/>
                    </w:rPr>
                  </w:pPr>
                  <w:r>
                    <w:rPr>
                      <w:rFonts w:hint="eastAsia"/>
                      <w:color w:val="auto"/>
                    </w:rPr>
                    <w:t>本项目不涉及海洋</w:t>
                  </w:r>
                </w:p>
              </w:tc>
              <w:tc>
                <w:tcPr>
                  <w:tcW w:w="576" w:type="pct"/>
                  <w:vAlign w:val="center"/>
                </w:tcPr>
                <w:p>
                  <w:pPr>
                    <w:pStyle w:val="63"/>
                    <w:rPr>
                      <w:color w:val="auto"/>
                    </w:rPr>
                  </w:pPr>
                  <w:r>
                    <w:rPr>
                      <w:color w:val="auto"/>
                    </w:rPr>
                    <w:t>否</w:t>
                  </w:r>
                </w:p>
              </w:tc>
            </w:tr>
          </w:tbl>
          <w:p>
            <w:pPr>
              <w:ind w:firstLine="48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86" w:type="pct"/>
            <w:vAlign w:val="center"/>
          </w:tcPr>
          <w:p>
            <w:pPr>
              <w:pStyle w:val="54"/>
              <w:rPr>
                <w:color w:val="auto"/>
                <w:kern w:val="0"/>
                <w:szCs w:val="24"/>
              </w:rPr>
            </w:pPr>
            <w:r>
              <w:rPr>
                <w:rFonts w:hint="eastAsia"/>
                <w:color w:val="auto"/>
                <w:szCs w:val="24"/>
              </w:rPr>
              <w:t>规划情况</w:t>
            </w:r>
          </w:p>
        </w:tc>
        <w:tc>
          <w:tcPr>
            <w:tcW w:w="4514" w:type="pct"/>
            <w:gridSpan w:val="4"/>
            <w:vAlign w:val="center"/>
          </w:tcPr>
          <w:p>
            <w:pPr>
              <w:pStyle w:val="80"/>
              <w:ind w:firstLine="482"/>
              <w:rPr>
                <w:color w:val="auto"/>
              </w:rPr>
            </w:pPr>
            <w:r>
              <w:rPr>
                <w:color w:val="auto"/>
              </w:rPr>
              <w:t>1.文件名称</w:t>
            </w:r>
          </w:p>
          <w:p>
            <w:pPr>
              <w:ind w:firstLine="480"/>
              <w:rPr>
                <w:color w:val="auto"/>
              </w:rPr>
            </w:pPr>
            <w:r>
              <w:rPr>
                <w:rFonts w:hint="eastAsia"/>
                <w:color w:val="auto"/>
              </w:rPr>
              <w:t>《云南师宗产业园区总体规划（2021-2035）》。</w:t>
            </w:r>
          </w:p>
          <w:p>
            <w:pPr>
              <w:pStyle w:val="80"/>
              <w:ind w:firstLine="482"/>
              <w:rPr>
                <w:color w:val="auto"/>
              </w:rPr>
            </w:pPr>
            <w:r>
              <w:rPr>
                <w:color w:val="auto"/>
              </w:rPr>
              <w:t>2.审查机关</w:t>
            </w:r>
          </w:p>
          <w:p>
            <w:pPr>
              <w:ind w:firstLine="480"/>
              <w:rPr>
                <w:color w:val="auto"/>
              </w:rPr>
            </w:pPr>
            <w:r>
              <w:rPr>
                <w:rFonts w:hint="eastAsia"/>
                <w:color w:val="auto"/>
              </w:rPr>
              <w:t>曲靖市人民政府。</w:t>
            </w:r>
          </w:p>
          <w:p>
            <w:pPr>
              <w:pStyle w:val="80"/>
              <w:ind w:firstLine="482"/>
              <w:rPr>
                <w:color w:val="auto"/>
              </w:rPr>
            </w:pPr>
            <w:r>
              <w:rPr>
                <w:color w:val="auto"/>
              </w:rPr>
              <w:t>3.审查文件名称及文号</w:t>
            </w:r>
          </w:p>
          <w:p>
            <w:pPr>
              <w:ind w:firstLine="480"/>
              <w:rPr>
                <w:color w:val="auto"/>
              </w:rPr>
            </w:pPr>
            <w:r>
              <w:rPr>
                <w:rFonts w:hint="eastAsia"/>
                <w:color w:val="auto"/>
              </w:rPr>
              <w:t>《曲靖市人民政府关于&lt;云南师宗产业园区总体规划（2021~2035）&gt;的批复》（曲政复</w:t>
            </w:r>
            <w:r>
              <w:rPr>
                <w:rFonts w:hint="eastAsia" w:ascii="宋体" w:hAnsi="宋体"/>
                <w:color w:val="auto"/>
              </w:rPr>
              <w:t>〔</w:t>
            </w:r>
            <w:r>
              <w:rPr>
                <w:rFonts w:hint="eastAsia"/>
                <w:color w:val="auto"/>
              </w:rPr>
              <w:t>2023</w:t>
            </w:r>
            <w:r>
              <w:rPr>
                <w:rFonts w:hint="eastAsia" w:ascii="宋体" w:hAnsi="宋体"/>
                <w:color w:val="auto"/>
              </w:rPr>
              <w:t>〕</w:t>
            </w:r>
            <w:r>
              <w:rPr>
                <w:rFonts w:hint="eastAsia"/>
                <w:color w:val="auto"/>
              </w:rPr>
              <w:t>32号）。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86" w:type="pct"/>
            <w:vAlign w:val="center"/>
          </w:tcPr>
          <w:p>
            <w:pPr>
              <w:spacing w:line="240" w:lineRule="auto"/>
              <w:ind w:firstLine="0" w:firstLineChars="0"/>
              <w:jc w:val="center"/>
              <w:rPr>
                <w:rFonts w:ascii="宋体" w:hAnsi="宋体" w:cs="宋体"/>
                <w:color w:val="auto"/>
                <w:kern w:val="0"/>
                <w:szCs w:val="21"/>
              </w:rPr>
            </w:pPr>
            <w:r>
              <w:rPr>
                <w:rFonts w:hint="eastAsia"/>
                <w:color w:val="auto"/>
              </w:rPr>
              <w:t>规</w:t>
            </w:r>
            <w:r>
              <w:rPr>
                <w:rFonts w:hint="eastAsia" w:cs="宋体"/>
                <w:color w:val="auto"/>
              </w:rPr>
              <w:t>划环境影响评价情况</w:t>
            </w:r>
          </w:p>
        </w:tc>
        <w:tc>
          <w:tcPr>
            <w:tcW w:w="4514" w:type="pct"/>
            <w:gridSpan w:val="4"/>
            <w:vAlign w:val="center"/>
          </w:tcPr>
          <w:p>
            <w:pPr>
              <w:pStyle w:val="80"/>
              <w:ind w:firstLine="482"/>
              <w:rPr>
                <w:color w:val="auto"/>
              </w:rPr>
            </w:pPr>
            <w:r>
              <w:rPr>
                <w:color w:val="auto"/>
              </w:rPr>
              <w:t>1.文件名称</w:t>
            </w:r>
          </w:p>
          <w:p>
            <w:pPr>
              <w:ind w:firstLine="480"/>
              <w:rPr>
                <w:color w:val="auto"/>
              </w:rPr>
            </w:pPr>
            <w:r>
              <w:rPr>
                <w:color w:val="auto"/>
              </w:rPr>
              <w:t>《</w:t>
            </w:r>
            <w:r>
              <w:rPr>
                <w:rFonts w:hint="eastAsia"/>
                <w:color w:val="auto"/>
              </w:rPr>
              <w:t>云南师宗产业园区总体规划（2021-2035年）环境影响报告书</w:t>
            </w:r>
            <w:r>
              <w:rPr>
                <w:color w:val="auto"/>
              </w:rPr>
              <w:t>》。</w:t>
            </w:r>
          </w:p>
          <w:p>
            <w:pPr>
              <w:pStyle w:val="80"/>
              <w:ind w:firstLine="482"/>
              <w:rPr>
                <w:color w:val="auto"/>
              </w:rPr>
            </w:pPr>
            <w:r>
              <w:rPr>
                <w:color w:val="auto"/>
              </w:rPr>
              <w:t>2.审查机关</w:t>
            </w:r>
          </w:p>
          <w:p>
            <w:pPr>
              <w:ind w:firstLine="480"/>
              <w:rPr>
                <w:color w:val="auto"/>
              </w:rPr>
            </w:pPr>
            <w:r>
              <w:rPr>
                <w:rFonts w:hint="eastAsia"/>
                <w:color w:val="auto"/>
              </w:rPr>
              <w:t>曲靖市生态环境局</w:t>
            </w:r>
            <w:r>
              <w:rPr>
                <w:color w:val="auto"/>
              </w:rPr>
              <w:t>。</w:t>
            </w:r>
          </w:p>
          <w:p>
            <w:pPr>
              <w:pStyle w:val="80"/>
              <w:ind w:firstLine="482"/>
              <w:rPr>
                <w:color w:val="auto"/>
              </w:rPr>
            </w:pPr>
            <w:r>
              <w:rPr>
                <w:color w:val="auto"/>
              </w:rPr>
              <w:t>3.审查文件名称及文号</w:t>
            </w:r>
          </w:p>
          <w:p>
            <w:pPr>
              <w:ind w:firstLine="480"/>
              <w:rPr>
                <w:color w:val="auto"/>
              </w:rPr>
            </w:pPr>
            <w:r>
              <w:rPr>
                <w:rFonts w:hint="eastAsia"/>
                <w:color w:val="auto"/>
              </w:rPr>
              <w:t>曲靖市生态环境局关于</w:t>
            </w:r>
            <w:r>
              <w:rPr>
                <w:color w:val="auto"/>
              </w:rPr>
              <w:t>《</w:t>
            </w:r>
            <w:r>
              <w:rPr>
                <w:rFonts w:hint="eastAsia"/>
                <w:color w:val="auto"/>
              </w:rPr>
              <w:t>云南师宗产业园区总体规划（2021-2035年）环境影响报告书审查意见的函</w:t>
            </w:r>
            <w:r>
              <w:rPr>
                <w:color w:val="auto"/>
              </w:rPr>
              <w:t>》（</w:t>
            </w:r>
            <w:r>
              <w:rPr>
                <w:rFonts w:hint="eastAsia"/>
                <w:color w:val="auto"/>
              </w:rPr>
              <w:t>曲</w:t>
            </w:r>
            <w:r>
              <w:rPr>
                <w:color w:val="auto"/>
              </w:rPr>
              <w:t>环函﹝20</w:t>
            </w:r>
            <w:r>
              <w:rPr>
                <w:rFonts w:hint="eastAsia"/>
                <w:color w:val="auto"/>
              </w:rPr>
              <w:t>22</w:t>
            </w:r>
            <w:r>
              <w:rPr>
                <w:color w:val="auto"/>
              </w:rPr>
              <w:t>﹞</w:t>
            </w:r>
            <w:r>
              <w:rPr>
                <w:rFonts w:hint="eastAsia"/>
                <w:color w:val="auto"/>
              </w:rPr>
              <w:t>34</w:t>
            </w:r>
            <w:r>
              <w:rPr>
                <w:color w:val="auto"/>
              </w:rPr>
              <w:t>号）。</w:t>
            </w:r>
          </w:p>
          <w:p>
            <w:pPr>
              <w:ind w:firstLine="480"/>
              <w:rPr>
                <w:color w:val="auto"/>
              </w:rPr>
            </w:pPr>
          </w:p>
          <w:p>
            <w:pPr>
              <w:ind w:firstLine="480"/>
              <w:rPr>
                <w:color w:val="auto"/>
              </w:rPr>
            </w:pPr>
          </w:p>
          <w:p>
            <w:pPr>
              <w:ind w:firstLine="480"/>
              <w:rPr>
                <w:color w:val="auto"/>
              </w:rPr>
            </w:pPr>
            <w:r>
              <w:rPr>
                <w:rFonts w:hint="eastAsia"/>
                <w:color w:val="auto"/>
              </w:rPr>
              <w:t xml:space="preserve"> </w:t>
            </w:r>
            <w:r>
              <w:rPr>
                <w:color w:val="auto"/>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86" w:type="pct"/>
            <w:vAlign w:val="center"/>
          </w:tcPr>
          <w:p>
            <w:pPr>
              <w:autoSpaceDE w:val="0"/>
              <w:adjustRightInd w:val="0"/>
              <w:snapToGrid w:val="0"/>
              <w:spacing w:line="240" w:lineRule="auto"/>
              <w:ind w:firstLine="0" w:firstLineChars="0"/>
              <w:jc w:val="center"/>
              <w:rPr>
                <w:rFonts w:ascii="宋体" w:hAnsi="宋体" w:cs="宋体"/>
                <w:color w:val="auto"/>
                <w:kern w:val="0"/>
                <w:szCs w:val="21"/>
              </w:rPr>
            </w:pPr>
            <w:r>
              <w:rPr>
                <w:rFonts w:hint="eastAsia" w:ascii="宋体" w:hAnsi="宋体" w:cs="宋体"/>
                <w:color w:val="auto"/>
                <w:kern w:val="0"/>
                <w:szCs w:val="21"/>
              </w:rPr>
              <w:t>规划及规划环境影响评价符合性分析</w:t>
            </w:r>
          </w:p>
        </w:tc>
        <w:tc>
          <w:tcPr>
            <w:tcW w:w="4514" w:type="pct"/>
            <w:gridSpan w:val="4"/>
            <w:vAlign w:val="center"/>
          </w:tcPr>
          <w:p>
            <w:pPr>
              <w:pStyle w:val="51"/>
              <w:spacing w:before="120" w:after="120"/>
              <w:rPr>
                <w:color w:val="auto"/>
              </w:rPr>
            </w:pPr>
            <w:r>
              <w:rPr>
                <w:rFonts w:hint="eastAsia"/>
                <w:color w:val="auto"/>
              </w:rPr>
              <w:t>1</w:t>
            </w:r>
            <w:r>
              <w:rPr>
                <w:color w:val="auto"/>
              </w:rPr>
              <w:t>.1</w:t>
            </w:r>
            <w:r>
              <w:rPr>
                <w:rFonts w:hint="eastAsia"/>
                <w:color w:val="auto"/>
              </w:rPr>
              <w:t>本项目与《云南师宗产业园区总体规划（2021-2035年）》符合性分析</w:t>
            </w:r>
          </w:p>
          <w:p>
            <w:pPr>
              <w:ind w:firstLine="480"/>
              <w:rPr>
                <w:b/>
                <w:bCs/>
                <w:color w:val="auto"/>
              </w:rPr>
            </w:pPr>
            <w:r>
              <w:rPr>
                <w:color w:val="auto"/>
              </w:rPr>
              <w:t>本项目建设地点位于</w:t>
            </w:r>
            <w:r>
              <w:rPr>
                <w:rFonts w:hint="eastAsia"/>
                <w:color w:val="auto"/>
              </w:rPr>
              <w:t>云南师宗产业园区大同片区（云南天高镍业有限公司内），云南师宗产业园区大同片区规划范围、用地面积、产业布局及产业发展方向如下：</w:t>
            </w:r>
          </w:p>
          <w:p>
            <w:pPr>
              <w:pStyle w:val="80"/>
              <w:ind w:firstLine="482"/>
              <w:rPr>
                <w:color w:val="auto"/>
              </w:rPr>
            </w:pPr>
            <w:r>
              <w:rPr>
                <w:color w:val="auto"/>
              </w:rPr>
              <w:t>1</w:t>
            </w:r>
            <w:r>
              <w:rPr>
                <w:rFonts w:hint="eastAsia"/>
                <w:color w:val="auto"/>
              </w:rPr>
              <w:t>.规划</w:t>
            </w:r>
            <w:r>
              <w:rPr>
                <w:color w:val="auto"/>
              </w:rPr>
              <w:t>范围及用地面积</w:t>
            </w:r>
          </w:p>
          <w:p>
            <w:pPr>
              <w:ind w:firstLine="480"/>
              <w:rPr>
                <w:color w:val="auto"/>
              </w:rPr>
            </w:pPr>
            <w:r>
              <w:rPr>
                <w:rFonts w:hint="eastAsia"/>
                <w:color w:val="auto"/>
              </w:rPr>
              <w:t>园区总体规划面积为20.49km</w:t>
            </w:r>
            <w:r>
              <w:rPr>
                <w:rFonts w:hint="eastAsia"/>
                <w:color w:val="auto"/>
                <w:vertAlign w:val="superscript"/>
              </w:rPr>
              <w:t>2</w:t>
            </w:r>
            <w:r>
              <w:rPr>
                <w:rFonts w:hint="eastAsia"/>
                <w:color w:val="auto"/>
              </w:rPr>
              <w:t>，包括大同和矣腊两个片区，形成“一区两片”的空间格局。其中大同片区规划面积为17.47km</w:t>
            </w:r>
            <w:r>
              <w:rPr>
                <w:rFonts w:hint="eastAsia"/>
                <w:color w:val="auto"/>
                <w:vertAlign w:val="superscript"/>
              </w:rPr>
              <w:t>2</w:t>
            </w:r>
            <w:r>
              <w:rPr>
                <w:rFonts w:hint="eastAsia"/>
                <w:color w:val="auto"/>
              </w:rPr>
              <w:t>（1746.69hm</w:t>
            </w:r>
            <w:r>
              <w:rPr>
                <w:rFonts w:hint="eastAsia"/>
                <w:color w:val="auto"/>
                <w:vertAlign w:val="superscript"/>
              </w:rPr>
              <w:t>2</w:t>
            </w:r>
            <w:r>
              <w:rPr>
                <w:rFonts w:hint="eastAsia"/>
                <w:color w:val="auto"/>
              </w:rPr>
              <w:t>），规划范围北至白午厦村南部、南至大芦柴冲村北部、东至白马山（嘉华水泥厂）、西至子午大道。</w:t>
            </w:r>
          </w:p>
          <w:p>
            <w:pPr>
              <w:pStyle w:val="80"/>
              <w:ind w:firstLine="482"/>
              <w:rPr>
                <w:color w:val="auto"/>
              </w:rPr>
            </w:pPr>
            <w:r>
              <w:rPr>
                <w:color w:val="auto"/>
              </w:rPr>
              <w:t>2</w:t>
            </w:r>
            <w:r>
              <w:rPr>
                <w:rFonts w:hint="eastAsia"/>
                <w:color w:val="auto"/>
              </w:rPr>
              <w:t>.</w:t>
            </w:r>
            <w:r>
              <w:rPr>
                <w:color w:val="auto"/>
              </w:rPr>
              <w:t>产业布局</w:t>
            </w:r>
          </w:p>
          <w:p>
            <w:pPr>
              <w:ind w:firstLine="480"/>
              <w:rPr>
                <w:color w:val="auto"/>
              </w:rPr>
            </w:pPr>
            <w:r>
              <w:rPr>
                <w:rFonts w:hint="eastAsia"/>
                <w:color w:val="auto"/>
              </w:rPr>
              <w:t>云南师宗产业园区目前已逐渐形成“一园两片，多个产业区”的产业发展格局。规划延续“园中园”的产业格局，科学谋划各专业产业组团的发展方向和特色主导产业，实现专业产业组团个性化、特色化发展，壮大“园中园”经济实力。大同片区：主要发展不锈钢冶炼及深加工产业、建筑建材产业、生物资源加工产业、综合加工产业、现代服务产业。</w:t>
            </w:r>
          </w:p>
          <w:p>
            <w:pPr>
              <w:pStyle w:val="80"/>
              <w:ind w:firstLine="482"/>
              <w:rPr>
                <w:color w:val="auto"/>
              </w:rPr>
            </w:pPr>
            <w:r>
              <w:rPr>
                <w:color w:val="auto"/>
              </w:rPr>
              <w:t>3</w:t>
            </w:r>
            <w:r>
              <w:rPr>
                <w:rFonts w:hint="eastAsia"/>
                <w:color w:val="auto"/>
              </w:rPr>
              <w:t>.</w:t>
            </w:r>
            <w:r>
              <w:rPr>
                <w:color w:val="auto"/>
              </w:rPr>
              <w:t>产业发展方向</w:t>
            </w:r>
          </w:p>
          <w:p>
            <w:pPr>
              <w:ind w:firstLine="480"/>
              <w:rPr>
                <w:color w:val="auto"/>
              </w:rPr>
            </w:pPr>
            <w:r>
              <w:rPr>
                <w:rFonts w:hint="eastAsia"/>
                <w:color w:val="auto"/>
              </w:rPr>
              <w:t>云南师宗产业园区依托现有产能，形成以不锈钢冶炼及深加工为主导，以建筑建材产业（以新型建材为主）、生物资源加工产业（以农副产品加工为主）为辅助，面向装备制造、生物制药、木材加工、煤制品、物流产业、节能环保等多元发展的产业格局。</w:t>
            </w:r>
          </w:p>
          <w:p>
            <w:pPr>
              <w:ind w:firstLine="480"/>
              <w:rPr>
                <w:color w:val="auto"/>
              </w:rPr>
            </w:pPr>
            <w:r>
              <w:rPr>
                <w:color w:val="auto"/>
              </w:rPr>
              <w:t>本项目位于</w:t>
            </w:r>
            <w:r>
              <w:rPr>
                <w:rFonts w:hint="eastAsia"/>
                <w:color w:val="auto"/>
              </w:rPr>
              <w:t>云南师宗产业园区</w:t>
            </w:r>
            <w:r>
              <w:rPr>
                <w:color w:val="auto"/>
              </w:rPr>
              <w:t>大同片区内，</w:t>
            </w:r>
            <w:r>
              <w:rPr>
                <w:rFonts w:hint="eastAsia"/>
                <w:color w:val="auto"/>
              </w:rPr>
              <w:t>本次技改项目</w:t>
            </w:r>
            <w:r>
              <w:rPr>
                <w:color w:val="auto"/>
              </w:rPr>
              <w:t>属于不锈钢冶炼及深加工产业，高度契合园区规划，与规划产业发展方向和布局一致</w:t>
            </w:r>
            <w:r>
              <w:rPr>
                <w:rFonts w:hint="eastAsia"/>
                <w:color w:val="auto"/>
              </w:rPr>
              <w:t>。</w:t>
            </w:r>
          </w:p>
          <w:p>
            <w:pPr>
              <w:ind w:firstLine="480"/>
              <w:rPr>
                <w:color w:val="auto"/>
              </w:rPr>
            </w:pPr>
            <w:r>
              <w:rPr>
                <w:rFonts w:hint="eastAsia"/>
                <w:color w:val="auto"/>
              </w:rPr>
              <w:t>综上，本</w:t>
            </w:r>
            <w:r>
              <w:rPr>
                <w:color w:val="auto"/>
              </w:rPr>
              <w:t>项目建设符合《</w:t>
            </w:r>
            <w:r>
              <w:rPr>
                <w:rFonts w:hint="eastAsia"/>
                <w:color w:val="auto"/>
              </w:rPr>
              <w:t>云南师宗产业园区总体规划（2021-2035年）</w:t>
            </w:r>
            <w:r>
              <w:rPr>
                <w:color w:val="auto"/>
              </w:rPr>
              <w:t>》。</w:t>
            </w:r>
          </w:p>
          <w:p>
            <w:pPr>
              <w:ind w:firstLine="480"/>
              <w:rPr>
                <w:color w:val="auto"/>
              </w:rPr>
            </w:pPr>
          </w:p>
          <w:p>
            <w:pPr>
              <w:ind w:firstLine="480"/>
              <w:rPr>
                <w:color w:val="auto"/>
              </w:rPr>
            </w:pPr>
          </w:p>
          <w:p>
            <w:pPr>
              <w:ind w:firstLine="480"/>
              <w:rPr>
                <w:color w:val="auto"/>
              </w:rPr>
            </w:pPr>
            <w:r>
              <w:rPr>
                <w:rFonts w:hint="eastAsia"/>
                <w:color w:val="auto"/>
              </w:rPr>
              <w:t xml:space="preserve"> </w:t>
            </w:r>
          </w:p>
          <w:p>
            <w:pPr>
              <w:ind w:firstLine="480"/>
              <w:rPr>
                <w:color w:val="auto"/>
              </w:rPr>
            </w:pPr>
            <w:r>
              <w:rPr>
                <w:rFonts w:hint="eastAsia"/>
                <w:color w:val="auto"/>
              </w:rPr>
              <w:t xml:space="preserve"> </w:t>
            </w:r>
            <w:r>
              <w:rPr>
                <w:color w:val="auto"/>
              </w:rPr>
              <w:t xml:space="preserve"> </w:t>
            </w:r>
          </w:p>
          <w:p>
            <w:pPr>
              <w:pStyle w:val="51"/>
              <w:spacing w:before="120" w:after="120"/>
              <w:rPr>
                <w:color w:val="auto"/>
              </w:rPr>
            </w:pPr>
            <w:r>
              <w:rPr>
                <w:rFonts w:hint="eastAsia"/>
                <w:color w:val="auto"/>
              </w:rPr>
              <w:t>1</w:t>
            </w:r>
            <w:r>
              <w:rPr>
                <w:color w:val="auto"/>
              </w:rPr>
              <w:t>.2</w:t>
            </w:r>
            <w:r>
              <w:rPr>
                <w:rFonts w:hint="eastAsia"/>
                <w:color w:val="auto"/>
              </w:rPr>
              <w:t>本项目与《云南师宗产业园区总体规划（2021-2035年）</w:t>
            </w:r>
            <w:r>
              <w:rPr>
                <w:color w:val="auto"/>
              </w:rPr>
              <w:t>环境影响报告书</w:t>
            </w:r>
            <w:r>
              <w:rPr>
                <w:rFonts w:hint="eastAsia"/>
                <w:color w:val="auto"/>
              </w:rPr>
              <w:t>》</w:t>
            </w:r>
            <w:r>
              <w:rPr>
                <w:color w:val="auto"/>
              </w:rPr>
              <w:t>及其审查意见</w:t>
            </w:r>
            <w:r>
              <w:rPr>
                <w:rFonts w:hint="eastAsia"/>
                <w:color w:val="auto"/>
              </w:rPr>
              <w:t>的符合性分析</w:t>
            </w:r>
          </w:p>
          <w:p>
            <w:pPr>
              <w:ind w:firstLine="480"/>
              <w:rPr>
                <w:color w:val="auto"/>
              </w:rPr>
            </w:pPr>
            <w:r>
              <w:rPr>
                <w:color w:val="auto"/>
              </w:rPr>
              <w:t>项目与《云南师宗产业园区总体规划（2021-2035年）环境影响报告书》及其审查意见的符合性分析见下表1.2-1、表1.2-2所示</w:t>
            </w:r>
            <w:r>
              <w:rPr>
                <w:rFonts w:hint="eastAsia"/>
                <w:color w:val="auto"/>
              </w:rPr>
              <w:t>。</w:t>
            </w:r>
          </w:p>
          <w:p>
            <w:pPr>
              <w:pStyle w:val="66"/>
              <w:rPr>
                <w:color w:val="auto"/>
              </w:rPr>
            </w:pPr>
            <w:r>
              <w:rPr>
                <w:rFonts w:hint="eastAsia"/>
                <w:color w:val="auto"/>
              </w:rPr>
              <w:t>表1</w:t>
            </w:r>
            <w:r>
              <w:rPr>
                <w:color w:val="auto"/>
              </w:rPr>
              <w:t>.2</w:t>
            </w:r>
            <w:r>
              <w:rPr>
                <w:rFonts w:hint="eastAsia"/>
                <w:color w:val="auto"/>
              </w:rPr>
              <w:t>-</w:t>
            </w:r>
            <w:r>
              <w:rPr>
                <w:color w:val="auto"/>
              </w:rPr>
              <w:t>1</w:t>
            </w:r>
            <w:r>
              <w:rPr>
                <w:rFonts w:hint="eastAsia"/>
                <w:color w:val="auto"/>
              </w:rPr>
              <w:t xml:space="preserve"> 项目与规划环评影响报告书符合性一览表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3700"/>
              <w:gridCol w:w="2977"/>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 w:type="pct"/>
                  <w:vAlign w:val="center"/>
                </w:tcPr>
                <w:p>
                  <w:pPr>
                    <w:pStyle w:val="63"/>
                    <w:rPr>
                      <w:color w:val="auto"/>
                    </w:rPr>
                  </w:pPr>
                  <w:r>
                    <w:rPr>
                      <w:rFonts w:hint="eastAsia"/>
                      <w:color w:val="auto"/>
                    </w:rPr>
                    <w:t>序号</w:t>
                  </w:r>
                </w:p>
              </w:tc>
              <w:tc>
                <w:tcPr>
                  <w:tcW w:w="2377" w:type="pct"/>
                  <w:vAlign w:val="center"/>
                </w:tcPr>
                <w:p>
                  <w:pPr>
                    <w:pStyle w:val="63"/>
                    <w:rPr>
                      <w:color w:val="auto"/>
                    </w:rPr>
                  </w:pPr>
                  <w:r>
                    <w:rPr>
                      <w:rFonts w:hint="eastAsia"/>
                      <w:color w:val="auto"/>
                    </w:rPr>
                    <w:t>规划环评要求</w:t>
                  </w:r>
                </w:p>
              </w:tc>
              <w:tc>
                <w:tcPr>
                  <w:tcW w:w="1913" w:type="pct"/>
                  <w:vAlign w:val="center"/>
                </w:tcPr>
                <w:p>
                  <w:pPr>
                    <w:pStyle w:val="63"/>
                    <w:rPr>
                      <w:color w:val="auto"/>
                    </w:rPr>
                  </w:pPr>
                  <w:r>
                    <w:rPr>
                      <w:rFonts w:hint="eastAsia"/>
                      <w:color w:val="auto"/>
                    </w:rPr>
                    <w:t>项目情况</w:t>
                  </w:r>
                </w:p>
              </w:tc>
              <w:tc>
                <w:tcPr>
                  <w:tcW w:w="422" w:type="pct"/>
                  <w:vAlign w:val="center"/>
                </w:tcPr>
                <w:p>
                  <w:pPr>
                    <w:pStyle w:val="63"/>
                    <w:rPr>
                      <w:color w:val="auto"/>
                    </w:rPr>
                  </w:pPr>
                  <w:r>
                    <w:rPr>
                      <w:rFonts w:hint="eastAsia"/>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pPr>
                    <w:pStyle w:val="63"/>
                    <w:rPr>
                      <w:color w:val="auto"/>
                    </w:rPr>
                  </w:pPr>
                  <w:r>
                    <w:rPr>
                      <w:rFonts w:hint="eastAsia"/>
                      <w:color w:val="auto"/>
                    </w:rPr>
                    <w:t>1</w:t>
                  </w:r>
                </w:p>
              </w:tc>
              <w:tc>
                <w:tcPr>
                  <w:tcW w:w="2377" w:type="pct"/>
                  <w:vAlign w:val="center"/>
                </w:tcPr>
                <w:p>
                  <w:pPr>
                    <w:pStyle w:val="63"/>
                    <w:rPr>
                      <w:color w:val="auto"/>
                    </w:rPr>
                  </w:pPr>
                  <w:r>
                    <w:rPr>
                      <w:rFonts w:hint="eastAsia"/>
                      <w:color w:val="auto"/>
                    </w:rPr>
                    <w:t>项目环评必须对建设项目的工程特点、规模、能源及资源的使用、污染物排放的特点（排放量、排放方式、排放去向、主要污染物种类、性质、排放浓度）等方面进行详细分析及评价，并预测项目实施后对环境的影响，提出环境保护目标。建设项目的引入必须严格遵守园区规划环评提出的环境准入条件，对建设项目的规模、清洁生产水平、节能减排、总量控制及生态保护要求等均要充分考虑规划环评的要求。鉴于该区域周边分布有较多的耕地、村庄等敏感区域，对于规划产业中相关建设项目，需重点关注对水资源、大气环境、地下水环境、土壤环境的影响评价，严格环保门槛。</w:t>
                  </w:r>
                </w:p>
              </w:tc>
              <w:tc>
                <w:tcPr>
                  <w:tcW w:w="1913" w:type="pct"/>
                  <w:vAlign w:val="center"/>
                </w:tcPr>
                <w:p>
                  <w:pPr>
                    <w:pStyle w:val="63"/>
                    <w:rPr>
                      <w:color w:val="auto"/>
                      <w:lang w:eastAsia="zh-CN"/>
                    </w:rPr>
                  </w:pPr>
                  <w:r>
                    <w:rPr>
                      <w:rFonts w:hint="eastAsia"/>
                      <w:color w:val="auto"/>
                    </w:rPr>
                    <w:t>本次环评</w:t>
                  </w:r>
                  <w:r>
                    <w:rPr>
                      <w:rFonts w:hint="eastAsia"/>
                      <w:color w:val="auto"/>
                      <w:lang w:eastAsia="zh-CN"/>
                    </w:rPr>
                    <w:t>已针对</w:t>
                  </w:r>
                  <w:r>
                    <w:rPr>
                      <w:rFonts w:hint="eastAsia"/>
                      <w:color w:val="auto"/>
                    </w:rPr>
                    <w:t>项目的工程特点、规模、能源及资源的使用、污染物排放的特点（排放量、排放方式、排放去向、主要污染物种类、性质、排放浓度）等方面进行详细分析及评价，通过核算，排放的大气污染物能做到稳定达标排放，对周围环境影响较小。本项目</w:t>
                  </w:r>
                  <w:r>
                    <w:rPr>
                      <w:rFonts w:hint="eastAsia"/>
                      <w:color w:val="auto"/>
                      <w:lang w:eastAsia="zh-CN"/>
                    </w:rPr>
                    <w:t>属于技改项目，现有项目已经</w:t>
                  </w:r>
                  <w:r>
                    <w:rPr>
                      <w:rFonts w:hint="eastAsia"/>
                      <w:color w:val="auto"/>
                    </w:rPr>
                    <w:t>取得园区入园许可，符合园区环境准入条件</w:t>
                  </w:r>
                  <w:r>
                    <w:rPr>
                      <w:rFonts w:hint="eastAsia"/>
                      <w:color w:val="auto"/>
                      <w:lang w:eastAsia="zh-CN"/>
                    </w:rPr>
                    <w:t>和</w:t>
                  </w:r>
                  <w:r>
                    <w:rPr>
                      <w:rFonts w:hint="eastAsia"/>
                      <w:color w:val="auto"/>
                    </w:rPr>
                    <w:t>园区规划</w:t>
                  </w:r>
                  <w:r>
                    <w:rPr>
                      <w:rFonts w:hint="eastAsia"/>
                      <w:color w:val="auto"/>
                      <w:lang w:eastAsia="zh-CN"/>
                    </w:rPr>
                    <w:t>定位。本次技改将焦炉煤气改为天然气，天然气属于清洁能源，燃烧废气</w:t>
                  </w:r>
                  <w:r>
                    <w:rPr>
                      <w:rFonts w:hint="eastAsia"/>
                      <w:color w:val="auto"/>
                    </w:rPr>
                    <w:t>通过</w:t>
                  </w:r>
                  <w:r>
                    <w:rPr>
                      <w:rFonts w:hint="eastAsia"/>
                      <w:color w:val="auto"/>
                      <w:lang w:eastAsia="zh-CN"/>
                    </w:rPr>
                    <w:t>现有D</w:t>
                  </w:r>
                  <w:r>
                    <w:rPr>
                      <w:color w:val="auto"/>
                      <w:lang w:eastAsia="zh-CN"/>
                    </w:rPr>
                    <w:t>A003</w:t>
                  </w:r>
                  <w:r>
                    <w:rPr>
                      <w:rFonts w:hint="eastAsia"/>
                      <w:color w:val="auto"/>
                      <w:lang w:eastAsia="zh-CN"/>
                    </w:rPr>
                    <w:t>废气排放口</w:t>
                  </w:r>
                  <w:r>
                    <w:rPr>
                      <w:rFonts w:hint="eastAsia"/>
                      <w:color w:val="auto"/>
                    </w:rPr>
                    <w:t>达标排放</w:t>
                  </w:r>
                  <w:r>
                    <w:rPr>
                      <w:rFonts w:hint="eastAsia"/>
                      <w:color w:val="auto"/>
                      <w:lang w:eastAsia="zh-CN"/>
                    </w:rPr>
                    <w:t>，项目清洁生产水平较高。</w:t>
                  </w:r>
                </w:p>
                <w:p>
                  <w:pPr>
                    <w:pStyle w:val="63"/>
                    <w:rPr>
                      <w:color w:val="auto"/>
                    </w:rPr>
                  </w:pPr>
                  <w:r>
                    <w:rPr>
                      <w:rFonts w:hint="eastAsia"/>
                      <w:color w:val="auto"/>
                      <w:lang w:eastAsia="zh-CN"/>
                    </w:rPr>
                    <w:t>本项目在现有项目基础上进行技改，将焦煤煤气改为天然气，运营期对大气环境有一定影响，根据分析，项目周边现状大气环境质量较好，本项目现有车间地面采取了混凝土硬化防渗处理，运营对地下水、土壤环境的影响较小</w:t>
                  </w:r>
                  <w:r>
                    <w:rPr>
                      <w:rFonts w:hint="eastAsia"/>
                      <w:color w:val="auto"/>
                    </w:rPr>
                    <w:t>。</w:t>
                  </w:r>
                </w:p>
              </w:tc>
              <w:tc>
                <w:tcPr>
                  <w:tcW w:w="422"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pPr>
                    <w:pStyle w:val="63"/>
                    <w:rPr>
                      <w:color w:val="auto"/>
                    </w:rPr>
                  </w:pPr>
                  <w:r>
                    <w:rPr>
                      <w:rFonts w:hint="eastAsia"/>
                      <w:color w:val="auto"/>
                    </w:rPr>
                    <w:t>2</w:t>
                  </w:r>
                </w:p>
              </w:tc>
              <w:tc>
                <w:tcPr>
                  <w:tcW w:w="2377" w:type="pct"/>
                  <w:vAlign w:val="center"/>
                </w:tcPr>
                <w:p>
                  <w:pPr>
                    <w:pStyle w:val="63"/>
                    <w:rPr>
                      <w:color w:val="auto"/>
                    </w:rPr>
                  </w:pPr>
                  <w:r>
                    <w:rPr>
                      <w:rFonts w:hint="eastAsia"/>
                      <w:color w:val="auto"/>
                    </w:rPr>
                    <w:t>规划环评结论的符合性。评价建设项目内容与产业园区规划目标、产业定位以及本环评提出的空间、总量、环境准入等管控条件的符合性，规划环评审查意见的符合性，避免行业性质与规划不相符、资源能源消耗大、污染物排放量大、产品附加值低的项目进入。</w:t>
                  </w:r>
                </w:p>
              </w:tc>
              <w:tc>
                <w:tcPr>
                  <w:tcW w:w="1913" w:type="pct"/>
                  <w:vAlign w:val="center"/>
                </w:tcPr>
                <w:p>
                  <w:pPr>
                    <w:pStyle w:val="63"/>
                    <w:rPr>
                      <w:color w:val="auto"/>
                    </w:rPr>
                  </w:pPr>
                  <w:r>
                    <w:rPr>
                      <w:rFonts w:hint="eastAsia"/>
                      <w:color w:val="auto"/>
                    </w:rPr>
                    <w:t>本项目位于云南师宗产业园区大同片区不锈钢生产及加工产业组团，属于不锈钢冶炼及深加工产业，与产业园区规划目标</w:t>
                  </w:r>
                  <w:r>
                    <w:rPr>
                      <w:rFonts w:hint="eastAsia"/>
                      <w:color w:val="auto"/>
                      <w:lang w:eastAsia="zh-CN"/>
                    </w:rPr>
                    <w:t>、</w:t>
                  </w:r>
                  <w:r>
                    <w:rPr>
                      <w:rFonts w:hint="eastAsia"/>
                      <w:color w:val="auto"/>
                    </w:rPr>
                    <w:t>产业定位与规划环评提出的管控条件相符，项目使用清洁能源天然气作为燃料，</w:t>
                  </w:r>
                  <w:r>
                    <w:rPr>
                      <w:rFonts w:hint="eastAsia"/>
                      <w:color w:val="auto"/>
                      <w:lang w:eastAsia="zh-CN"/>
                    </w:rPr>
                    <w:t>年使用量1</w:t>
                  </w:r>
                  <w:r>
                    <w:rPr>
                      <w:color w:val="auto"/>
                      <w:lang w:eastAsia="zh-CN"/>
                    </w:rPr>
                    <w:t>080</w:t>
                  </w:r>
                  <w:r>
                    <w:rPr>
                      <w:rFonts w:hint="eastAsia"/>
                      <w:color w:val="auto"/>
                      <w:lang w:eastAsia="zh-CN"/>
                    </w:rPr>
                    <w:t>万m³，不属于</w:t>
                  </w:r>
                  <w:r>
                    <w:rPr>
                      <w:rFonts w:hint="eastAsia"/>
                      <w:color w:val="auto"/>
                    </w:rPr>
                    <w:t>与规划不相符、资源能源消耗大、污染物排放量大、产品附加值低的项目。</w:t>
                  </w:r>
                </w:p>
              </w:tc>
              <w:tc>
                <w:tcPr>
                  <w:tcW w:w="422"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pPr>
                    <w:pStyle w:val="63"/>
                    <w:rPr>
                      <w:color w:val="auto"/>
                    </w:rPr>
                  </w:pPr>
                  <w:r>
                    <w:rPr>
                      <w:rFonts w:hint="eastAsia"/>
                      <w:color w:val="auto"/>
                    </w:rPr>
                    <w:t>3</w:t>
                  </w:r>
                </w:p>
              </w:tc>
              <w:tc>
                <w:tcPr>
                  <w:tcW w:w="2377" w:type="pct"/>
                  <w:vAlign w:val="center"/>
                </w:tcPr>
                <w:p>
                  <w:pPr>
                    <w:pStyle w:val="63"/>
                    <w:rPr>
                      <w:color w:val="auto"/>
                    </w:rPr>
                  </w:pPr>
                  <w:r>
                    <w:rPr>
                      <w:rFonts w:hint="eastAsia"/>
                      <w:color w:val="auto"/>
                    </w:rPr>
                    <w:t>工程分析。工艺先进性的审查，重点开展工程分析，详细分析建设项目工艺流程，污染物的产污环节、种类和产生量。评价项目的清洁生产水平。不同的行业其特征污染物不同，应针对特征污染物进行重点评价。</w:t>
                  </w:r>
                </w:p>
              </w:tc>
              <w:tc>
                <w:tcPr>
                  <w:tcW w:w="1913" w:type="pct"/>
                  <w:vAlign w:val="center"/>
                </w:tcPr>
                <w:p>
                  <w:pPr>
                    <w:pStyle w:val="63"/>
                    <w:rPr>
                      <w:color w:val="auto"/>
                    </w:rPr>
                  </w:pPr>
                  <w:r>
                    <w:rPr>
                      <w:rFonts w:hint="eastAsia"/>
                      <w:color w:val="auto"/>
                    </w:rPr>
                    <w:t>本项目工程分析详细分析了本项目工艺流程，污染物产污环节、种类和产生量。本项目使用清洁能源天然气，</w:t>
                  </w:r>
                  <w:r>
                    <w:rPr>
                      <w:rFonts w:hint="eastAsia"/>
                      <w:color w:val="auto"/>
                      <w:lang w:eastAsia="zh-CN"/>
                    </w:rPr>
                    <w:t>对热</w:t>
                  </w:r>
                  <w:r>
                    <w:rPr>
                      <w:rFonts w:hint="eastAsia"/>
                      <w:color w:val="auto"/>
                    </w:rPr>
                    <w:t>退火烟气中的颗粒物、SO</w:t>
                  </w:r>
                  <w:r>
                    <w:rPr>
                      <w:rFonts w:hint="eastAsia"/>
                      <w:color w:val="auto"/>
                      <w:vertAlign w:val="subscript"/>
                    </w:rPr>
                    <w:t>2</w:t>
                  </w:r>
                  <w:r>
                    <w:rPr>
                      <w:rFonts w:hint="eastAsia"/>
                      <w:color w:val="auto"/>
                    </w:rPr>
                    <w:t>、NOx进行了重点评价。</w:t>
                  </w:r>
                </w:p>
              </w:tc>
              <w:tc>
                <w:tcPr>
                  <w:tcW w:w="422"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pPr>
                    <w:pStyle w:val="63"/>
                    <w:rPr>
                      <w:color w:val="auto"/>
                    </w:rPr>
                  </w:pPr>
                  <w:r>
                    <w:rPr>
                      <w:rFonts w:hint="eastAsia"/>
                      <w:color w:val="auto"/>
                    </w:rPr>
                    <w:t>4</w:t>
                  </w:r>
                </w:p>
              </w:tc>
              <w:tc>
                <w:tcPr>
                  <w:tcW w:w="2377" w:type="pct"/>
                  <w:vAlign w:val="center"/>
                </w:tcPr>
                <w:p>
                  <w:pPr>
                    <w:pStyle w:val="63"/>
                    <w:rPr>
                      <w:color w:val="auto"/>
                    </w:rPr>
                  </w:pPr>
                  <w:r>
                    <w:rPr>
                      <w:rFonts w:hint="eastAsia"/>
                      <w:color w:val="auto"/>
                    </w:rPr>
                    <w:t>建设项目环境保护措施的技术和经济技术可行性分析。按照可行技术要求严格各项环保措施，尤其针对地下水敏感程度高的项目，其应进行严格的</w:t>
                  </w:r>
                  <w:r>
                    <w:rPr>
                      <w:rFonts w:hint="eastAsia"/>
                      <w:color w:val="auto"/>
                      <w:lang w:eastAsia="zh-CN"/>
                    </w:rPr>
                    <w:t>工程地质勘察</w:t>
                  </w:r>
                  <w:r>
                    <w:rPr>
                      <w:rFonts w:hint="eastAsia"/>
                      <w:color w:val="auto"/>
                    </w:rPr>
                    <w:t>，查明岩溶发育情况，有针对性地采取防治措施，确保地下水环境安全。环境保护措施属于末端治理的范畴，只有在对环境影响的性质、程度、位置、环保投资等具体内容明确后才能有的放矢。</w:t>
                  </w:r>
                </w:p>
              </w:tc>
              <w:tc>
                <w:tcPr>
                  <w:tcW w:w="1913" w:type="pct"/>
                  <w:vAlign w:val="center"/>
                </w:tcPr>
                <w:p>
                  <w:pPr>
                    <w:pStyle w:val="63"/>
                    <w:rPr>
                      <w:color w:val="auto"/>
                    </w:rPr>
                  </w:pPr>
                  <w:r>
                    <w:rPr>
                      <w:rFonts w:hint="eastAsia"/>
                      <w:color w:val="auto"/>
                    </w:rPr>
                    <w:t>本项目不属于地下水敏感程度高的项目，</w:t>
                  </w:r>
                  <w:r>
                    <w:rPr>
                      <w:rFonts w:hint="eastAsia"/>
                      <w:color w:val="auto"/>
                      <w:lang w:eastAsia="zh-CN"/>
                    </w:rPr>
                    <w:t>本次技改涉及的车间均已进行了一般防渗处理，项目运营期不会造成地下水环境的污染</w:t>
                  </w:r>
                  <w:r>
                    <w:rPr>
                      <w:rFonts w:hint="eastAsia"/>
                      <w:color w:val="auto"/>
                    </w:rPr>
                    <w:t>。</w:t>
                  </w:r>
                </w:p>
              </w:tc>
              <w:tc>
                <w:tcPr>
                  <w:tcW w:w="422"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pPr>
                    <w:pStyle w:val="63"/>
                    <w:rPr>
                      <w:color w:val="auto"/>
                    </w:rPr>
                  </w:pPr>
                  <w:r>
                    <w:rPr>
                      <w:rFonts w:hint="eastAsia"/>
                      <w:color w:val="auto"/>
                    </w:rPr>
                    <w:t>5</w:t>
                  </w:r>
                </w:p>
              </w:tc>
              <w:tc>
                <w:tcPr>
                  <w:tcW w:w="2377" w:type="pct"/>
                  <w:vAlign w:val="center"/>
                </w:tcPr>
                <w:p>
                  <w:pPr>
                    <w:pStyle w:val="63"/>
                    <w:rPr>
                      <w:color w:val="auto"/>
                    </w:rPr>
                  </w:pPr>
                  <w:r>
                    <w:rPr>
                      <w:rFonts w:hint="eastAsia"/>
                      <w:color w:val="auto"/>
                    </w:rPr>
                    <w:t>总量控制。本次环评对园区的总量控制提出了原则要求，为项目环评提供了参考方向。项目环评应对具体建设项目的污染物排放量做出合理估算，制订总量控制方案并落实总量控制指标的来源。</w:t>
                  </w:r>
                </w:p>
              </w:tc>
              <w:tc>
                <w:tcPr>
                  <w:tcW w:w="1913" w:type="pct"/>
                  <w:vAlign w:val="center"/>
                </w:tcPr>
                <w:p>
                  <w:pPr>
                    <w:pStyle w:val="63"/>
                    <w:rPr>
                      <w:color w:val="auto"/>
                    </w:rPr>
                  </w:pPr>
                  <w:r>
                    <w:rPr>
                      <w:rFonts w:hint="eastAsia"/>
                      <w:color w:val="auto"/>
                    </w:rPr>
                    <w:t>通过核算，本项目</w:t>
                  </w:r>
                  <w:r>
                    <w:rPr>
                      <w:rFonts w:hint="eastAsia"/>
                      <w:color w:val="auto"/>
                      <w:lang w:eastAsia="zh-CN"/>
                    </w:rPr>
                    <w:t>颗粒物、二氧化硫、氮氧化物排放量未突破现有全厂排污许可证核发总量，本次技改项目废气总量由全厂进行调配，无需新增废气总量指标</w:t>
                  </w:r>
                  <w:r>
                    <w:rPr>
                      <w:rFonts w:hint="eastAsia"/>
                      <w:color w:val="auto"/>
                    </w:rPr>
                    <w:t>。</w:t>
                  </w:r>
                </w:p>
              </w:tc>
              <w:tc>
                <w:tcPr>
                  <w:tcW w:w="422"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pPr>
                    <w:pStyle w:val="63"/>
                    <w:rPr>
                      <w:color w:val="auto"/>
                    </w:rPr>
                  </w:pPr>
                  <w:r>
                    <w:rPr>
                      <w:rFonts w:hint="eastAsia"/>
                      <w:color w:val="auto"/>
                    </w:rPr>
                    <w:t>6</w:t>
                  </w:r>
                </w:p>
              </w:tc>
              <w:tc>
                <w:tcPr>
                  <w:tcW w:w="2377" w:type="pct"/>
                  <w:vAlign w:val="center"/>
                </w:tcPr>
                <w:p>
                  <w:pPr>
                    <w:pStyle w:val="63"/>
                    <w:rPr>
                      <w:color w:val="auto"/>
                    </w:rPr>
                  </w:pPr>
                  <w:r>
                    <w:rPr>
                      <w:rFonts w:hint="eastAsia"/>
                      <w:color w:val="auto"/>
                    </w:rPr>
                    <w:t>环境合理性评价。建设项目对区域环境功能区达标、厂界和周边敏感点达标影响进行评价，并据此对项目总图布置的环境合理性做出分析。</w:t>
                  </w:r>
                </w:p>
              </w:tc>
              <w:tc>
                <w:tcPr>
                  <w:tcW w:w="1913" w:type="pct"/>
                  <w:vAlign w:val="center"/>
                </w:tcPr>
                <w:p>
                  <w:pPr>
                    <w:pStyle w:val="63"/>
                    <w:rPr>
                      <w:color w:val="auto"/>
                    </w:rPr>
                  </w:pPr>
                  <w:r>
                    <w:rPr>
                      <w:rFonts w:hint="eastAsia"/>
                      <w:color w:val="auto"/>
                      <w:lang w:eastAsia="zh-CN"/>
                    </w:rPr>
                    <w:t>本项目周边区域大气环境、地表水环境均满足环境质量相关要求，项目周边5</w:t>
                  </w:r>
                  <w:r>
                    <w:rPr>
                      <w:color w:val="auto"/>
                      <w:lang w:eastAsia="zh-CN"/>
                    </w:rPr>
                    <w:t>00</w:t>
                  </w:r>
                  <w:r>
                    <w:rPr>
                      <w:rFonts w:hint="eastAsia"/>
                      <w:color w:val="auto"/>
                      <w:lang w:eastAsia="zh-CN"/>
                    </w:rPr>
                    <w:t>m范围内无敏感点，经预测，厂界噪声能达标排放</w:t>
                  </w:r>
                  <w:r>
                    <w:rPr>
                      <w:rFonts w:hint="eastAsia"/>
                      <w:color w:val="auto"/>
                    </w:rPr>
                    <w:t>。</w:t>
                  </w:r>
                </w:p>
              </w:tc>
              <w:tc>
                <w:tcPr>
                  <w:tcW w:w="422" w:type="pct"/>
                  <w:vAlign w:val="center"/>
                </w:tcPr>
                <w:p>
                  <w:pPr>
                    <w:pStyle w:val="63"/>
                    <w:rPr>
                      <w:color w:val="auto"/>
                    </w:rPr>
                  </w:pPr>
                  <w:r>
                    <w:rPr>
                      <w:rFonts w:hint="eastAsia"/>
                      <w:color w:val="auto"/>
                    </w:rPr>
                    <w:t>符合</w:t>
                  </w:r>
                </w:p>
              </w:tc>
            </w:tr>
          </w:tbl>
          <w:p>
            <w:pPr>
              <w:pStyle w:val="66"/>
              <w:rPr>
                <w:color w:val="auto"/>
              </w:rPr>
            </w:pPr>
            <w:r>
              <w:rPr>
                <w:rFonts w:hint="eastAsia"/>
                <w:color w:val="auto"/>
              </w:rPr>
              <w:t>表1</w:t>
            </w:r>
            <w:r>
              <w:rPr>
                <w:color w:val="auto"/>
              </w:rPr>
              <w:t>.2</w:t>
            </w:r>
            <w:r>
              <w:rPr>
                <w:rFonts w:hint="eastAsia"/>
                <w:color w:val="auto"/>
              </w:rPr>
              <w:t>-</w:t>
            </w:r>
            <w:r>
              <w:rPr>
                <w:color w:val="auto"/>
              </w:rPr>
              <w:t>2</w:t>
            </w:r>
            <w:r>
              <w:rPr>
                <w:rFonts w:hint="eastAsia"/>
                <w:color w:val="auto"/>
              </w:rPr>
              <w:t xml:space="preserve"> 项目与规划环评审查意见符合性一览表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3764"/>
              <w:gridCol w:w="2899"/>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pPr>
                    <w:pStyle w:val="63"/>
                    <w:rPr>
                      <w:color w:val="auto"/>
                      <w:lang w:val="en-US"/>
                    </w:rPr>
                  </w:pPr>
                  <w:r>
                    <w:rPr>
                      <w:rFonts w:hint="eastAsia"/>
                      <w:color w:val="auto"/>
                      <w:lang w:val="en-US"/>
                    </w:rPr>
                    <w:t>序号</w:t>
                  </w:r>
                </w:p>
              </w:tc>
              <w:tc>
                <w:tcPr>
                  <w:tcW w:w="2418" w:type="pct"/>
                  <w:vAlign w:val="center"/>
                </w:tcPr>
                <w:p>
                  <w:pPr>
                    <w:pStyle w:val="63"/>
                    <w:rPr>
                      <w:color w:val="auto"/>
                      <w:lang w:val="en-US"/>
                    </w:rPr>
                  </w:pPr>
                  <w:r>
                    <w:rPr>
                      <w:rFonts w:hint="eastAsia"/>
                      <w:color w:val="auto"/>
                      <w:lang w:val="en-US"/>
                    </w:rPr>
                    <w:t>规划环评要求</w:t>
                  </w:r>
                </w:p>
              </w:tc>
              <w:tc>
                <w:tcPr>
                  <w:tcW w:w="1862" w:type="pct"/>
                  <w:vAlign w:val="center"/>
                </w:tcPr>
                <w:p>
                  <w:pPr>
                    <w:pStyle w:val="63"/>
                    <w:rPr>
                      <w:color w:val="auto"/>
                      <w:lang w:val="en-US"/>
                    </w:rPr>
                  </w:pPr>
                  <w:r>
                    <w:rPr>
                      <w:rFonts w:hint="eastAsia"/>
                      <w:color w:val="auto"/>
                      <w:lang w:val="en-US"/>
                    </w:rPr>
                    <w:t>项目情况</w:t>
                  </w:r>
                </w:p>
              </w:tc>
              <w:tc>
                <w:tcPr>
                  <w:tcW w:w="422" w:type="pct"/>
                  <w:vAlign w:val="center"/>
                </w:tcPr>
                <w:p>
                  <w:pPr>
                    <w:pStyle w:val="63"/>
                    <w:rPr>
                      <w:color w:val="auto"/>
                      <w:lang w:val="en-US"/>
                    </w:rPr>
                  </w:pPr>
                  <w:r>
                    <w:rPr>
                      <w:rFonts w:hint="eastAsia"/>
                      <w:color w:val="auto"/>
                      <w:lang w:val="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pPr>
                    <w:pStyle w:val="63"/>
                    <w:rPr>
                      <w:color w:val="auto"/>
                      <w:lang w:val="en-US"/>
                    </w:rPr>
                  </w:pPr>
                  <w:r>
                    <w:rPr>
                      <w:rFonts w:hint="eastAsia"/>
                      <w:color w:val="auto"/>
                      <w:lang w:val="en-US"/>
                    </w:rPr>
                    <w:t>1</w:t>
                  </w:r>
                </w:p>
              </w:tc>
              <w:tc>
                <w:tcPr>
                  <w:tcW w:w="2418" w:type="pct"/>
                  <w:vAlign w:val="center"/>
                </w:tcPr>
                <w:p>
                  <w:pPr>
                    <w:pStyle w:val="63"/>
                    <w:rPr>
                      <w:color w:val="auto"/>
                      <w:lang w:val="en-US"/>
                    </w:rPr>
                  </w:pPr>
                  <w:r>
                    <w:rPr>
                      <w:rFonts w:hint="eastAsia"/>
                      <w:color w:val="auto"/>
                      <w:lang w:val="en-US"/>
                    </w:rPr>
                    <w:t>严格遵守法律法规底线和生态保护红线。全面落实规划实施过程中可能</w:t>
                  </w:r>
                  <w:r>
                    <w:rPr>
                      <w:rFonts w:hint="eastAsia"/>
                      <w:color w:val="auto"/>
                      <w:lang w:val="en-US" w:eastAsia="zh-CN"/>
                    </w:rPr>
                    <w:t>涉及</w:t>
                  </w:r>
                  <w:r>
                    <w:rPr>
                      <w:rFonts w:hint="eastAsia"/>
                      <w:color w:val="auto"/>
                      <w:lang w:val="en-US"/>
                    </w:rPr>
                    <w:t>的饮用水水源保护区、自然保护区等环境敏感区保护要求，结合地方生态保护红线的划定，统筹保护好生态空间；对优先保护、重点保护的区域，严禁不符合管控要求的各类开发和建设活动。</w:t>
                  </w:r>
                </w:p>
              </w:tc>
              <w:tc>
                <w:tcPr>
                  <w:tcW w:w="1862" w:type="pct"/>
                  <w:vAlign w:val="center"/>
                </w:tcPr>
                <w:p>
                  <w:pPr>
                    <w:pStyle w:val="63"/>
                    <w:rPr>
                      <w:color w:val="auto"/>
                      <w:lang w:val="en-US"/>
                    </w:rPr>
                  </w:pPr>
                  <w:r>
                    <w:rPr>
                      <w:rFonts w:hint="eastAsia"/>
                      <w:color w:val="auto"/>
                      <w:lang w:val="en-US"/>
                    </w:rPr>
                    <w:t>根据园区规划环评生态环境现状调查与评价</w:t>
                  </w:r>
                  <w:r>
                    <w:rPr>
                      <w:rFonts w:hint="eastAsia"/>
                      <w:color w:val="auto"/>
                      <w:lang w:val="en-US" w:eastAsia="zh-CN"/>
                    </w:rPr>
                    <w:t>结论</w:t>
                  </w:r>
                  <w:r>
                    <w:rPr>
                      <w:rFonts w:hint="eastAsia"/>
                      <w:color w:val="auto"/>
                      <w:lang w:val="en-US"/>
                    </w:rPr>
                    <w:t>，园区规划边界不涉及生态保护红线，不涉及饮用水水源保护区，自然保护区等环境敏感区，本项目位于云南师宗产业园区大同片区内，不涉及以上敏感区。</w:t>
                  </w:r>
                </w:p>
              </w:tc>
              <w:tc>
                <w:tcPr>
                  <w:tcW w:w="422"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pPr>
                    <w:pStyle w:val="63"/>
                    <w:rPr>
                      <w:color w:val="auto"/>
                      <w:lang w:val="en-US"/>
                    </w:rPr>
                  </w:pPr>
                  <w:r>
                    <w:rPr>
                      <w:rFonts w:hint="eastAsia"/>
                      <w:color w:val="auto"/>
                      <w:lang w:val="en-US"/>
                    </w:rPr>
                    <w:t>2</w:t>
                  </w:r>
                </w:p>
              </w:tc>
              <w:tc>
                <w:tcPr>
                  <w:tcW w:w="2418" w:type="pct"/>
                  <w:vAlign w:val="center"/>
                </w:tcPr>
                <w:p>
                  <w:pPr>
                    <w:pStyle w:val="63"/>
                    <w:rPr>
                      <w:color w:val="auto"/>
                      <w:lang w:val="en-US"/>
                    </w:rPr>
                  </w:pPr>
                  <w:r>
                    <w:rPr>
                      <w:rFonts w:hint="eastAsia"/>
                      <w:color w:val="auto"/>
                      <w:lang w:val="en-US"/>
                    </w:rPr>
                    <w:t>综合考虑园区制约因素和环境问题，进一步优化片区功能定位、产业布局、结构、规模和开发时序，尤应注意开发强度与环境承载的核实分析。</w:t>
                  </w:r>
                </w:p>
                <w:p>
                  <w:pPr>
                    <w:pStyle w:val="63"/>
                    <w:rPr>
                      <w:color w:val="auto"/>
                      <w:lang w:val="en-US"/>
                    </w:rPr>
                  </w:pPr>
                  <w:r>
                    <w:rPr>
                      <w:rFonts w:hint="eastAsia"/>
                      <w:color w:val="auto"/>
                      <w:lang w:val="en-US"/>
                    </w:rPr>
                    <w:t>片区存在较多村庄，且距离县城较近，区域地形风易使县城受到大气污染物的影响，应充分考虑规划产业发展对村庄和县城的影响，强化原有重污染企业的升级改造，优化调整园区原企业布局，严格按照规划产业推进企业搬迁或产业结构转型。工业用地与人口密集区、自然保护区等敏感区间应设置绿化隔离带，留出必要的防护距离，缓解敏感区、居住区和工业布局距离较近的布局性环境风险问题。</w:t>
                  </w:r>
                </w:p>
              </w:tc>
              <w:tc>
                <w:tcPr>
                  <w:tcW w:w="1862" w:type="pct"/>
                  <w:vAlign w:val="center"/>
                </w:tcPr>
                <w:p>
                  <w:pPr>
                    <w:pStyle w:val="63"/>
                    <w:rPr>
                      <w:color w:val="auto"/>
                      <w:lang w:val="en-US"/>
                    </w:rPr>
                  </w:pPr>
                  <w:r>
                    <w:rPr>
                      <w:rFonts w:hint="eastAsia"/>
                      <w:color w:val="auto"/>
                      <w:lang w:val="en-US"/>
                    </w:rPr>
                    <w:t>本项目位于云南师宗产业园区大同工业片区内的不锈钢生产及加工产业组团，本项目高度契合园区规划，与规划产业发展方向和布局一致，园区范围已纳入</w:t>
                  </w:r>
                  <w:r>
                    <w:rPr>
                      <w:rFonts w:hint="eastAsia"/>
                      <w:color w:val="auto"/>
                      <w:lang w:val="en-US" w:eastAsia="zh-CN"/>
                    </w:rPr>
                    <w:t>规</w:t>
                  </w:r>
                  <w:r>
                    <w:rPr>
                      <w:rFonts w:hint="eastAsia"/>
                      <w:color w:val="auto"/>
                      <w:lang w:val="en-US"/>
                    </w:rPr>
                    <w:t>划的城镇开发边界范围内，与总体规划的用地规模、布局和划定的集中建设区和留白弹性区对应纳入正在编制的曲靖市、师宗县国土空间总体规划城镇开发边界内的城镇集中建设区和城镇弹性发展区，同时纳入正在编制的规划有效期至2035年的国土空间规划。本项目为</w:t>
                  </w:r>
                  <w:r>
                    <w:rPr>
                      <w:rFonts w:hint="eastAsia"/>
                      <w:color w:val="auto"/>
                      <w:lang w:val="en-US" w:eastAsia="zh-CN"/>
                    </w:rPr>
                    <w:t>技改</w:t>
                  </w:r>
                  <w:r>
                    <w:rPr>
                      <w:rFonts w:hint="eastAsia"/>
                      <w:color w:val="auto"/>
                      <w:lang w:val="en-US"/>
                    </w:rPr>
                    <w:t>项目，符合园区规划</w:t>
                  </w:r>
                  <w:r>
                    <w:rPr>
                      <w:rFonts w:hint="eastAsia"/>
                      <w:color w:val="auto"/>
                      <w:lang w:val="en-US" w:eastAsia="zh-CN"/>
                    </w:rPr>
                    <w:t>定位</w:t>
                  </w:r>
                  <w:r>
                    <w:rPr>
                      <w:rFonts w:hint="eastAsia"/>
                      <w:color w:val="auto"/>
                      <w:lang w:val="en-US"/>
                    </w:rPr>
                    <w:t>，周边居民点距本项目均大于</w:t>
                  </w:r>
                  <w:r>
                    <w:rPr>
                      <w:color w:val="auto"/>
                      <w:lang w:val="en-US"/>
                    </w:rPr>
                    <w:t>5</w:t>
                  </w:r>
                  <w:r>
                    <w:rPr>
                      <w:rFonts w:hint="eastAsia"/>
                      <w:color w:val="auto"/>
                      <w:lang w:val="en-US"/>
                    </w:rPr>
                    <w:t>000m，避免了事故发生时对敏感的居住人群的影响。</w:t>
                  </w:r>
                  <w:r>
                    <w:rPr>
                      <w:rFonts w:hint="eastAsia"/>
                      <w:color w:val="auto"/>
                      <w:lang w:val="en-US" w:eastAsia="zh-CN"/>
                    </w:rPr>
                    <w:t>建设单位</w:t>
                  </w:r>
                  <w:r>
                    <w:rPr>
                      <w:rFonts w:hint="eastAsia"/>
                      <w:color w:val="auto"/>
                      <w:lang w:val="en-US"/>
                    </w:rPr>
                    <w:t>已编制全厂突发环境事件应急预案</w:t>
                  </w:r>
                  <w:r>
                    <w:rPr>
                      <w:rFonts w:hint="eastAsia"/>
                      <w:color w:val="auto"/>
                      <w:lang w:val="en-US" w:eastAsia="zh-CN"/>
                    </w:rPr>
                    <w:t>报送师宗分局备案</w:t>
                  </w:r>
                  <w:r>
                    <w:rPr>
                      <w:rFonts w:hint="eastAsia"/>
                      <w:color w:val="auto"/>
                      <w:lang w:val="en-US"/>
                    </w:rPr>
                    <w:t>，定期开展</w:t>
                  </w:r>
                  <w:r>
                    <w:rPr>
                      <w:rFonts w:hint="eastAsia"/>
                      <w:color w:val="auto"/>
                      <w:lang w:val="en-US" w:eastAsia="zh-CN"/>
                    </w:rPr>
                    <w:t>了应急</w:t>
                  </w:r>
                  <w:r>
                    <w:rPr>
                      <w:rFonts w:hint="eastAsia"/>
                      <w:color w:val="auto"/>
                      <w:lang w:val="en-US"/>
                    </w:rPr>
                    <w:t>演练。</w:t>
                  </w:r>
                </w:p>
              </w:tc>
              <w:tc>
                <w:tcPr>
                  <w:tcW w:w="422"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7" w:type="pct"/>
                  <w:vAlign w:val="center"/>
                </w:tcPr>
                <w:p>
                  <w:pPr>
                    <w:pStyle w:val="63"/>
                    <w:rPr>
                      <w:color w:val="auto"/>
                      <w:lang w:val="en-US"/>
                    </w:rPr>
                  </w:pPr>
                  <w:r>
                    <w:rPr>
                      <w:rFonts w:hint="eastAsia"/>
                      <w:color w:val="auto"/>
                      <w:lang w:val="en-US"/>
                    </w:rPr>
                    <w:t>3</w:t>
                  </w:r>
                </w:p>
              </w:tc>
              <w:tc>
                <w:tcPr>
                  <w:tcW w:w="2418" w:type="pct"/>
                  <w:vAlign w:val="center"/>
                </w:tcPr>
                <w:p>
                  <w:pPr>
                    <w:pStyle w:val="63"/>
                    <w:rPr>
                      <w:color w:val="auto"/>
                      <w:lang w:val="en-US"/>
                    </w:rPr>
                  </w:pPr>
                  <w:r>
                    <w:rPr>
                      <w:rFonts w:hint="eastAsia"/>
                      <w:color w:val="auto"/>
                      <w:lang w:val="en-US"/>
                    </w:rPr>
                    <w:t>园区应按《云南省人民政府办公厅关于推动落后和低端低效产能退出的实施意见》(云政办发〔2022〕17号)相关要求，淘汰技术方面落后产能，依法依规关停退出能耗、环保、质量、安全不达标和生产不合格产品的落后产能，分行业有序退出“限制类”产能。现有重污染企业要开展技术升级改造和环保设施的提标改造。</w:t>
                  </w:r>
                </w:p>
              </w:tc>
              <w:tc>
                <w:tcPr>
                  <w:tcW w:w="1862" w:type="pct"/>
                  <w:vAlign w:val="center"/>
                </w:tcPr>
                <w:p>
                  <w:pPr>
                    <w:pStyle w:val="63"/>
                    <w:rPr>
                      <w:color w:val="auto"/>
                      <w:lang w:val="en-US"/>
                    </w:rPr>
                  </w:pPr>
                  <w:r>
                    <w:rPr>
                      <w:rFonts w:hint="eastAsia"/>
                      <w:color w:val="auto"/>
                      <w:lang w:val="en-US" w:eastAsia="zh-CN"/>
                    </w:rPr>
                    <w:t>本次技改项目对现有热退火炉燃烧系统进行改造，将焦炉煤气改为天然气</w:t>
                  </w:r>
                  <w:r>
                    <w:rPr>
                      <w:rFonts w:hint="eastAsia"/>
                      <w:color w:val="auto"/>
                      <w:lang w:val="en-US"/>
                    </w:rPr>
                    <w:t>，不属于技术落后产能</w:t>
                  </w:r>
                  <w:r>
                    <w:rPr>
                      <w:rFonts w:hint="eastAsia"/>
                      <w:color w:val="auto"/>
                      <w:lang w:val="en-US" w:eastAsia="zh-CN"/>
                    </w:rPr>
                    <w:t>类项目</w:t>
                  </w:r>
                  <w:r>
                    <w:rPr>
                      <w:rFonts w:hint="eastAsia"/>
                      <w:color w:val="auto"/>
                      <w:lang w:val="en-US"/>
                    </w:rPr>
                    <w:t>。</w:t>
                  </w:r>
                </w:p>
              </w:tc>
              <w:tc>
                <w:tcPr>
                  <w:tcW w:w="422"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7" w:type="pct"/>
                  <w:vAlign w:val="center"/>
                </w:tcPr>
                <w:p>
                  <w:pPr>
                    <w:pStyle w:val="63"/>
                    <w:rPr>
                      <w:color w:val="auto"/>
                      <w:lang w:val="en-US"/>
                    </w:rPr>
                  </w:pPr>
                  <w:r>
                    <w:rPr>
                      <w:rFonts w:hint="eastAsia"/>
                      <w:color w:val="auto"/>
                      <w:lang w:val="en-US"/>
                    </w:rPr>
                    <w:t>4</w:t>
                  </w:r>
                </w:p>
              </w:tc>
              <w:tc>
                <w:tcPr>
                  <w:tcW w:w="2418" w:type="pct"/>
                  <w:vAlign w:val="center"/>
                </w:tcPr>
                <w:p>
                  <w:pPr>
                    <w:pStyle w:val="63"/>
                    <w:rPr>
                      <w:color w:val="auto"/>
                      <w:lang w:val="en-US"/>
                    </w:rPr>
                  </w:pPr>
                  <w:r>
                    <w:rPr>
                      <w:rFonts w:hint="eastAsia"/>
                      <w:color w:val="auto"/>
                      <w:lang w:val="en-US"/>
                    </w:rPr>
                    <w:t>严守环境质量底线，严格环境管控单元管控。根据“三线一单”、国家和云南省有关大气、水、土壤污染防治行动的相关要求，严格执行园区大气污染物总量管控要求。入驻企业应采用先进的生产工艺路线、装备、清洁能源与原料，从源头控制污染物的产生。入驻企业在技术经济可行的条件下，要采用先进高效的污染防治措施，满足环境管控要求，必要时对产业园区开发强度及布局产业规模进行控制。</w:t>
                  </w:r>
                </w:p>
                <w:p>
                  <w:pPr>
                    <w:pStyle w:val="63"/>
                    <w:rPr>
                      <w:color w:val="auto"/>
                      <w:lang w:val="en-US"/>
                    </w:rPr>
                  </w:pPr>
                  <w:r>
                    <w:rPr>
                      <w:rFonts w:hint="eastAsia"/>
                      <w:color w:val="auto"/>
                      <w:lang w:val="en-US"/>
                    </w:rPr>
                    <w:t>做好外排废气中颗粒物削减、脱硫脱硝，挥发性有机物、异味等特征污染物的减排工作，大气污染物排放水平应达到国内先进水平。钢铁等行业全面达到超低排放要求。</w:t>
                  </w:r>
                </w:p>
                <w:p>
                  <w:pPr>
                    <w:pStyle w:val="63"/>
                    <w:rPr>
                      <w:color w:val="auto"/>
                      <w:lang w:val="en-US"/>
                    </w:rPr>
                  </w:pPr>
                  <w:r>
                    <w:rPr>
                      <w:rFonts w:hint="eastAsia"/>
                      <w:color w:val="auto"/>
                      <w:lang w:val="en-US"/>
                    </w:rPr>
                    <w:t>高度重视两个片区废水收集、处理、回用、排放的环境管理。加快污水处理厂建设，按要求开展排污口论证，严格控制新设、改设或者扩大排污口。结合水污染防治方案实施相应的水环境质量改善工程，切实削减废水污染物，配合师宗县相关政府部门，</w:t>
                  </w:r>
                </w:p>
                <w:p>
                  <w:pPr>
                    <w:pStyle w:val="63"/>
                    <w:rPr>
                      <w:color w:val="auto"/>
                      <w:lang w:val="en-US"/>
                    </w:rPr>
                  </w:pPr>
                  <w:r>
                    <w:rPr>
                      <w:rFonts w:hint="eastAsia"/>
                      <w:color w:val="auto"/>
                      <w:lang w:val="en-US"/>
                    </w:rPr>
                    <w:t>加强子午河、二允河等河道和规划区内水库和周边饮用水源的水环境综合整治与生态修复工程，切实保障地表水环境质量。</w:t>
                  </w:r>
                </w:p>
                <w:p>
                  <w:pPr>
                    <w:pStyle w:val="63"/>
                    <w:rPr>
                      <w:color w:val="auto"/>
                      <w:lang w:val="en-US"/>
                    </w:rPr>
                  </w:pPr>
                  <w:r>
                    <w:rPr>
                      <w:rFonts w:hint="eastAsia"/>
                      <w:color w:val="auto"/>
                      <w:lang w:val="en-US"/>
                    </w:rPr>
                    <w:t>产业园区及周边地下水环境敏感程度较高，地下水环境总体较脆弱，区域产业布局和项目建设应充分考虑对地下水的影响；对于涉及园区集中固废储存和处置设施建设，应严格做好水文地质、工程地质勘察，合理规避地下暗河及落水洞发育区，做好地下水污染防治和监控，按相关规范要求采取针对性防渗措施，确保区域地下水安全。严格执行《地下水管理条例》中相关规定，在泉域保护范围以及岩溶强发育、存在较多落水洞和岩溶漏斗的区域内，不得新建、改建、扩建可能造成地下水污染的建设项目。高度重视园区村镇的饮用水安全，与饮用水源保护区相邻区域应注意避让，园区的开发建设须符合饮用水源保护管理相关规定，项目布局不得影响居民饮用水安全。</w:t>
                  </w:r>
                </w:p>
                <w:p>
                  <w:pPr>
                    <w:pStyle w:val="63"/>
                    <w:rPr>
                      <w:color w:val="auto"/>
                      <w:lang w:val="en-US"/>
                    </w:rPr>
                  </w:pPr>
                  <w:r>
                    <w:rPr>
                      <w:rFonts w:hint="eastAsia"/>
                      <w:color w:val="auto"/>
                      <w:lang w:val="en-US"/>
                    </w:rPr>
                    <w:t>将土壤污染防治工作纳入产业园区规划及相关环境保护规划，采取有效预防措施。防止、减少土壤污染，确保满足土壤环境管控要求。</w:t>
                  </w:r>
                </w:p>
                <w:p>
                  <w:pPr>
                    <w:pStyle w:val="63"/>
                    <w:rPr>
                      <w:color w:val="auto"/>
                      <w:lang w:val="en-US"/>
                    </w:rPr>
                  </w:pPr>
                  <w:r>
                    <w:rPr>
                      <w:rFonts w:hint="eastAsia"/>
                      <w:color w:val="auto"/>
                      <w:lang w:val="en-US"/>
                    </w:rPr>
                    <w:t>危险废物需按规定严格管控，积极推进工业固体废物综合利用，确实需要暂存的，暂存(处置)场的选址、建设必须按照相关要求严格落实污染防治措施，严禁乱堆乱放。</w:t>
                  </w:r>
                </w:p>
                <w:p>
                  <w:pPr>
                    <w:pStyle w:val="63"/>
                    <w:rPr>
                      <w:color w:val="auto"/>
                      <w:lang w:val="en-US"/>
                    </w:rPr>
                  </w:pPr>
                  <w:r>
                    <w:rPr>
                      <w:rFonts w:hint="eastAsia"/>
                      <w:color w:val="auto"/>
                      <w:lang w:val="en-US"/>
                    </w:rPr>
                    <w:t>加强环境风险防范和管理措施，对于进驻园区项目在选址布局时要充分考虑安全防护距离和环境防护距离的要求，避免事故发生时对敏感的居住人群的影响。</w:t>
                  </w:r>
                </w:p>
                <w:p>
                  <w:pPr>
                    <w:pStyle w:val="63"/>
                    <w:rPr>
                      <w:color w:val="auto"/>
                      <w:lang w:val="en-US"/>
                    </w:rPr>
                  </w:pPr>
                  <w:r>
                    <w:rPr>
                      <w:rFonts w:hint="eastAsia"/>
                      <w:color w:val="auto"/>
                      <w:lang w:val="en-US"/>
                    </w:rPr>
                    <w:t>按照国家碳达峰碳中和的政策要求，积极开展园区减污降碳协同管控，待当地碳达峰规划、行业达峰规划发布后，园区碳排放管理相关要求从其规定执行。</w:t>
                  </w:r>
                </w:p>
              </w:tc>
              <w:tc>
                <w:tcPr>
                  <w:tcW w:w="1862" w:type="pct"/>
                  <w:vAlign w:val="center"/>
                </w:tcPr>
                <w:p>
                  <w:pPr>
                    <w:pStyle w:val="63"/>
                    <w:rPr>
                      <w:color w:val="auto"/>
                      <w:lang w:val="en-US"/>
                    </w:rPr>
                  </w:pPr>
                  <w:r>
                    <w:rPr>
                      <w:rFonts w:hint="eastAsia"/>
                      <w:color w:val="auto"/>
                      <w:lang w:val="en-US"/>
                    </w:rPr>
                    <w:t>本项目</w:t>
                  </w:r>
                  <w:r>
                    <w:rPr>
                      <w:rFonts w:hint="eastAsia"/>
                      <w:color w:val="auto"/>
                      <w:lang w:val="en-US" w:eastAsia="zh-CN"/>
                    </w:rPr>
                    <w:t>热</w:t>
                  </w:r>
                  <w:r>
                    <w:rPr>
                      <w:rFonts w:hint="eastAsia"/>
                      <w:color w:val="auto"/>
                      <w:lang w:val="en-US"/>
                    </w:rPr>
                    <w:t>退火炉使用清洁能源天然气，排放的烟气通过</w:t>
                  </w:r>
                  <w:r>
                    <w:rPr>
                      <w:rFonts w:hint="eastAsia"/>
                      <w:color w:val="auto"/>
                      <w:lang w:val="en-US" w:eastAsia="zh-CN"/>
                    </w:rPr>
                    <w:t>现有D</w:t>
                  </w:r>
                  <w:r>
                    <w:rPr>
                      <w:color w:val="auto"/>
                      <w:lang w:val="en-US" w:eastAsia="zh-CN"/>
                    </w:rPr>
                    <w:t>A003</w:t>
                  </w:r>
                  <w:r>
                    <w:rPr>
                      <w:rFonts w:hint="eastAsia"/>
                      <w:color w:val="auto"/>
                      <w:lang w:val="en-US" w:eastAsia="zh-CN"/>
                    </w:rPr>
                    <w:t>废气排放口排放</w:t>
                  </w:r>
                  <w:r>
                    <w:rPr>
                      <w:rFonts w:hint="eastAsia"/>
                      <w:color w:val="auto"/>
                      <w:lang w:val="en-US"/>
                    </w:rPr>
                    <w:t>，本项目</w:t>
                  </w:r>
                  <w:r>
                    <w:rPr>
                      <w:rFonts w:hint="eastAsia"/>
                      <w:color w:val="auto"/>
                      <w:lang w:val="en-US" w:eastAsia="zh-CN"/>
                    </w:rPr>
                    <w:t>不新增生产废水和生活污水，现有项目</w:t>
                  </w:r>
                  <w:r>
                    <w:rPr>
                      <w:rFonts w:hint="eastAsia"/>
                      <w:color w:val="auto"/>
                      <w:lang w:val="en-US"/>
                    </w:rPr>
                    <w:t>生活污水依托云南天高镍业有限公司现有生活污水处理站处理回用于云南天高镍业有限公司</w:t>
                  </w:r>
                  <w:r>
                    <w:rPr>
                      <w:rFonts w:hint="eastAsia"/>
                      <w:color w:val="auto"/>
                      <w:lang w:val="en-US" w:eastAsia="zh-CN"/>
                    </w:rPr>
                    <w:t>炼钢</w:t>
                  </w:r>
                  <w:r>
                    <w:rPr>
                      <w:rFonts w:hint="eastAsia"/>
                      <w:color w:val="auto"/>
                      <w:lang w:val="en-US"/>
                    </w:rPr>
                    <w:t>循环补充水，不外排；软水系统正反冲洗水、浓盐水及锅炉排污水依托云南天高镍业有限公司现有生产废水处理站，经处理后回用于生产补充水，不外排，切实保障地表水环境质量。本项目</w:t>
                  </w:r>
                  <w:r>
                    <w:rPr>
                      <w:rFonts w:hint="eastAsia"/>
                      <w:color w:val="auto"/>
                      <w:lang w:val="en-US" w:eastAsia="zh-CN"/>
                    </w:rPr>
                    <w:t>不新增占地，在现有项目厂区内进行技改</w:t>
                  </w:r>
                  <w:r>
                    <w:rPr>
                      <w:rFonts w:hint="eastAsia"/>
                      <w:color w:val="auto"/>
                      <w:lang w:val="en-US"/>
                    </w:rPr>
                    <w:t>，</w:t>
                  </w:r>
                  <w:r>
                    <w:rPr>
                      <w:rFonts w:hint="eastAsia"/>
                      <w:color w:val="auto"/>
                      <w:lang w:val="en-US" w:eastAsia="zh-CN"/>
                    </w:rPr>
                    <w:t>周边</w:t>
                  </w:r>
                  <w:r>
                    <w:rPr>
                      <w:rFonts w:hint="eastAsia"/>
                      <w:color w:val="auto"/>
                      <w:lang w:val="en-US"/>
                    </w:rPr>
                    <w:t>地质条件较好，厂房地面</w:t>
                  </w:r>
                  <w:r>
                    <w:rPr>
                      <w:rFonts w:hint="eastAsia"/>
                      <w:color w:val="auto"/>
                      <w:lang w:val="en-US" w:eastAsia="zh-CN"/>
                    </w:rPr>
                    <w:t>进行了</w:t>
                  </w:r>
                  <w:r>
                    <w:rPr>
                      <w:rFonts w:hint="eastAsia"/>
                      <w:color w:val="auto"/>
                      <w:lang w:val="en-US"/>
                    </w:rPr>
                    <w:t>一般防渗处理，依托使用的危废暂存间已做重点防渗处理，本项目的建设对地下水环境影响较小。</w:t>
                  </w:r>
                </w:p>
              </w:tc>
              <w:tc>
                <w:tcPr>
                  <w:tcW w:w="422"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pPr>
                    <w:pStyle w:val="63"/>
                    <w:rPr>
                      <w:color w:val="auto"/>
                      <w:lang w:val="en-US"/>
                    </w:rPr>
                  </w:pPr>
                  <w:r>
                    <w:rPr>
                      <w:rFonts w:hint="eastAsia"/>
                      <w:color w:val="auto"/>
                      <w:lang w:val="en-US"/>
                    </w:rPr>
                    <w:t>5</w:t>
                  </w:r>
                </w:p>
              </w:tc>
              <w:tc>
                <w:tcPr>
                  <w:tcW w:w="2418" w:type="pct"/>
                  <w:vAlign w:val="center"/>
                </w:tcPr>
                <w:p>
                  <w:pPr>
                    <w:pStyle w:val="63"/>
                    <w:rPr>
                      <w:color w:val="auto"/>
                      <w:lang w:val="en-US"/>
                    </w:rPr>
                  </w:pPr>
                  <w:r>
                    <w:rPr>
                      <w:rFonts w:hint="eastAsia"/>
                      <w:color w:val="auto"/>
                      <w:lang w:val="en-US"/>
                    </w:rPr>
                    <w:t>严格执行环境准入要求，加强入园项目生态环境准入管理。落实蓝天、碧水、净土保卫战有关管控要求，加强“两高”行业生态环境源头防控，大同片区不锈钢冶炼及深加工产业区严格控制不锈钢产能，禁止在核定产能外新建和扩建钢铁冶炼产业，矣腊片区现有焦化企业不得新增焦化产能。引进项目的生产工艺、设备、污染物排放和资源利用等，应达到清洁生产国内先进水平。推进技术研发型、创新型产业发展，提升产业的技术水平和园区的绿色低碳化水平。入园项目需符合国家产业政策、产业布局规划要求，符合“三线一单”大气、水等重点管控单元要求。园区招商引资、入园项目环评审批等应将规划环评结论及审查意见作为重要依据，要以园区的资源环境承载能力为基础，充分论证、有序发展。</w:t>
                  </w:r>
                </w:p>
              </w:tc>
              <w:tc>
                <w:tcPr>
                  <w:tcW w:w="1862" w:type="pct"/>
                  <w:vAlign w:val="center"/>
                </w:tcPr>
                <w:p>
                  <w:pPr>
                    <w:pStyle w:val="63"/>
                    <w:rPr>
                      <w:color w:val="auto"/>
                      <w:lang w:val="en-US"/>
                    </w:rPr>
                  </w:pPr>
                  <w:r>
                    <w:rPr>
                      <w:rFonts w:hint="eastAsia"/>
                      <w:color w:val="auto"/>
                      <w:lang w:val="en-US"/>
                    </w:rPr>
                    <w:t>本项目位于大同片区不锈钢冶炼及深加工产业区，本项目</w:t>
                  </w:r>
                  <w:r>
                    <w:rPr>
                      <w:rFonts w:hint="eastAsia"/>
                      <w:color w:val="auto"/>
                      <w:lang w:val="en-US" w:eastAsia="zh-CN"/>
                    </w:rPr>
                    <w:t>针对年产3</w:t>
                  </w:r>
                  <w:r>
                    <w:rPr>
                      <w:color w:val="auto"/>
                      <w:lang w:val="en-US" w:eastAsia="zh-CN"/>
                    </w:rPr>
                    <w:t>0</w:t>
                  </w:r>
                  <w:r>
                    <w:rPr>
                      <w:rFonts w:hint="eastAsia"/>
                      <w:color w:val="auto"/>
                      <w:lang w:val="en-US" w:eastAsia="zh-CN"/>
                    </w:rPr>
                    <w:t>万吨热退火酸洗生产线建设项目进行技术改造</w:t>
                  </w:r>
                  <w:r>
                    <w:rPr>
                      <w:rFonts w:hint="eastAsia"/>
                      <w:color w:val="auto"/>
                      <w:lang w:val="en-US"/>
                    </w:rPr>
                    <w:t>，使用</w:t>
                  </w:r>
                  <w:r>
                    <w:rPr>
                      <w:rFonts w:hint="eastAsia"/>
                      <w:color w:val="auto"/>
                      <w:lang w:val="en-US" w:eastAsia="zh-CN"/>
                    </w:rPr>
                    <w:t>现有</w:t>
                  </w:r>
                  <w:r>
                    <w:rPr>
                      <w:rFonts w:hint="eastAsia"/>
                      <w:color w:val="auto"/>
                      <w:lang w:val="en-US"/>
                    </w:rPr>
                    <w:t>年产1</w:t>
                  </w:r>
                  <w:r>
                    <w:rPr>
                      <w:color w:val="auto"/>
                      <w:lang w:val="en-US"/>
                    </w:rPr>
                    <w:t>40</w:t>
                  </w:r>
                  <w:r>
                    <w:rPr>
                      <w:rFonts w:hint="eastAsia"/>
                      <w:color w:val="auto"/>
                      <w:lang w:val="en-US"/>
                    </w:rPr>
                    <w:t>万吨热轧生产线建设项目不锈钢钢卷为原料</w:t>
                  </w:r>
                  <w:r>
                    <w:rPr>
                      <w:rFonts w:hint="eastAsia"/>
                      <w:color w:val="auto"/>
                      <w:lang w:val="en-US" w:eastAsia="zh-CN"/>
                    </w:rPr>
                    <w:t>，</w:t>
                  </w:r>
                  <w:r>
                    <w:rPr>
                      <w:rFonts w:hint="eastAsia"/>
                      <w:color w:val="auto"/>
                      <w:lang w:val="en-US"/>
                    </w:rPr>
                    <w:t>不涉及炼钢，不新增炼钢产能。本项目符合国家产业政策，符合“三线一单”大气、水等重点管控单元要求。</w:t>
                  </w:r>
                </w:p>
              </w:tc>
              <w:tc>
                <w:tcPr>
                  <w:tcW w:w="422"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pPr>
                    <w:pStyle w:val="63"/>
                    <w:rPr>
                      <w:color w:val="auto"/>
                      <w:lang w:val="en-US"/>
                    </w:rPr>
                  </w:pPr>
                  <w:r>
                    <w:rPr>
                      <w:rFonts w:hint="eastAsia"/>
                      <w:color w:val="auto"/>
                      <w:lang w:val="en-US"/>
                    </w:rPr>
                    <w:t>6</w:t>
                  </w:r>
                </w:p>
              </w:tc>
              <w:tc>
                <w:tcPr>
                  <w:tcW w:w="2418" w:type="pct"/>
                  <w:vAlign w:val="center"/>
                </w:tcPr>
                <w:p>
                  <w:pPr>
                    <w:pStyle w:val="63"/>
                    <w:rPr>
                      <w:color w:val="auto"/>
                      <w:lang w:val="en-US"/>
                    </w:rPr>
                  </w:pPr>
                  <w:r>
                    <w:rPr>
                      <w:rFonts w:hint="eastAsia"/>
                      <w:color w:val="auto"/>
                      <w:lang w:val="en-US"/>
                    </w:rPr>
                    <w:t>建立健全区域环境风险防范和生态安全保障体系。加强产业园区内易导致环境风险的有毒有害和易燃易爆物质的生产、使用、储运等管理，统筹考虑园区内污染防治、生态恢复与建设、环境风险防范、环境管理等事宜。强化产业园区危险化学品储运和废水的环境风险管理，制定建立厂区、园区、区域三级防控措施，强化产业园区环境监测与预警能力建设、环境风险应急与防范措施，建立应急响应联动机制和风险防控体系并编制应急预案，防范环境风险，避免事故废水排入园区外水体，保障区域环境安全。</w:t>
                  </w:r>
                </w:p>
              </w:tc>
              <w:tc>
                <w:tcPr>
                  <w:tcW w:w="1862" w:type="pct"/>
                  <w:vAlign w:val="center"/>
                </w:tcPr>
                <w:p>
                  <w:pPr>
                    <w:pStyle w:val="63"/>
                    <w:rPr>
                      <w:color w:val="auto"/>
                      <w:lang w:val="en-US"/>
                    </w:rPr>
                  </w:pPr>
                  <w:r>
                    <w:rPr>
                      <w:rFonts w:hint="eastAsia"/>
                      <w:color w:val="auto"/>
                      <w:lang w:val="en-US" w:eastAsia="zh-CN"/>
                    </w:rPr>
                    <w:t>建设单位</w:t>
                  </w:r>
                  <w:r>
                    <w:rPr>
                      <w:rFonts w:hint="eastAsia"/>
                      <w:color w:val="auto"/>
                      <w:lang w:val="en-US"/>
                    </w:rPr>
                    <w:t>已编制全厂突发环境事件应急预案</w:t>
                  </w:r>
                  <w:r>
                    <w:rPr>
                      <w:rFonts w:hint="eastAsia"/>
                      <w:color w:val="auto"/>
                      <w:lang w:val="en-US" w:eastAsia="zh-CN"/>
                    </w:rPr>
                    <w:t>报送师宗分局备案（备案号5</w:t>
                  </w:r>
                  <w:r>
                    <w:rPr>
                      <w:color w:val="auto"/>
                      <w:lang w:val="en-US" w:eastAsia="zh-CN"/>
                    </w:rPr>
                    <w:t>30323-2023-025-M</w:t>
                  </w:r>
                  <w:r>
                    <w:rPr>
                      <w:rFonts w:hint="eastAsia"/>
                      <w:color w:val="auto"/>
                      <w:lang w:val="en-US" w:eastAsia="zh-CN"/>
                    </w:rPr>
                    <w:t>）</w:t>
                  </w:r>
                  <w:r>
                    <w:rPr>
                      <w:rFonts w:hint="eastAsia"/>
                      <w:color w:val="auto"/>
                      <w:lang w:val="en-US"/>
                    </w:rPr>
                    <w:t>，</w:t>
                  </w:r>
                  <w:r>
                    <w:rPr>
                      <w:rFonts w:hint="eastAsia"/>
                      <w:color w:val="auto"/>
                      <w:lang w:val="en-US" w:eastAsia="zh-CN"/>
                    </w:rPr>
                    <w:t>与师宗县、园区</w:t>
                  </w:r>
                  <w:r>
                    <w:rPr>
                      <w:rFonts w:hint="eastAsia"/>
                      <w:color w:val="auto"/>
                      <w:lang w:val="en-US"/>
                    </w:rPr>
                    <w:t>建立</w:t>
                  </w:r>
                  <w:r>
                    <w:rPr>
                      <w:rFonts w:hint="eastAsia"/>
                      <w:color w:val="auto"/>
                      <w:lang w:val="en-US" w:eastAsia="zh-CN"/>
                    </w:rPr>
                    <w:t>了</w:t>
                  </w:r>
                  <w:r>
                    <w:rPr>
                      <w:rFonts w:hint="eastAsia"/>
                      <w:color w:val="auto"/>
                      <w:lang w:val="en-US"/>
                    </w:rPr>
                    <w:t>应急响应联动机制和风险防控体系，</w:t>
                  </w:r>
                  <w:r>
                    <w:rPr>
                      <w:rFonts w:hint="eastAsia"/>
                      <w:color w:val="auto"/>
                      <w:lang w:val="en-US" w:eastAsia="zh-CN"/>
                    </w:rPr>
                    <w:t>本项目投入运营前及时修编现有预案，建设单位每年</w:t>
                  </w:r>
                  <w:r>
                    <w:rPr>
                      <w:rFonts w:hint="eastAsia"/>
                      <w:color w:val="auto"/>
                      <w:lang w:val="en-US"/>
                    </w:rPr>
                    <w:t>定期开展</w:t>
                  </w:r>
                  <w:r>
                    <w:rPr>
                      <w:rFonts w:hint="eastAsia"/>
                      <w:color w:val="auto"/>
                      <w:lang w:val="en-US" w:eastAsia="zh-CN"/>
                    </w:rPr>
                    <w:t>应急</w:t>
                  </w:r>
                  <w:r>
                    <w:rPr>
                      <w:rFonts w:hint="eastAsia"/>
                      <w:color w:val="auto"/>
                      <w:lang w:val="en-US"/>
                    </w:rPr>
                    <w:t>演练，</w:t>
                  </w:r>
                  <w:r>
                    <w:rPr>
                      <w:rFonts w:hint="eastAsia"/>
                      <w:color w:val="auto"/>
                      <w:lang w:val="en-US" w:eastAsia="zh-CN"/>
                    </w:rPr>
                    <w:t>本项目运营期应</w:t>
                  </w:r>
                  <w:r>
                    <w:rPr>
                      <w:rFonts w:hint="eastAsia"/>
                      <w:color w:val="auto"/>
                      <w:lang w:val="en-US"/>
                    </w:rPr>
                    <w:t>加强应急物资管理</w:t>
                  </w:r>
                  <w:r>
                    <w:rPr>
                      <w:rFonts w:hint="eastAsia"/>
                      <w:color w:val="auto"/>
                      <w:lang w:val="en-US" w:eastAsia="zh-CN"/>
                    </w:rPr>
                    <w:t>和风险防范措施</w:t>
                  </w:r>
                  <w:r>
                    <w:rPr>
                      <w:rFonts w:hint="eastAsia"/>
                      <w:color w:val="auto"/>
                      <w:lang w:val="en-US"/>
                    </w:rPr>
                    <w:t>，</w:t>
                  </w:r>
                  <w:r>
                    <w:rPr>
                      <w:rFonts w:hint="eastAsia"/>
                      <w:color w:val="auto"/>
                      <w:lang w:val="en-US" w:eastAsia="zh-CN"/>
                    </w:rPr>
                    <w:t>及时</w:t>
                  </w:r>
                  <w:r>
                    <w:rPr>
                      <w:rFonts w:hint="eastAsia"/>
                      <w:color w:val="auto"/>
                      <w:lang w:val="en-US"/>
                    </w:rPr>
                    <w:t>防范环境风险。</w:t>
                  </w:r>
                </w:p>
              </w:tc>
              <w:tc>
                <w:tcPr>
                  <w:tcW w:w="422"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pPr>
                    <w:pStyle w:val="63"/>
                    <w:rPr>
                      <w:color w:val="auto"/>
                      <w:lang w:val="en-US"/>
                    </w:rPr>
                  </w:pPr>
                  <w:r>
                    <w:rPr>
                      <w:rFonts w:hint="eastAsia"/>
                      <w:color w:val="auto"/>
                      <w:lang w:val="en-US"/>
                    </w:rPr>
                    <w:t>7</w:t>
                  </w:r>
                </w:p>
              </w:tc>
              <w:tc>
                <w:tcPr>
                  <w:tcW w:w="2418" w:type="pct"/>
                  <w:vAlign w:val="center"/>
                </w:tcPr>
                <w:p>
                  <w:pPr>
                    <w:pStyle w:val="63"/>
                    <w:rPr>
                      <w:color w:val="auto"/>
                      <w:lang w:val="en-US"/>
                    </w:rPr>
                  </w:pPr>
                  <w:r>
                    <w:rPr>
                      <w:rFonts w:hint="eastAsia"/>
                      <w:color w:val="auto"/>
                      <w:lang w:val="en-US"/>
                    </w:rPr>
                    <w:t>建立环境质量监测网络并共享数据。根据园区功能分区、产业布局、重点企业分布、特征污染物的排放种类和状况、环境敏感目标分布等情况，统筹安排环境监测监控网络建设。园区应设置环境空气自动监测站，做好区内大气、地表水、地下水、土壤等环境的长期跟踪监测与管理，督促排污企业落实自行监测责任。根据监测结果、实际环境影响、不良环境影响减缓措施的有效性等提出完善环境管理方案并适时优化调整《规划》。</w:t>
                  </w:r>
                </w:p>
              </w:tc>
              <w:tc>
                <w:tcPr>
                  <w:tcW w:w="1862" w:type="pct"/>
                  <w:vAlign w:val="center"/>
                </w:tcPr>
                <w:p>
                  <w:pPr>
                    <w:pStyle w:val="63"/>
                    <w:rPr>
                      <w:color w:val="auto"/>
                      <w:lang w:val="en-US"/>
                    </w:rPr>
                  </w:pPr>
                  <w:r>
                    <w:rPr>
                      <w:rFonts w:hint="eastAsia"/>
                      <w:color w:val="auto"/>
                      <w:lang w:val="en-US"/>
                    </w:rPr>
                    <w:t>园区内企业已按《规划》要求对重点污染源安装在线连续监控系统，对废气排放实施连续、实时</w:t>
                  </w:r>
                  <w:r>
                    <w:rPr>
                      <w:rFonts w:hint="eastAsia"/>
                      <w:color w:val="auto"/>
                      <w:lang w:val="en-US" w:eastAsia="zh-CN"/>
                    </w:rPr>
                    <w:t>的</w:t>
                  </w:r>
                  <w:r>
                    <w:rPr>
                      <w:rFonts w:hint="eastAsia"/>
                      <w:color w:val="auto"/>
                      <w:lang w:val="en-US"/>
                    </w:rPr>
                    <w:t>跟踪监测监管。园区部分企业加强地下水跟踪监测工作，制定地下水污染预警系统。本项目</w:t>
                  </w:r>
                  <w:r>
                    <w:rPr>
                      <w:rFonts w:hint="eastAsia"/>
                      <w:color w:val="auto"/>
                      <w:lang w:val="en-US" w:eastAsia="zh-CN"/>
                    </w:rPr>
                    <w:t>热</w:t>
                  </w:r>
                  <w:r>
                    <w:rPr>
                      <w:rFonts w:hint="eastAsia"/>
                      <w:color w:val="auto"/>
                      <w:lang w:val="en-US"/>
                    </w:rPr>
                    <w:t>退火炉</w:t>
                  </w:r>
                  <w:r>
                    <w:rPr>
                      <w:rFonts w:hint="eastAsia"/>
                      <w:color w:val="auto"/>
                      <w:lang w:val="en-US" w:eastAsia="zh-CN"/>
                    </w:rPr>
                    <w:t>废气</w:t>
                  </w:r>
                  <w:r>
                    <w:rPr>
                      <w:rFonts w:hint="eastAsia"/>
                      <w:color w:val="auto"/>
                      <w:lang w:val="en-US"/>
                    </w:rPr>
                    <w:t>排放口属于一般排放口，已制定</w:t>
                  </w:r>
                  <w:r>
                    <w:rPr>
                      <w:rFonts w:hint="eastAsia"/>
                      <w:color w:val="auto"/>
                      <w:lang w:val="en-US" w:eastAsia="zh-CN"/>
                    </w:rPr>
                    <w:t>了自行</w:t>
                  </w:r>
                  <w:r>
                    <w:rPr>
                      <w:rFonts w:hint="eastAsia"/>
                      <w:color w:val="auto"/>
                      <w:lang w:val="en-US"/>
                    </w:rPr>
                    <w:t>监测计划，定期对</w:t>
                  </w:r>
                  <w:r>
                    <w:rPr>
                      <w:rFonts w:hint="eastAsia"/>
                      <w:color w:val="auto"/>
                      <w:lang w:val="en-US" w:eastAsia="zh-CN"/>
                    </w:rPr>
                    <w:t>废气排放口</w:t>
                  </w:r>
                  <w:r>
                    <w:rPr>
                      <w:rFonts w:hint="eastAsia"/>
                      <w:color w:val="auto"/>
                      <w:lang w:val="en-US"/>
                    </w:rPr>
                    <w:t>进行监测。</w:t>
                  </w:r>
                </w:p>
              </w:tc>
              <w:tc>
                <w:tcPr>
                  <w:tcW w:w="422"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pPr>
                    <w:pStyle w:val="63"/>
                    <w:rPr>
                      <w:color w:val="auto"/>
                      <w:lang w:val="en-US"/>
                    </w:rPr>
                  </w:pPr>
                  <w:r>
                    <w:rPr>
                      <w:rFonts w:hint="eastAsia"/>
                      <w:color w:val="auto"/>
                      <w:lang w:val="en-US"/>
                    </w:rPr>
                    <w:t>8</w:t>
                  </w:r>
                </w:p>
              </w:tc>
              <w:tc>
                <w:tcPr>
                  <w:tcW w:w="2418" w:type="pct"/>
                  <w:vAlign w:val="center"/>
                </w:tcPr>
                <w:p>
                  <w:pPr>
                    <w:pStyle w:val="63"/>
                    <w:rPr>
                      <w:color w:val="auto"/>
                      <w:lang w:val="en-US"/>
                    </w:rPr>
                  </w:pPr>
                  <w:r>
                    <w:rPr>
                      <w:rFonts w:hint="eastAsia"/>
                      <w:color w:val="auto"/>
                      <w:lang w:val="en-US"/>
                    </w:rPr>
                    <w:t>推进产业园区环保基础设施建设，促进区域环境质量持续改善。加快建设配套的污水处理厂或集中处理设施，并同步建设污水管网、雨水管网及中水回用管网。做好“雨污分流”、“清污分流”</w:t>
                  </w:r>
                  <w:r>
                    <w:rPr>
                      <w:rFonts w:hint="eastAsia"/>
                      <w:color w:val="auto"/>
                      <w:lang w:val="en-US" w:eastAsia="zh-CN"/>
                    </w:rPr>
                    <w:t>，</w:t>
                  </w:r>
                  <w:r>
                    <w:rPr>
                      <w:rFonts w:hint="eastAsia"/>
                      <w:color w:val="auto"/>
                      <w:lang w:val="en-US"/>
                    </w:rPr>
                    <w:t>做好污染雨水收集处理、强化中水回用。督促产业园区企业加强废气、废水、噪声、固废等环保设施建设和运行管理。</w:t>
                  </w:r>
                </w:p>
              </w:tc>
              <w:tc>
                <w:tcPr>
                  <w:tcW w:w="1862" w:type="pct"/>
                  <w:vAlign w:val="center"/>
                </w:tcPr>
                <w:p>
                  <w:pPr>
                    <w:pStyle w:val="63"/>
                    <w:rPr>
                      <w:color w:val="auto"/>
                      <w:lang w:val="en-US"/>
                    </w:rPr>
                  </w:pPr>
                  <w:r>
                    <w:rPr>
                      <w:rFonts w:hint="eastAsia"/>
                      <w:color w:val="auto"/>
                      <w:lang w:val="en-US" w:eastAsia="zh-CN"/>
                    </w:rPr>
                    <w:t>本项目不新增生产废水和生活污水，现有</w:t>
                  </w:r>
                  <w:r>
                    <w:rPr>
                      <w:rFonts w:hint="eastAsia"/>
                      <w:color w:val="auto"/>
                      <w:lang w:val="en-US"/>
                    </w:rPr>
                    <w:t>项目生活污水依托云南天高镍业有限公司现有生活污水处理站处理回用于云南天高镍业有限公司</w:t>
                  </w:r>
                  <w:r>
                    <w:rPr>
                      <w:rFonts w:hint="eastAsia"/>
                      <w:color w:val="auto"/>
                      <w:lang w:val="en-US" w:eastAsia="zh-CN"/>
                    </w:rPr>
                    <w:t>炼钢</w:t>
                  </w:r>
                  <w:r>
                    <w:rPr>
                      <w:rFonts w:hint="eastAsia"/>
                      <w:color w:val="auto"/>
                      <w:lang w:val="en-US"/>
                    </w:rPr>
                    <w:t>循环补充水，不外排；软水系统正反冲洗水、浓盐水及锅炉排污水依托云南天高镍业有限公司现有生产废水处理站，经处理后回用于生产补充水，不外排。</w:t>
                  </w:r>
                </w:p>
              </w:tc>
              <w:tc>
                <w:tcPr>
                  <w:tcW w:w="422"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Align w:val="center"/>
                </w:tcPr>
                <w:p>
                  <w:pPr>
                    <w:pStyle w:val="63"/>
                    <w:rPr>
                      <w:color w:val="auto"/>
                      <w:lang w:val="en-US"/>
                    </w:rPr>
                  </w:pPr>
                  <w:r>
                    <w:rPr>
                      <w:rFonts w:hint="eastAsia"/>
                      <w:color w:val="auto"/>
                      <w:lang w:val="en-US"/>
                    </w:rPr>
                    <w:t>9</w:t>
                  </w:r>
                </w:p>
              </w:tc>
              <w:tc>
                <w:tcPr>
                  <w:tcW w:w="2418" w:type="pct"/>
                  <w:vAlign w:val="center"/>
                </w:tcPr>
                <w:p>
                  <w:pPr>
                    <w:pStyle w:val="63"/>
                    <w:rPr>
                      <w:color w:val="auto"/>
                      <w:lang w:val="en-US"/>
                    </w:rPr>
                  </w:pPr>
                  <w:r>
                    <w:rPr>
                      <w:rFonts w:hint="eastAsia"/>
                      <w:color w:val="auto"/>
                      <w:lang w:val="en-US" w:eastAsia="zh-CN"/>
                    </w:rPr>
                    <w:t>拟纳</w:t>
                  </w:r>
                  <w:r>
                    <w:rPr>
                      <w:rFonts w:hint="eastAsia"/>
                      <w:color w:val="auto"/>
                      <w:lang w:val="en-US"/>
                    </w:rPr>
                    <w:t>入产业园区建设项目，应结合《报告书》提出的指导意见做好环境影响评价工作，落实《报告书》提出的要求，加强与规划环评的联动，重点开展大气污染物、水污染物允许排放量测算和周边大气环境影响可接受论证、污(废)水不外排或纳管可行可靠性论证、环保措施可行性论证等内容，强化环境监测和环境保护相关措施的落实。对符合规划环评环境管控要求和生态环境准入清单的具体建设项目，其环评文件中选址、环境现状调查与评价结果仍具有时效性的，建设项目相应环境影响评价内容可结合实际情况予以简化。</w:t>
                  </w:r>
                </w:p>
              </w:tc>
              <w:tc>
                <w:tcPr>
                  <w:tcW w:w="1862" w:type="pct"/>
                  <w:vAlign w:val="center"/>
                </w:tcPr>
                <w:p>
                  <w:pPr>
                    <w:pStyle w:val="63"/>
                    <w:rPr>
                      <w:color w:val="auto"/>
                      <w:lang w:val="en-US"/>
                    </w:rPr>
                  </w:pPr>
                  <w:r>
                    <w:rPr>
                      <w:rFonts w:hint="eastAsia"/>
                      <w:color w:val="auto"/>
                      <w:lang w:val="en-US"/>
                    </w:rPr>
                    <w:t>本项目</w:t>
                  </w:r>
                  <w:r>
                    <w:rPr>
                      <w:rFonts w:hint="eastAsia"/>
                      <w:color w:val="auto"/>
                      <w:lang w:val="en-US" w:eastAsia="zh-CN"/>
                    </w:rPr>
                    <w:t>热</w:t>
                  </w:r>
                  <w:r>
                    <w:rPr>
                      <w:rFonts w:hint="eastAsia"/>
                      <w:color w:val="auto"/>
                      <w:lang w:val="en-US"/>
                    </w:rPr>
                    <w:t>退火炉使用清洁能源天然气，排放的烟气</w:t>
                  </w:r>
                  <w:r>
                    <w:rPr>
                      <w:rFonts w:hint="eastAsia"/>
                      <w:color w:val="auto"/>
                      <w:lang w:val="en-US" w:eastAsia="zh-CN"/>
                    </w:rPr>
                    <w:t>通过现有项目D</w:t>
                  </w:r>
                  <w:r>
                    <w:rPr>
                      <w:color w:val="auto"/>
                      <w:lang w:val="en-US" w:eastAsia="zh-CN"/>
                    </w:rPr>
                    <w:t>A003</w:t>
                  </w:r>
                  <w:r>
                    <w:rPr>
                      <w:rFonts w:hint="eastAsia"/>
                      <w:color w:val="auto"/>
                      <w:lang w:val="en-US" w:eastAsia="zh-CN"/>
                    </w:rPr>
                    <w:t>废气排放口排放，根据分析，</w:t>
                  </w:r>
                  <w:r>
                    <w:rPr>
                      <w:rFonts w:hint="eastAsia"/>
                      <w:color w:val="auto"/>
                      <w:lang w:val="en-US"/>
                    </w:rPr>
                    <w:t>颗粒物、SO</w:t>
                  </w:r>
                  <w:r>
                    <w:rPr>
                      <w:rFonts w:hint="eastAsia"/>
                      <w:color w:val="auto"/>
                      <w:vertAlign w:val="subscript"/>
                      <w:lang w:val="en-US"/>
                    </w:rPr>
                    <w:t>2</w:t>
                  </w:r>
                  <w:r>
                    <w:rPr>
                      <w:rFonts w:hint="eastAsia"/>
                      <w:color w:val="auto"/>
                      <w:lang w:val="en-US"/>
                    </w:rPr>
                    <w:t>、NOx可稳定达标排放；本项目</w:t>
                  </w:r>
                  <w:r>
                    <w:rPr>
                      <w:rFonts w:hint="eastAsia"/>
                      <w:color w:val="auto"/>
                      <w:lang w:val="en-US" w:eastAsia="zh-CN"/>
                    </w:rPr>
                    <w:t>运营期不新增生产废水和生活污水，现有项目</w:t>
                  </w:r>
                  <w:r>
                    <w:rPr>
                      <w:rFonts w:hint="eastAsia"/>
                      <w:color w:val="auto"/>
                      <w:lang w:val="en-US"/>
                    </w:rPr>
                    <w:t>生活污水依托云南天高镍业有限公司现有生活污水处理站处理回用于云南天高镍业有限公司</w:t>
                  </w:r>
                  <w:r>
                    <w:rPr>
                      <w:rFonts w:hint="eastAsia"/>
                      <w:color w:val="auto"/>
                      <w:lang w:val="en-US" w:eastAsia="zh-CN"/>
                    </w:rPr>
                    <w:t>炼钢</w:t>
                  </w:r>
                  <w:r>
                    <w:rPr>
                      <w:rFonts w:hint="eastAsia"/>
                      <w:color w:val="auto"/>
                      <w:lang w:val="en-US"/>
                    </w:rPr>
                    <w:t>循环补充水，不外排；软水系统正反冲洗水、浓盐水及锅炉排污水依托云南天高镍业有限公司现有生产废水处理站，经处理后回用于生产补充水，不外排，本项目</w:t>
                  </w:r>
                  <w:r>
                    <w:rPr>
                      <w:rFonts w:hint="eastAsia"/>
                      <w:color w:val="auto"/>
                      <w:lang w:val="en-US" w:eastAsia="zh-CN"/>
                    </w:rPr>
                    <w:t>属于技改项目，现有项目符合园区规划。</w:t>
                  </w:r>
                </w:p>
              </w:tc>
              <w:tc>
                <w:tcPr>
                  <w:tcW w:w="422" w:type="pct"/>
                  <w:vAlign w:val="center"/>
                </w:tcPr>
                <w:p>
                  <w:pPr>
                    <w:pStyle w:val="63"/>
                    <w:rPr>
                      <w:color w:val="auto"/>
                      <w:lang w:val="en-US"/>
                    </w:rPr>
                  </w:pPr>
                  <w:r>
                    <w:rPr>
                      <w:rFonts w:hint="eastAsia"/>
                      <w:color w:val="auto"/>
                      <w:lang w:val="en-US"/>
                    </w:rPr>
                    <w:t>符合</w:t>
                  </w:r>
                </w:p>
              </w:tc>
            </w:tr>
          </w:tbl>
          <w:p>
            <w:pPr>
              <w:ind w:firstLine="480"/>
              <w:rPr>
                <w:color w:val="auto"/>
              </w:rPr>
            </w:pPr>
            <w:r>
              <w:rPr>
                <w:rFonts w:hint="eastAsia"/>
                <w:color w:val="auto"/>
              </w:rPr>
              <w:t>综上，本项目建设符合</w:t>
            </w:r>
            <w:r>
              <w:rPr>
                <w:color w:val="auto"/>
              </w:rPr>
              <w:t>《云南师宗产业园区总体规划（2021-2035年）环境影响报告书》及其审查意见</w:t>
            </w:r>
            <w:r>
              <w:rPr>
                <w:rFonts w:hint="eastAsia"/>
                <w:color w:val="auto"/>
              </w:rPr>
              <w:t>有关要求。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85" w:type="pct"/>
            <w:vAlign w:val="center"/>
          </w:tcPr>
          <w:p>
            <w:pPr>
              <w:autoSpaceDE w:val="0"/>
              <w:adjustRightInd w:val="0"/>
              <w:snapToGrid w:val="0"/>
              <w:ind w:firstLine="0" w:firstLineChars="0"/>
              <w:jc w:val="center"/>
              <w:rPr>
                <w:rFonts w:ascii="宋体" w:hAnsi="宋体" w:cs="宋体"/>
                <w:color w:val="auto"/>
                <w:kern w:val="0"/>
                <w:szCs w:val="21"/>
              </w:rPr>
            </w:pPr>
            <w:r>
              <w:rPr>
                <w:rFonts w:hint="eastAsia" w:ascii="宋体" w:hAnsi="宋体" w:cs="宋体"/>
                <w:color w:val="auto"/>
                <w:kern w:val="0"/>
                <w:szCs w:val="21"/>
              </w:rPr>
              <w:t>其他符合性分析</w:t>
            </w:r>
          </w:p>
        </w:tc>
        <w:tc>
          <w:tcPr>
            <w:tcW w:w="4515" w:type="pct"/>
            <w:gridSpan w:val="4"/>
            <w:vAlign w:val="center"/>
          </w:tcPr>
          <w:p>
            <w:pPr>
              <w:pStyle w:val="51"/>
              <w:spacing w:before="120" w:after="120"/>
              <w:rPr>
                <w:color w:val="auto"/>
              </w:rPr>
            </w:pPr>
            <w:r>
              <w:rPr>
                <w:rFonts w:hint="eastAsia"/>
                <w:color w:val="auto"/>
              </w:rPr>
              <w:t>1.</w:t>
            </w:r>
            <w:r>
              <w:rPr>
                <w:color w:val="auto"/>
              </w:rPr>
              <w:t>3</w:t>
            </w:r>
            <w:r>
              <w:rPr>
                <w:rFonts w:hint="eastAsia"/>
                <w:color w:val="auto"/>
              </w:rPr>
              <w:t>产业政策符合性分析</w:t>
            </w:r>
          </w:p>
          <w:p>
            <w:pPr>
              <w:ind w:firstLine="480"/>
              <w:rPr>
                <w:color w:val="auto"/>
              </w:rPr>
            </w:pPr>
            <w:r>
              <w:rPr>
                <w:rFonts w:hint="eastAsia"/>
                <w:color w:val="auto"/>
              </w:rPr>
              <w:t>本项目对年产3</w:t>
            </w:r>
            <w:r>
              <w:rPr>
                <w:color w:val="auto"/>
              </w:rPr>
              <w:t>0</w:t>
            </w:r>
            <w:r>
              <w:rPr>
                <w:rFonts w:hint="eastAsia"/>
                <w:color w:val="auto"/>
              </w:rPr>
              <w:t>万吨热退火酸洗生产线建设项目热退火炉燃烧系统进行改造，将焦炉煤气改为天然气，不属于《产业结构调整指导目录（</w:t>
            </w:r>
            <w:r>
              <w:rPr>
                <w:color w:val="auto"/>
              </w:rPr>
              <w:t>2024</w:t>
            </w:r>
            <w:r>
              <w:rPr>
                <w:rFonts w:hint="eastAsia"/>
                <w:color w:val="auto"/>
              </w:rPr>
              <w:t>年本）》中的</w:t>
            </w:r>
            <w:r>
              <w:rPr>
                <w:color w:val="auto"/>
              </w:rPr>
              <w:t>鼓励类、淘汰类、限制类生产项目</w:t>
            </w:r>
            <w:r>
              <w:rPr>
                <w:rFonts w:hint="eastAsia"/>
                <w:color w:val="auto"/>
              </w:rPr>
              <w:t>。</w:t>
            </w:r>
            <w:r>
              <w:rPr>
                <w:color w:val="auto"/>
              </w:rPr>
              <w:t>根据《促进产业结构调整暂行规定》（国发</w:t>
            </w:r>
            <w:r>
              <w:rPr>
                <w:rFonts w:hint="eastAsia" w:ascii="宋体" w:hAnsi="宋体"/>
                <w:color w:val="auto"/>
              </w:rPr>
              <w:t>〔</w:t>
            </w:r>
            <w:r>
              <w:rPr>
                <w:color w:val="auto"/>
              </w:rPr>
              <w:t>2005</w:t>
            </w:r>
            <w:r>
              <w:rPr>
                <w:rFonts w:hint="eastAsia" w:ascii="宋体" w:hAnsi="宋体"/>
                <w:color w:val="auto"/>
              </w:rPr>
              <w:t>〕</w:t>
            </w:r>
            <w:r>
              <w:rPr>
                <w:color w:val="auto"/>
              </w:rPr>
              <w:t>40号）第十三条规定，“不属于鼓励类、限制类和淘汰类，且符合国家有关法律、法规和政策规定的，为允许类”</w:t>
            </w:r>
            <w:r>
              <w:rPr>
                <w:rFonts w:hint="eastAsia"/>
                <w:color w:val="auto"/>
              </w:rPr>
              <w:t>。</w:t>
            </w:r>
          </w:p>
          <w:p>
            <w:pPr>
              <w:ind w:firstLine="480"/>
              <w:rPr>
                <w:color w:val="auto"/>
              </w:rPr>
            </w:pPr>
            <w:r>
              <w:rPr>
                <w:rFonts w:hint="eastAsia"/>
                <w:color w:val="auto"/>
              </w:rPr>
              <w:t>本项目于2</w:t>
            </w:r>
            <w:r>
              <w:rPr>
                <w:color w:val="auto"/>
              </w:rPr>
              <w:t>024</w:t>
            </w:r>
            <w:r>
              <w:rPr>
                <w:rFonts w:hint="eastAsia"/>
                <w:color w:val="auto"/>
              </w:rPr>
              <w:t>年4月1</w:t>
            </w:r>
            <w:r>
              <w:rPr>
                <w:color w:val="auto"/>
              </w:rPr>
              <w:t>7</w:t>
            </w:r>
            <w:r>
              <w:rPr>
                <w:rFonts w:hint="eastAsia"/>
                <w:color w:val="auto"/>
              </w:rPr>
              <w:t>日取得了师宗县发展和改革局投资项目备案证，项目代码2</w:t>
            </w:r>
            <w:r>
              <w:rPr>
                <w:color w:val="auto"/>
              </w:rPr>
              <w:t>404-530323-04-02-100846</w:t>
            </w:r>
            <w:r>
              <w:rPr>
                <w:rFonts w:hint="eastAsia"/>
                <w:color w:val="auto"/>
              </w:rPr>
              <w:t>。</w:t>
            </w:r>
          </w:p>
          <w:p>
            <w:pPr>
              <w:ind w:firstLine="480"/>
              <w:rPr>
                <w:color w:val="auto"/>
              </w:rPr>
            </w:pPr>
            <w:r>
              <w:rPr>
                <w:rFonts w:hint="eastAsia"/>
                <w:color w:val="auto"/>
              </w:rPr>
              <w:t>综上，项目符合《</w:t>
            </w:r>
            <w:r>
              <w:rPr>
                <w:color w:val="auto"/>
              </w:rPr>
              <w:t>产业结构调整指导目录》（2024年本）</w:t>
            </w:r>
            <w:r>
              <w:rPr>
                <w:rFonts w:hint="eastAsia"/>
                <w:color w:val="auto"/>
              </w:rPr>
              <w:t>要求。</w:t>
            </w:r>
          </w:p>
          <w:p>
            <w:pPr>
              <w:pStyle w:val="51"/>
              <w:spacing w:before="120" w:after="120"/>
              <w:rPr>
                <w:color w:val="auto"/>
              </w:rPr>
            </w:pPr>
            <w:r>
              <w:rPr>
                <w:rFonts w:hint="eastAsia"/>
                <w:color w:val="auto"/>
              </w:rPr>
              <w:t>1.</w:t>
            </w:r>
            <w:r>
              <w:rPr>
                <w:color w:val="auto"/>
              </w:rPr>
              <w:t>4</w:t>
            </w:r>
            <w:r>
              <w:rPr>
                <w:rFonts w:hint="eastAsia"/>
                <w:color w:val="auto"/>
              </w:rPr>
              <w:t>与曲靖市“三线一单”符合性分析</w:t>
            </w:r>
          </w:p>
          <w:p>
            <w:pPr>
              <w:ind w:firstLine="480"/>
              <w:rPr>
                <w:color w:val="auto"/>
              </w:rPr>
            </w:pPr>
            <w:r>
              <w:rPr>
                <w:rFonts w:hint="eastAsia"/>
                <w:color w:val="auto"/>
              </w:rPr>
              <w:t>2021年</w:t>
            </w:r>
            <w:r>
              <w:rPr>
                <w:color w:val="auto"/>
              </w:rPr>
              <w:t>7</w:t>
            </w:r>
            <w:r>
              <w:rPr>
                <w:rFonts w:hint="eastAsia"/>
                <w:color w:val="auto"/>
              </w:rPr>
              <w:t>月</w:t>
            </w:r>
            <w:r>
              <w:rPr>
                <w:color w:val="auto"/>
              </w:rPr>
              <w:t>30</w:t>
            </w:r>
            <w:r>
              <w:rPr>
                <w:rFonts w:hint="eastAsia"/>
                <w:color w:val="auto"/>
              </w:rPr>
              <w:t>日，曲靖市人民政府印发了《曲靖市人民政府关于印发曲靖市“三线一单”生态环境分区管控实施方案的通知》（曲政发〔2021〕27号），2</w:t>
            </w:r>
            <w:r>
              <w:rPr>
                <w:color w:val="auto"/>
              </w:rPr>
              <w:t>024</w:t>
            </w:r>
            <w:r>
              <w:rPr>
                <w:rFonts w:hint="eastAsia"/>
                <w:color w:val="auto"/>
              </w:rPr>
              <w:t>年7月1</w:t>
            </w:r>
            <w:r>
              <w:rPr>
                <w:color w:val="auto"/>
              </w:rPr>
              <w:t>5</w:t>
            </w:r>
            <w:r>
              <w:rPr>
                <w:rFonts w:hint="eastAsia"/>
                <w:color w:val="auto"/>
              </w:rPr>
              <w:t>日，曲靖市生态环境局印发了《曲靖市生态环境分区管控动态更新方案（2023年）》（曲环通〔2024〕36号），《曲靖市生态环境分区管控动态更新方案（2023年）》在2</w:t>
            </w:r>
            <w:r>
              <w:rPr>
                <w:color w:val="auto"/>
              </w:rPr>
              <w:t>021</w:t>
            </w:r>
            <w:r>
              <w:rPr>
                <w:rFonts w:hint="eastAsia"/>
                <w:color w:val="auto"/>
              </w:rPr>
              <w:t>版本基础上进行了修订。</w:t>
            </w:r>
          </w:p>
          <w:p>
            <w:pPr>
              <w:ind w:firstLine="480"/>
              <w:rPr>
                <w:color w:val="auto"/>
                <w:lang w:bidi="en-US"/>
              </w:rPr>
            </w:pPr>
            <w:r>
              <w:rPr>
                <w:rFonts w:hint="eastAsia"/>
                <w:color w:val="auto"/>
              </w:rPr>
              <w:t>本项目位于云南师宗产业园区大同片区中的</w:t>
            </w:r>
            <w:r>
              <w:rPr>
                <w:color w:val="auto"/>
              </w:rPr>
              <w:t>不锈钢冶炼及深加工产业区</w:t>
            </w:r>
            <w:r>
              <w:rPr>
                <w:rFonts w:hint="eastAsia"/>
                <w:color w:val="auto"/>
              </w:rPr>
              <w:t>，根据《云南师宗产业园区总体规划（</w:t>
            </w:r>
            <w:r>
              <w:rPr>
                <w:color w:val="auto"/>
              </w:rPr>
              <w:t>20</w:t>
            </w:r>
            <w:r>
              <w:rPr>
                <w:rFonts w:hint="eastAsia"/>
                <w:color w:val="auto"/>
              </w:rPr>
              <w:t>21-20</w:t>
            </w:r>
            <w:r>
              <w:rPr>
                <w:color w:val="auto"/>
              </w:rPr>
              <w:t>35</w:t>
            </w:r>
            <w:r>
              <w:rPr>
                <w:rFonts w:hint="eastAsia"/>
                <w:color w:val="auto"/>
              </w:rPr>
              <w:t>年）环境影响报告书》“三线一单”查询成果，项目与</w:t>
            </w:r>
            <w:r>
              <w:rPr>
                <w:rFonts w:hint="eastAsia"/>
                <w:color w:val="auto"/>
                <w:lang w:bidi="en-US"/>
              </w:rPr>
              <w:t>曲靖市“三线一单”位置关系详见下表：</w:t>
            </w:r>
          </w:p>
          <w:p>
            <w:pPr>
              <w:pStyle w:val="66"/>
              <w:rPr>
                <w:color w:val="auto"/>
                <w:lang w:bidi="en-US"/>
              </w:rPr>
            </w:pPr>
            <w:r>
              <w:rPr>
                <w:rFonts w:hint="eastAsia"/>
                <w:color w:val="auto"/>
                <w:lang w:bidi="en-US"/>
              </w:rPr>
              <w:t>表1</w:t>
            </w:r>
            <w:r>
              <w:rPr>
                <w:color w:val="auto"/>
                <w:lang w:bidi="en-US"/>
              </w:rPr>
              <w:t xml:space="preserve">.4-1 </w:t>
            </w:r>
            <w:r>
              <w:rPr>
                <w:rFonts w:hint="eastAsia"/>
                <w:color w:val="auto"/>
                <w:lang w:bidi="en-US"/>
              </w:rPr>
              <w:t>项目占用曲靖市各管控单元情况一览表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3012"/>
              <w:gridCol w:w="2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3" w:type="pct"/>
                  <w:vAlign w:val="center"/>
                </w:tcPr>
                <w:p>
                  <w:pPr>
                    <w:pStyle w:val="63"/>
                    <w:rPr>
                      <w:color w:val="auto"/>
                    </w:rPr>
                  </w:pPr>
                  <w:r>
                    <w:rPr>
                      <w:rFonts w:hint="eastAsia"/>
                      <w:color w:val="auto"/>
                    </w:rPr>
                    <w:t>类型</w:t>
                  </w:r>
                </w:p>
              </w:tc>
              <w:tc>
                <w:tcPr>
                  <w:tcW w:w="1935" w:type="pct"/>
                  <w:vAlign w:val="center"/>
                </w:tcPr>
                <w:p>
                  <w:pPr>
                    <w:pStyle w:val="63"/>
                    <w:rPr>
                      <w:color w:val="auto"/>
                    </w:rPr>
                  </w:pPr>
                  <w:r>
                    <w:rPr>
                      <w:color w:val="auto"/>
                    </w:rPr>
                    <w:t>环境因素管控分区名称</w:t>
                  </w:r>
                </w:p>
              </w:tc>
              <w:tc>
                <w:tcPr>
                  <w:tcW w:w="1792" w:type="pct"/>
                  <w:vAlign w:val="center"/>
                </w:tcPr>
                <w:p>
                  <w:pPr>
                    <w:pStyle w:val="63"/>
                    <w:rPr>
                      <w:color w:val="auto"/>
                    </w:rPr>
                  </w:pPr>
                  <w:r>
                    <w:rPr>
                      <w:color w:val="auto"/>
                      <w:lang w:val="en-US"/>
                    </w:rPr>
                    <w:t>管控分区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3" w:type="pct"/>
                  <w:vAlign w:val="center"/>
                </w:tcPr>
                <w:p>
                  <w:pPr>
                    <w:pStyle w:val="63"/>
                    <w:rPr>
                      <w:color w:val="auto"/>
                    </w:rPr>
                  </w:pPr>
                  <w:r>
                    <w:rPr>
                      <w:rFonts w:hint="eastAsia"/>
                      <w:color w:val="auto"/>
                    </w:rPr>
                    <w:t>土壤管控单元</w:t>
                  </w:r>
                </w:p>
              </w:tc>
              <w:tc>
                <w:tcPr>
                  <w:tcW w:w="1935" w:type="pct"/>
                  <w:vAlign w:val="center"/>
                </w:tcPr>
                <w:p>
                  <w:pPr>
                    <w:pStyle w:val="63"/>
                    <w:rPr>
                      <w:color w:val="auto"/>
                    </w:rPr>
                  </w:pPr>
                  <w:r>
                    <w:rPr>
                      <w:color w:val="auto"/>
                      <w:lang w:val="en-US"/>
                    </w:rPr>
                    <w:t>土壤环境风险一般管控区</w:t>
                  </w:r>
                </w:p>
              </w:tc>
              <w:tc>
                <w:tcPr>
                  <w:tcW w:w="1792" w:type="pct"/>
                  <w:vAlign w:val="center"/>
                </w:tcPr>
                <w:p>
                  <w:pPr>
                    <w:pStyle w:val="63"/>
                    <w:rPr>
                      <w:color w:val="auto"/>
                      <w:lang w:eastAsia="zh-CN"/>
                    </w:rPr>
                  </w:pP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3" w:type="pct"/>
                  <w:vAlign w:val="center"/>
                </w:tcPr>
                <w:p>
                  <w:pPr>
                    <w:pStyle w:val="63"/>
                    <w:rPr>
                      <w:color w:val="auto"/>
                    </w:rPr>
                  </w:pPr>
                  <w:r>
                    <w:rPr>
                      <w:rFonts w:hint="eastAsia"/>
                      <w:color w:val="auto"/>
                    </w:rPr>
                    <w:t>水环境管控单元</w:t>
                  </w:r>
                </w:p>
              </w:tc>
              <w:tc>
                <w:tcPr>
                  <w:tcW w:w="1935" w:type="pct"/>
                  <w:vAlign w:val="center"/>
                </w:tcPr>
                <w:p>
                  <w:pPr>
                    <w:pStyle w:val="63"/>
                    <w:rPr>
                      <w:color w:val="auto"/>
                    </w:rPr>
                  </w:pPr>
                  <w:r>
                    <w:rPr>
                      <w:color w:val="auto"/>
                    </w:rPr>
                    <w:t>师宗工业园大同片区控制单元</w:t>
                  </w:r>
                </w:p>
              </w:tc>
              <w:tc>
                <w:tcPr>
                  <w:tcW w:w="1792" w:type="pct"/>
                  <w:vAlign w:val="center"/>
                </w:tcPr>
                <w:p>
                  <w:pPr>
                    <w:pStyle w:val="63"/>
                    <w:rPr>
                      <w:color w:val="auto"/>
                    </w:rPr>
                  </w:pPr>
                  <w:r>
                    <w:rPr>
                      <w:color w:val="auto"/>
                      <w:lang w:val="en-US"/>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3" w:type="pct"/>
                  <w:vAlign w:val="center"/>
                </w:tcPr>
                <w:p>
                  <w:pPr>
                    <w:pStyle w:val="63"/>
                    <w:rPr>
                      <w:color w:val="auto"/>
                    </w:rPr>
                  </w:pPr>
                  <w:r>
                    <w:rPr>
                      <w:rFonts w:hint="eastAsia"/>
                      <w:color w:val="auto"/>
                    </w:rPr>
                    <w:t>大气环境管控单元</w:t>
                  </w:r>
                </w:p>
              </w:tc>
              <w:tc>
                <w:tcPr>
                  <w:tcW w:w="1935" w:type="pct"/>
                  <w:vAlign w:val="center"/>
                </w:tcPr>
                <w:p>
                  <w:pPr>
                    <w:pStyle w:val="63"/>
                    <w:rPr>
                      <w:color w:val="auto"/>
                    </w:rPr>
                  </w:pPr>
                  <w:r>
                    <w:rPr>
                      <w:color w:val="auto"/>
                      <w:lang w:val="en-US"/>
                    </w:rPr>
                    <w:t>师宗县大气环境高排放重点管控区</w:t>
                  </w:r>
                </w:p>
              </w:tc>
              <w:tc>
                <w:tcPr>
                  <w:tcW w:w="1792" w:type="pct"/>
                  <w:vAlign w:val="center"/>
                </w:tcPr>
                <w:p>
                  <w:pPr>
                    <w:pStyle w:val="63"/>
                    <w:rPr>
                      <w:color w:val="auto"/>
                    </w:rPr>
                  </w:pPr>
                  <w:r>
                    <w:rPr>
                      <w:color w:val="auto"/>
                      <w:lang w:val="en-US"/>
                    </w:rPr>
                    <w:t>大气环境高排放重点管控区</w:t>
                  </w:r>
                </w:p>
              </w:tc>
            </w:tr>
          </w:tbl>
          <w:p>
            <w:pPr>
              <w:ind w:firstLine="480"/>
              <w:rPr>
                <w:color w:val="auto"/>
              </w:rPr>
            </w:pPr>
            <w:r>
              <w:rPr>
                <w:rFonts w:hint="eastAsia"/>
                <w:color w:val="auto"/>
              </w:rPr>
              <w:t>本项目与《曲靖市生态环境分区管控动态更新方案（2023年）》曲靖市生态环境分区管控总体要求、曲靖市重点管控单元生态环境准入清单符合性分析见表1</w:t>
            </w:r>
            <w:r>
              <w:rPr>
                <w:color w:val="auto"/>
              </w:rPr>
              <w:t>.4-2</w:t>
            </w:r>
            <w:r>
              <w:rPr>
                <w:rFonts w:hint="eastAsia"/>
                <w:color w:val="auto"/>
              </w:rPr>
              <w:t>、1</w:t>
            </w:r>
            <w:r>
              <w:rPr>
                <w:color w:val="auto"/>
              </w:rPr>
              <w:t>.4-3</w:t>
            </w:r>
            <w:r>
              <w:rPr>
                <w:rFonts w:hint="eastAsia"/>
                <w:color w:val="auto"/>
              </w:rPr>
              <w:t>。</w:t>
            </w:r>
          </w:p>
          <w:p>
            <w:pPr>
              <w:pStyle w:val="66"/>
              <w:rPr>
                <w:color w:val="auto"/>
              </w:rPr>
            </w:pPr>
            <w:r>
              <w:rPr>
                <w:rFonts w:hint="eastAsia"/>
                <w:color w:val="auto"/>
                <w:lang w:bidi="en-US"/>
              </w:rPr>
              <w:t>表1.</w:t>
            </w:r>
            <w:r>
              <w:rPr>
                <w:color w:val="auto"/>
                <w:lang w:bidi="en-US"/>
              </w:rPr>
              <w:t>4</w:t>
            </w:r>
            <w:r>
              <w:rPr>
                <w:rFonts w:hint="eastAsia"/>
                <w:color w:val="auto"/>
                <w:lang w:bidi="en-US"/>
              </w:rPr>
              <w:t>-</w:t>
            </w:r>
            <w:r>
              <w:rPr>
                <w:color w:val="auto"/>
                <w:lang w:bidi="en-US"/>
              </w:rPr>
              <w:t>2</w:t>
            </w:r>
            <w:r>
              <w:rPr>
                <w:rFonts w:hint="eastAsia"/>
                <w:color w:val="auto"/>
                <w:lang w:bidi="en-US"/>
              </w:rPr>
              <w:t xml:space="preserve"> 项目与</w:t>
            </w:r>
            <w:r>
              <w:rPr>
                <w:rFonts w:hint="eastAsia"/>
                <w:color w:val="auto"/>
              </w:rPr>
              <w:t>生态环境分区管控总体要求（与项目有关的）符合性分析一览表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262"/>
              <w:gridCol w:w="3131"/>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Align w:val="center"/>
                </w:tcPr>
                <w:p>
                  <w:pPr>
                    <w:pStyle w:val="63"/>
                    <w:rPr>
                      <w:color w:val="auto"/>
                      <w:lang w:bidi="en-US"/>
                    </w:rPr>
                  </w:pPr>
                  <w:r>
                    <w:rPr>
                      <w:rFonts w:hint="eastAsia"/>
                      <w:color w:val="auto"/>
                      <w:lang w:bidi="en-US"/>
                    </w:rPr>
                    <w:t>管控领域</w:t>
                  </w:r>
                </w:p>
              </w:tc>
              <w:tc>
                <w:tcPr>
                  <w:tcW w:w="2096" w:type="pct"/>
                  <w:vAlign w:val="center"/>
                </w:tcPr>
                <w:p>
                  <w:pPr>
                    <w:pStyle w:val="63"/>
                    <w:rPr>
                      <w:color w:val="auto"/>
                    </w:rPr>
                  </w:pPr>
                  <w:r>
                    <w:rPr>
                      <w:rFonts w:hint="eastAsia"/>
                      <w:color w:val="auto"/>
                    </w:rPr>
                    <w:t>更新管控要求</w:t>
                  </w:r>
                </w:p>
              </w:tc>
              <w:tc>
                <w:tcPr>
                  <w:tcW w:w="2012" w:type="pct"/>
                  <w:vAlign w:val="center"/>
                </w:tcPr>
                <w:p>
                  <w:pPr>
                    <w:pStyle w:val="63"/>
                    <w:rPr>
                      <w:color w:val="auto"/>
                    </w:rPr>
                  </w:pPr>
                  <w:r>
                    <w:rPr>
                      <w:rFonts w:hint="eastAsia"/>
                      <w:color w:val="auto"/>
                    </w:rPr>
                    <w:t>本项目情况</w:t>
                  </w:r>
                </w:p>
              </w:tc>
              <w:tc>
                <w:tcPr>
                  <w:tcW w:w="417" w:type="pct"/>
                  <w:vAlign w:val="center"/>
                </w:tcPr>
                <w:p>
                  <w:pPr>
                    <w:pStyle w:val="63"/>
                    <w:rPr>
                      <w:color w:val="auto"/>
                    </w:rPr>
                  </w:pPr>
                  <w:r>
                    <w:rPr>
                      <w:rFonts w:hint="eastAsia"/>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restart"/>
                  <w:vAlign w:val="center"/>
                </w:tcPr>
                <w:p>
                  <w:pPr>
                    <w:pStyle w:val="63"/>
                    <w:rPr>
                      <w:color w:val="auto"/>
                      <w:lang w:bidi="en-US"/>
                    </w:rPr>
                  </w:pPr>
                  <w:r>
                    <w:rPr>
                      <w:rFonts w:hint="eastAsia"/>
                      <w:color w:val="auto"/>
                    </w:rPr>
                    <w:t>空间布局约束</w:t>
                  </w:r>
                </w:p>
              </w:tc>
              <w:tc>
                <w:tcPr>
                  <w:tcW w:w="2096" w:type="pct"/>
                  <w:vAlign w:val="center"/>
                </w:tcPr>
                <w:p>
                  <w:pPr>
                    <w:pStyle w:val="63"/>
                    <w:jc w:val="both"/>
                    <w:rPr>
                      <w:color w:val="auto"/>
                    </w:rPr>
                  </w:pPr>
                  <w:r>
                    <w:rPr>
                      <w:rFonts w:hint="eastAsia"/>
                      <w:color w:val="auto"/>
                    </w:rPr>
                    <w:t>1.严格执行《长江经济带发展负面清单指南（试行，2022年版）》、《云南省长江经济带发展负面清单指南实施细则（试行）》等产业准入有关要求。</w:t>
                  </w:r>
                </w:p>
              </w:tc>
              <w:tc>
                <w:tcPr>
                  <w:tcW w:w="2012" w:type="pct"/>
                  <w:vAlign w:val="center"/>
                </w:tcPr>
                <w:p>
                  <w:pPr>
                    <w:pStyle w:val="63"/>
                    <w:rPr>
                      <w:color w:val="auto"/>
                    </w:rPr>
                  </w:pPr>
                  <w:r>
                    <w:rPr>
                      <w:rFonts w:hint="eastAsia"/>
                      <w:color w:val="auto"/>
                    </w:rPr>
                    <w:t>根据下文分析，本项目符合《长江经济带发展负面清单指南（试行，2022年版）》、《云南省长江经济带发展负面清单指南实施细则（试行）》等产业准入有关要求。</w:t>
                  </w:r>
                </w:p>
              </w:tc>
              <w:tc>
                <w:tcPr>
                  <w:tcW w:w="4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continue"/>
                  <w:vAlign w:val="center"/>
                </w:tcPr>
                <w:p>
                  <w:pPr>
                    <w:pStyle w:val="63"/>
                    <w:rPr>
                      <w:color w:val="auto"/>
                      <w:lang w:bidi="en-US"/>
                    </w:rPr>
                  </w:pPr>
                </w:p>
              </w:tc>
              <w:tc>
                <w:tcPr>
                  <w:tcW w:w="2096" w:type="pct"/>
                  <w:vAlign w:val="center"/>
                </w:tcPr>
                <w:p>
                  <w:pPr>
                    <w:pStyle w:val="63"/>
                    <w:jc w:val="both"/>
                    <w:rPr>
                      <w:color w:val="auto"/>
                    </w:rPr>
                  </w:pPr>
                  <w:r>
                    <w:rPr>
                      <w:rFonts w:hint="eastAsia"/>
                      <w:color w:val="auto"/>
                    </w:rPr>
                    <w:t>2.严格实施化解过剩产能和淘汰落后产能，制定产能过剩行业淘汰计划，确保国家、省下达的淘汰落后产能目标任务全面完成。</w:t>
                  </w:r>
                </w:p>
              </w:tc>
              <w:tc>
                <w:tcPr>
                  <w:tcW w:w="2012" w:type="pct"/>
                  <w:vAlign w:val="center"/>
                </w:tcPr>
                <w:p>
                  <w:pPr>
                    <w:pStyle w:val="63"/>
                    <w:rPr>
                      <w:color w:val="auto"/>
                    </w:rPr>
                  </w:pPr>
                  <w:r>
                    <w:rPr>
                      <w:rFonts w:hint="eastAsia"/>
                      <w:color w:val="auto"/>
                      <w:lang w:val="en-US"/>
                    </w:rPr>
                    <w:t>本项目位于大同片区不锈钢冶炼及深加工产业区，本项目</w:t>
                  </w:r>
                  <w:r>
                    <w:rPr>
                      <w:rFonts w:hint="eastAsia"/>
                      <w:color w:val="auto"/>
                      <w:lang w:val="en-US" w:eastAsia="zh-CN"/>
                    </w:rPr>
                    <w:t>针对年产3</w:t>
                  </w:r>
                  <w:r>
                    <w:rPr>
                      <w:color w:val="auto"/>
                      <w:lang w:val="en-US" w:eastAsia="zh-CN"/>
                    </w:rPr>
                    <w:t>0</w:t>
                  </w:r>
                  <w:r>
                    <w:rPr>
                      <w:rFonts w:hint="eastAsia"/>
                      <w:color w:val="auto"/>
                      <w:lang w:val="en-US" w:eastAsia="zh-CN"/>
                    </w:rPr>
                    <w:t>万吨热退火酸洗生产线建设项目进行技术改造</w:t>
                  </w:r>
                  <w:r>
                    <w:rPr>
                      <w:rFonts w:hint="eastAsia"/>
                      <w:color w:val="auto"/>
                      <w:lang w:val="en-US"/>
                    </w:rPr>
                    <w:t>，使用</w:t>
                  </w:r>
                  <w:r>
                    <w:rPr>
                      <w:rFonts w:hint="eastAsia"/>
                      <w:color w:val="auto"/>
                      <w:lang w:val="en-US" w:eastAsia="zh-CN"/>
                    </w:rPr>
                    <w:t>现有</w:t>
                  </w:r>
                  <w:r>
                    <w:rPr>
                      <w:rFonts w:hint="eastAsia"/>
                      <w:color w:val="auto"/>
                      <w:lang w:val="en-US"/>
                    </w:rPr>
                    <w:t>年产1</w:t>
                  </w:r>
                  <w:r>
                    <w:rPr>
                      <w:color w:val="auto"/>
                      <w:lang w:val="en-US"/>
                    </w:rPr>
                    <w:t>40</w:t>
                  </w:r>
                  <w:r>
                    <w:rPr>
                      <w:rFonts w:hint="eastAsia"/>
                      <w:color w:val="auto"/>
                      <w:lang w:val="en-US"/>
                    </w:rPr>
                    <w:t>万吨热轧生产线建设项目不锈钢钢卷为原料</w:t>
                  </w:r>
                  <w:r>
                    <w:rPr>
                      <w:rFonts w:hint="eastAsia"/>
                      <w:color w:val="auto"/>
                      <w:lang w:val="en-US" w:eastAsia="zh-CN"/>
                    </w:rPr>
                    <w:t>，</w:t>
                  </w:r>
                  <w:r>
                    <w:rPr>
                      <w:rFonts w:hint="eastAsia"/>
                      <w:color w:val="auto"/>
                      <w:lang w:val="en-US"/>
                    </w:rPr>
                    <w:t>不涉及炼钢，不新增炼钢产能。</w:t>
                  </w:r>
                </w:p>
              </w:tc>
              <w:tc>
                <w:tcPr>
                  <w:tcW w:w="4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continue"/>
                  <w:vAlign w:val="center"/>
                </w:tcPr>
                <w:p>
                  <w:pPr>
                    <w:pStyle w:val="63"/>
                    <w:rPr>
                      <w:color w:val="auto"/>
                      <w:lang w:bidi="en-US"/>
                    </w:rPr>
                  </w:pPr>
                </w:p>
              </w:tc>
              <w:tc>
                <w:tcPr>
                  <w:tcW w:w="2096" w:type="pct"/>
                  <w:vAlign w:val="center"/>
                </w:tcPr>
                <w:p>
                  <w:pPr>
                    <w:pStyle w:val="63"/>
                    <w:jc w:val="both"/>
                    <w:rPr>
                      <w:color w:val="auto"/>
                    </w:rPr>
                  </w:pPr>
                  <w:r>
                    <w:rPr>
                      <w:color w:val="auto"/>
                      <w:lang w:val="en-US"/>
                    </w:rPr>
                    <w:t>4.支持现有各类产业园区有供热需求的实施热电联产或者集中供热改造，具备条件的工业园区实现集中供热。</w:t>
                  </w:r>
                </w:p>
              </w:tc>
              <w:tc>
                <w:tcPr>
                  <w:tcW w:w="2012" w:type="pct"/>
                  <w:vAlign w:val="center"/>
                </w:tcPr>
                <w:p>
                  <w:pPr>
                    <w:pStyle w:val="63"/>
                    <w:rPr>
                      <w:color w:val="auto"/>
                      <w:lang w:eastAsia="zh-CN"/>
                    </w:rPr>
                  </w:pPr>
                  <w:r>
                    <w:rPr>
                      <w:rFonts w:hint="eastAsia"/>
                      <w:color w:val="auto"/>
                      <w:lang w:eastAsia="zh-CN"/>
                    </w:rPr>
                    <w:t>本项目</w:t>
                  </w:r>
                  <w:r>
                    <w:rPr>
                      <w:rFonts w:hint="eastAsia"/>
                      <w:color w:val="auto"/>
                      <w:lang w:val="en-US"/>
                    </w:rPr>
                    <w:t>位于大同片区不锈钢冶炼及深加工产业区</w:t>
                  </w:r>
                  <w:r>
                    <w:rPr>
                      <w:rFonts w:hint="eastAsia"/>
                      <w:color w:val="auto"/>
                      <w:lang w:val="en-US" w:eastAsia="zh-CN"/>
                    </w:rPr>
                    <w:t>，本次技改主要对燃气进行更换，采用清洁能源天然气，由园区燃气公司统一供给，从现有</w:t>
                  </w:r>
                  <w:r>
                    <w:rPr>
                      <w:rFonts w:hint="eastAsia"/>
                      <w:color w:val="auto"/>
                      <w:lang w:val="en-US"/>
                    </w:rPr>
                    <w:t>年产1</w:t>
                  </w:r>
                  <w:r>
                    <w:rPr>
                      <w:color w:val="auto"/>
                      <w:lang w:val="en-US"/>
                    </w:rPr>
                    <w:t>40</w:t>
                  </w:r>
                  <w:r>
                    <w:rPr>
                      <w:rFonts w:hint="eastAsia"/>
                      <w:color w:val="auto"/>
                      <w:lang w:val="en-US"/>
                    </w:rPr>
                    <w:t>万吨热轧生产线建设项目</w:t>
                  </w:r>
                  <w:r>
                    <w:rPr>
                      <w:rFonts w:hint="eastAsia"/>
                      <w:color w:val="auto"/>
                      <w:lang w:val="en-US" w:eastAsia="zh-CN"/>
                    </w:rPr>
                    <w:t>接入。</w:t>
                  </w:r>
                </w:p>
              </w:tc>
              <w:tc>
                <w:tcPr>
                  <w:tcW w:w="4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continue"/>
                  <w:vAlign w:val="center"/>
                </w:tcPr>
                <w:p>
                  <w:pPr>
                    <w:pStyle w:val="63"/>
                    <w:rPr>
                      <w:color w:val="auto"/>
                      <w:lang w:bidi="en-US"/>
                    </w:rPr>
                  </w:pPr>
                </w:p>
              </w:tc>
              <w:tc>
                <w:tcPr>
                  <w:tcW w:w="2096" w:type="pct"/>
                  <w:vAlign w:val="center"/>
                </w:tcPr>
                <w:p>
                  <w:pPr>
                    <w:pStyle w:val="63"/>
                    <w:jc w:val="both"/>
                    <w:rPr>
                      <w:color w:val="auto"/>
                    </w:rPr>
                  </w:pPr>
                  <w:r>
                    <w:rPr>
                      <w:rFonts w:hint="eastAsia"/>
                      <w:color w:val="auto"/>
                    </w:rPr>
                    <w:t>3.将资源承载能力、生态环境容量作为承接产业转移的基础和前提，合理确定承接产业转移重点，禁止引进环境污染大、资源消耗高、技术落后的生产能力。</w:t>
                  </w:r>
                </w:p>
              </w:tc>
              <w:tc>
                <w:tcPr>
                  <w:tcW w:w="2012" w:type="pct"/>
                  <w:vAlign w:val="center"/>
                </w:tcPr>
                <w:p>
                  <w:pPr>
                    <w:pStyle w:val="63"/>
                    <w:rPr>
                      <w:color w:val="auto"/>
                    </w:rPr>
                  </w:pPr>
                  <w:r>
                    <w:rPr>
                      <w:rFonts w:hint="eastAsia"/>
                      <w:color w:val="auto"/>
                    </w:rPr>
                    <w:t>本项目不属于环境污染大、资源消耗高、技术落后的项目。</w:t>
                  </w:r>
                </w:p>
              </w:tc>
              <w:tc>
                <w:tcPr>
                  <w:tcW w:w="4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continue"/>
                  <w:vAlign w:val="center"/>
                </w:tcPr>
                <w:p>
                  <w:pPr>
                    <w:pStyle w:val="63"/>
                    <w:rPr>
                      <w:color w:val="auto"/>
                      <w:lang w:bidi="en-US"/>
                    </w:rPr>
                  </w:pPr>
                </w:p>
              </w:tc>
              <w:tc>
                <w:tcPr>
                  <w:tcW w:w="2096" w:type="pct"/>
                  <w:vAlign w:val="center"/>
                </w:tcPr>
                <w:p>
                  <w:pPr>
                    <w:pStyle w:val="63"/>
                    <w:jc w:val="both"/>
                    <w:rPr>
                      <w:color w:val="auto"/>
                    </w:rPr>
                  </w:pPr>
                  <w:r>
                    <w:rPr>
                      <w:rFonts w:hint="eastAsia"/>
                      <w:color w:val="auto"/>
                    </w:rPr>
                    <w:t>5.严格控制在生态脆弱或环境敏感地区建设《环境保护综合名录》中“高污染、高环境风险”行业项目。</w:t>
                  </w:r>
                </w:p>
              </w:tc>
              <w:tc>
                <w:tcPr>
                  <w:tcW w:w="2012" w:type="pct"/>
                  <w:vAlign w:val="center"/>
                </w:tcPr>
                <w:p>
                  <w:pPr>
                    <w:pStyle w:val="63"/>
                    <w:rPr>
                      <w:color w:val="auto"/>
                    </w:rPr>
                  </w:pPr>
                  <w:r>
                    <w:rPr>
                      <w:rFonts w:hint="eastAsia"/>
                      <w:color w:val="auto"/>
                    </w:rPr>
                    <w:t>本项目</w:t>
                  </w:r>
                  <w:r>
                    <w:rPr>
                      <w:rFonts w:hint="eastAsia"/>
                      <w:color w:val="auto"/>
                      <w:lang w:eastAsia="zh-CN"/>
                    </w:rPr>
                    <w:t>位于产业园区，</w:t>
                  </w:r>
                  <w:r>
                    <w:rPr>
                      <w:rFonts w:hint="eastAsia"/>
                      <w:color w:val="auto"/>
                    </w:rPr>
                    <w:t>不涉及生态脆弱或环境敏感地区</w:t>
                  </w:r>
                  <w:r>
                    <w:rPr>
                      <w:rFonts w:hint="eastAsia"/>
                      <w:color w:val="auto"/>
                      <w:lang w:eastAsia="zh-CN"/>
                    </w:rPr>
                    <w:t>；</w:t>
                  </w:r>
                  <w:r>
                    <w:rPr>
                      <w:rFonts w:hint="eastAsia"/>
                      <w:color w:val="auto"/>
                      <w:lang w:val="en-US"/>
                    </w:rPr>
                    <w:t>本项目</w:t>
                  </w:r>
                  <w:r>
                    <w:rPr>
                      <w:rFonts w:hint="eastAsia"/>
                      <w:color w:val="auto"/>
                      <w:lang w:val="en-US" w:eastAsia="zh-CN"/>
                    </w:rPr>
                    <w:t>针对年产3</w:t>
                  </w:r>
                  <w:r>
                    <w:rPr>
                      <w:color w:val="auto"/>
                      <w:lang w:val="en-US" w:eastAsia="zh-CN"/>
                    </w:rPr>
                    <w:t>0</w:t>
                  </w:r>
                  <w:r>
                    <w:rPr>
                      <w:rFonts w:hint="eastAsia"/>
                      <w:color w:val="auto"/>
                      <w:lang w:val="en-US" w:eastAsia="zh-CN"/>
                    </w:rPr>
                    <w:t>万吨热退火酸洗生产线建设项目进行技术改造</w:t>
                  </w:r>
                  <w:r>
                    <w:rPr>
                      <w:rFonts w:hint="eastAsia"/>
                      <w:color w:val="auto"/>
                      <w:lang w:val="en-US"/>
                    </w:rPr>
                    <w:t>，使用</w:t>
                  </w:r>
                  <w:r>
                    <w:rPr>
                      <w:rFonts w:hint="eastAsia"/>
                      <w:color w:val="auto"/>
                      <w:lang w:val="en-US" w:eastAsia="zh-CN"/>
                    </w:rPr>
                    <w:t>现有</w:t>
                  </w:r>
                  <w:r>
                    <w:rPr>
                      <w:rFonts w:hint="eastAsia"/>
                      <w:color w:val="auto"/>
                      <w:lang w:val="en-US"/>
                    </w:rPr>
                    <w:t>年产1</w:t>
                  </w:r>
                  <w:r>
                    <w:rPr>
                      <w:color w:val="auto"/>
                      <w:lang w:val="en-US"/>
                    </w:rPr>
                    <w:t>40</w:t>
                  </w:r>
                  <w:r>
                    <w:rPr>
                      <w:rFonts w:hint="eastAsia"/>
                      <w:color w:val="auto"/>
                      <w:lang w:val="en-US"/>
                    </w:rPr>
                    <w:t>万吨热轧生产线建设项目不锈钢钢卷为原料</w:t>
                  </w:r>
                  <w:r>
                    <w:rPr>
                      <w:rFonts w:hint="eastAsia"/>
                      <w:color w:val="auto"/>
                      <w:lang w:val="en-US" w:eastAsia="zh-CN"/>
                    </w:rPr>
                    <w:t>，</w:t>
                  </w:r>
                  <w:r>
                    <w:rPr>
                      <w:rFonts w:hint="eastAsia"/>
                      <w:color w:val="auto"/>
                      <w:lang w:val="en-US"/>
                    </w:rPr>
                    <w:t>不涉及炼钢，不新增炼钢产能</w:t>
                  </w:r>
                  <w:r>
                    <w:rPr>
                      <w:rFonts w:hint="eastAsia"/>
                      <w:color w:val="auto"/>
                      <w:lang w:val="en-US" w:eastAsia="zh-CN"/>
                    </w:rPr>
                    <w:t>，</w:t>
                  </w:r>
                  <w:r>
                    <w:rPr>
                      <w:rFonts w:hint="eastAsia"/>
                      <w:color w:val="auto"/>
                    </w:rPr>
                    <w:t>不属于“高污染、高环境风险”项目。</w:t>
                  </w:r>
                </w:p>
              </w:tc>
              <w:tc>
                <w:tcPr>
                  <w:tcW w:w="4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continue"/>
                  <w:vAlign w:val="center"/>
                </w:tcPr>
                <w:p>
                  <w:pPr>
                    <w:pStyle w:val="63"/>
                    <w:rPr>
                      <w:color w:val="auto"/>
                      <w:lang w:bidi="en-US"/>
                    </w:rPr>
                  </w:pPr>
                </w:p>
              </w:tc>
              <w:tc>
                <w:tcPr>
                  <w:tcW w:w="2096" w:type="pct"/>
                  <w:vAlign w:val="center"/>
                </w:tcPr>
                <w:p>
                  <w:pPr>
                    <w:pStyle w:val="63"/>
                    <w:jc w:val="both"/>
                    <w:rPr>
                      <w:color w:val="auto"/>
                    </w:rPr>
                  </w:pPr>
                  <w:r>
                    <w:rPr>
                      <w:rFonts w:hint="eastAsia"/>
                      <w:color w:val="auto"/>
                    </w:rPr>
                    <w:t>6.禁止在合规园区外新建、扩建钢铁、石化、化工、焦化、建材、有色行业中的高污染项目。</w:t>
                  </w:r>
                </w:p>
              </w:tc>
              <w:tc>
                <w:tcPr>
                  <w:tcW w:w="2012" w:type="pct"/>
                  <w:vAlign w:val="center"/>
                </w:tcPr>
                <w:p>
                  <w:pPr>
                    <w:pStyle w:val="63"/>
                    <w:rPr>
                      <w:color w:val="auto"/>
                      <w:lang w:eastAsia="zh-CN"/>
                    </w:rPr>
                  </w:pPr>
                  <w:r>
                    <w:rPr>
                      <w:rFonts w:hint="eastAsia"/>
                      <w:color w:val="auto"/>
                    </w:rPr>
                    <w:t>本项目</w:t>
                  </w:r>
                  <w:r>
                    <w:rPr>
                      <w:rFonts w:hint="eastAsia"/>
                      <w:color w:val="auto"/>
                      <w:lang w:val="en-US"/>
                    </w:rPr>
                    <w:t>位于大同片区不锈钢冶炼及深加工产</w:t>
                  </w:r>
                  <w:r>
                    <w:rPr>
                      <w:rFonts w:hint="eastAsia"/>
                      <w:color w:val="auto"/>
                      <w:lang w:val="en-US" w:eastAsia="zh-CN"/>
                    </w:rPr>
                    <w:t>业园</w:t>
                  </w:r>
                  <w:r>
                    <w:rPr>
                      <w:rFonts w:hint="eastAsia"/>
                      <w:color w:val="auto"/>
                      <w:lang w:val="en-US"/>
                    </w:rPr>
                    <w:t>区</w:t>
                  </w:r>
                  <w:r>
                    <w:rPr>
                      <w:rFonts w:hint="eastAsia"/>
                      <w:color w:val="auto"/>
                      <w:lang w:val="en-US" w:eastAsia="zh-CN"/>
                    </w:rPr>
                    <w:t>，产业园区属于合法合规的园区</w:t>
                  </w:r>
                  <w:r>
                    <w:rPr>
                      <w:rFonts w:hint="eastAsia"/>
                      <w:color w:val="auto"/>
                    </w:rPr>
                    <w:t>，</w:t>
                  </w:r>
                  <w:r>
                    <w:rPr>
                      <w:rFonts w:hint="eastAsia"/>
                      <w:color w:val="auto"/>
                      <w:lang w:val="en-US"/>
                    </w:rPr>
                    <w:t>项目</w:t>
                  </w:r>
                  <w:r>
                    <w:rPr>
                      <w:rFonts w:hint="eastAsia"/>
                      <w:color w:val="auto"/>
                      <w:lang w:val="en-US" w:eastAsia="zh-CN"/>
                    </w:rPr>
                    <w:t>针对年产3</w:t>
                  </w:r>
                  <w:r>
                    <w:rPr>
                      <w:color w:val="auto"/>
                      <w:lang w:val="en-US" w:eastAsia="zh-CN"/>
                    </w:rPr>
                    <w:t>0</w:t>
                  </w:r>
                  <w:r>
                    <w:rPr>
                      <w:rFonts w:hint="eastAsia"/>
                      <w:color w:val="auto"/>
                      <w:lang w:val="en-US" w:eastAsia="zh-CN"/>
                    </w:rPr>
                    <w:t>万吨热退火酸洗生产线建设项目进行技术改造</w:t>
                  </w:r>
                  <w:r>
                    <w:rPr>
                      <w:rFonts w:hint="eastAsia"/>
                      <w:color w:val="auto"/>
                      <w:lang w:val="en-US"/>
                    </w:rPr>
                    <w:t>，使用</w:t>
                  </w:r>
                  <w:r>
                    <w:rPr>
                      <w:rFonts w:hint="eastAsia"/>
                      <w:color w:val="auto"/>
                      <w:lang w:val="en-US" w:eastAsia="zh-CN"/>
                    </w:rPr>
                    <w:t>现有</w:t>
                  </w:r>
                  <w:r>
                    <w:rPr>
                      <w:rFonts w:hint="eastAsia"/>
                      <w:color w:val="auto"/>
                      <w:lang w:val="en-US"/>
                    </w:rPr>
                    <w:t>年产1</w:t>
                  </w:r>
                  <w:r>
                    <w:rPr>
                      <w:color w:val="auto"/>
                      <w:lang w:val="en-US"/>
                    </w:rPr>
                    <w:t>40</w:t>
                  </w:r>
                  <w:r>
                    <w:rPr>
                      <w:rFonts w:hint="eastAsia"/>
                      <w:color w:val="auto"/>
                      <w:lang w:val="en-US"/>
                    </w:rPr>
                    <w:t>万吨热轧生产线建设项目不锈钢钢卷为原料</w:t>
                  </w:r>
                  <w:r>
                    <w:rPr>
                      <w:rFonts w:hint="eastAsia"/>
                      <w:color w:val="auto"/>
                      <w:lang w:val="en-US" w:eastAsia="zh-CN"/>
                    </w:rPr>
                    <w:t>，</w:t>
                  </w:r>
                  <w:r>
                    <w:rPr>
                      <w:rFonts w:hint="eastAsia"/>
                      <w:color w:val="auto"/>
                      <w:lang w:val="en-US"/>
                    </w:rPr>
                    <w:t>不涉及炼钢，不新增炼钢产能</w:t>
                  </w:r>
                  <w:r>
                    <w:rPr>
                      <w:rFonts w:hint="eastAsia"/>
                      <w:color w:val="auto"/>
                      <w:lang w:val="en-US" w:eastAsia="zh-CN"/>
                    </w:rPr>
                    <w:t>，</w:t>
                  </w:r>
                  <w:r>
                    <w:rPr>
                      <w:rFonts w:hint="eastAsia"/>
                      <w:color w:val="auto"/>
                    </w:rPr>
                    <w:t>不属于高污染项目</w:t>
                  </w:r>
                  <w:r>
                    <w:rPr>
                      <w:rFonts w:hint="eastAsia"/>
                      <w:color w:val="auto"/>
                      <w:lang w:eastAsia="zh-CN"/>
                    </w:rPr>
                    <w:t>。</w:t>
                  </w:r>
                </w:p>
              </w:tc>
              <w:tc>
                <w:tcPr>
                  <w:tcW w:w="4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continue"/>
                  <w:vAlign w:val="center"/>
                </w:tcPr>
                <w:p>
                  <w:pPr>
                    <w:pStyle w:val="63"/>
                    <w:rPr>
                      <w:color w:val="auto"/>
                      <w:lang w:bidi="en-US"/>
                    </w:rPr>
                  </w:pPr>
                </w:p>
              </w:tc>
              <w:tc>
                <w:tcPr>
                  <w:tcW w:w="2096" w:type="pct"/>
                  <w:vAlign w:val="center"/>
                </w:tcPr>
                <w:p>
                  <w:pPr>
                    <w:pStyle w:val="63"/>
                    <w:jc w:val="both"/>
                    <w:rPr>
                      <w:color w:val="auto"/>
                    </w:rPr>
                  </w:pPr>
                  <w:r>
                    <w:rPr>
                      <w:color w:val="auto"/>
                      <w:lang w:val="en-US"/>
                    </w:rPr>
                    <w:t>8.各县（市、区）产业园区重点管控单元、曲靖经济开发区重点管控单元、曲靖高新技术产业开发区重点管控单元、宣威市经济技术开发区重点管控单元空间布局约束、污染物排放管控、环境风险防控、资源利用效率四个维度严格执行现行有效的园区规划、规划环评及其审查意见。</w:t>
                  </w:r>
                </w:p>
              </w:tc>
              <w:tc>
                <w:tcPr>
                  <w:tcW w:w="2012" w:type="pct"/>
                  <w:vAlign w:val="center"/>
                </w:tcPr>
                <w:p>
                  <w:pPr>
                    <w:pStyle w:val="63"/>
                    <w:rPr>
                      <w:color w:val="auto"/>
                    </w:rPr>
                  </w:pPr>
                  <w:r>
                    <w:rPr>
                      <w:rFonts w:hint="eastAsia"/>
                      <w:color w:val="auto"/>
                      <w:lang w:eastAsia="zh-CN"/>
                    </w:rPr>
                    <w:t>根据前文分析，本项目符合</w:t>
                  </w:r>
                  <w:r>
                    <w:rPr>
                      <w:rFonts w:hint="eastAsia"/>
                      <w:color w:val="auto"/>
                      <w:lang w:val="en-US"/>
                    </w:rPr>
                    <w:t>大同片区不锈钢冶炼及深加工产业区</w:t>
                  </w:r>
                  <w:r>
                    <w:rPr>
                      <w:rFonts w:hint="eastAsia"/>
                      <w:color w:val="auto"/>
                      <w:lang w:val="en-US" w:eastAsia="zh-CN"/>
                    </w:rPr>
                    <w:t>规划定位，符合产业园区规划环评及其审查意见有关要求。</w:t>
                  </w:r>
                </w:p>
              </w:tc>
              <w:tc>
                <w:tcPr>
                  <w:tcW w:w="4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restart"/>
                  <w:vAlign w:val="center"/>
                </w:tcPr>
                <w:p>
                  <w:pPr>
                    <w:pStyle w:val="63"/>
                    <w:rPr>
                      <w:color w:val="auto"/>
                    </w:rPr>
                  </w:pPr>
                  <w:r>
                    <w:rPr>
                      <w:rFonts w:hint="eastAsia"/>
                      <w:color w:val="auto"/>
                    </w:rPr>
                    <w:t>污染物排放管控</w:t>
                  </w:r>
                </w:p>
              </w:tc>
              <w:tc>
                <w:tcPr>
                  <w:tcW w:w="2096" w:type="pct"/>
                  <w:vAlign w:val="center"/>
                </w:tcPr>
                <w:p>
                  <w:pPr>
                    <w:pStyle w:val="63"/>
                    <w:jc w:val="both"/>
                    <w:rPr>
                      <w:color w:val="auto"/>
                    </w:rPr>
                  </w:pPr>
                  <w:r>
                    <w:rPr>
                      <w:color w:val="auto"/>
                      <w:lang w:val="en-US"/>
                    </w:rPr>
                    <w:t>1.推进以能源、化工、冶金、建材、造纸、农副食品加工、工业涂装和包装印刷等行业为重点的清洁生产审核工作，具体行业包括但不限于煤矿、火力发电，甲醇、焦化、氮肥、磷肥、氯碱、电石、制药、农药、黄磷、铬盐生产，钢铁、铁合金铅锌铝冶炼及再生，水泥、石灰、建筑陶瓷、平板玻璃、沥青防水材料，纸浆造纸，酿造、味精、柠檬酸、酶制剂、酵母，新能源电池(正负极材料），多晶硅、单晶硅、有机硅，工业涂装和包装印刷等行业。</w:t>
                  </w:r>
                </w:p>
              </w:tc>
              <w:tc>
                <w:tcPr>
                  <w:tcW w:w="2012" w:type="pct"/>
                  <w:vAlign w:val="center"/>
                </w:tcPr>
                <w:p>
                  <w:pPr>
                    <w:pStyle w:val="63"/>
                    <w:rPr>
                      <w:color w:val="auto"/>
                      <w:lang w:eastAsia="zh-CN"/>
                    </w:rPr>
                  </w:pPr>
                  <w:r>
                    <w:rPr>
                      <w:rFonts w:hint="eastAsia"/>
                      <w:color w:val="auto"/>
                      <w:lang w:eastAsia="zh-CN"/>
                    </w:rPr>
                    <w:t>本项目虽然属于钢铁行业，但</w:t>
                  </w:r>
                  <w:r>
                    <w:rPr>
                      <w:rFonts w:hint="eastAsia"/>
                      <w:color w:val="auto"/>
                      <w:lang w:val="en-US"/>
                    </w:rPr>
                    <w:t>项目</w:t>
                  </w:r>
                  <w:r>
                    <w:rPr>
                      <w:rFonts w:hint="eastAsia"/>
                      <w:color w:val="auto"/>
                      <w:lang w:val="en-US" w:eastAsia="zh-CN"/>
                    </w:rPr>
                    <w:t>针对年产3</w:t>
                  </w:r>
                  <w:r>
                    <w:rPr>
                      <w:color w:val="auto"/>
                      <w:lang w:val="en-US" w:eastAsia="zh-CN"/>
                    </w:rPr>
                    <w:t>0</w:t>
                  </w:r>
                  <w:r>
                    <w:rPr>
                      <w:rFonts w:hint="eastAsia"/>
                      <w:color w:val="auto"/>
                      <w:lang w:val="en-US" w:eastAsia="zh-CN"/>
                    </w:rPr>
                    <w:t>万吨热退火酸洗生产线建设项目进行技术改造</w:t>
                  </w:r>
                  <w:r>
                    <w:rPr>
                      <w:rFonts w:hint="eastAsia"/>
                      <w:color w:val="auto"/>
                      <w:lang w:val="en-US"/>
                    </w:rPr>
                    <w:t>，使用</w:t>
                  </w:r>
                  <w:r>
                    <w:rPr>
                      <w:rFonts w:hint="eastAsia"/>
                      <w:color w:val="auto"/>
                      <w:lang w:val="en-US" w:eastAsia="zh-CN"/>
                    </w:rPr>
                    <w:t>现有</w:t>
                  </w:r>
                  <w:r>
                    <w:rPr>
                      <w:rFonts w:hint="eastAsia"/>
                      <w:color w:val="auto"/>
                      <w:lang w:val="en-US"/>
                    </w:rPr>
                    <w:t>年产1</w:t>
                  </w:r>
                  <w:r>
                    <w:rPr>
                      <w:color w:val="auto"/>
                      <w:lang w:val="en-US"/>
                    </w:rPr>
                    <w:t>40</w:t>
                  </w:r>
                  <w:r>
                    <w:rPr>
                      <w:rFonts w:hint="eastAsia"/>
                      <w:color w:val="auto"/>
                      <w:lang w:val="en-US"/>
                    </w:rPr>
                    <w:t>万吨热轧生产线建设项目不锈钢钢卷为原料</w:t>
                  </w:r>
                  <w:r>
                    <w:rPr>
                      <w:rFonts w:hint="eastAsia"/>
                      <w:color w:val="auto"/>
                      <w:lang w:val="en-US" w:eastAsia="zh-CN"/>
                    </w:rPr>
                    <w:t>，</w:t>
                  </w:r>
                  <w:r>
                    <w:rPr>
                      <w:rFonts w:hint="eastAsia"/>
                      <w:color w:val="auto"/>
                      <w:lang w:val="en-US"/>
                    </w:rPr>
                    <w:t>不涉及炼钢，不新增炼钢产能</w:t>
                  </w:r>
                  <w:r>
                    <w:rPr>
                      <w:rFonts w:hint="eastAsia"/>
                      <w:color w:val="auto"/>
                      <w:lang w:val="en-US" w:eastAsia="zh-CN"/>
                    </w:rPr>
                    <w:t>，后续将按照要求开展洁净生产审核工作。</w:t>
                  </w:r>
                </w:p>
              </w:tc>
              <w:tc>
                <w:tcPr>
                  <w:tcW w:w="4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continue"/>
                  <w:vAlign w:val="center"/>
                </w:tcPr>
                <w:p>
                  <w:pPr>
                    <w:pStyle w:val="63"/>
                    <w:rPr>
                      <w:color w:val="auto"/>
                    </w:rPr>
                  </w:pPr>
                </w:p>
              </w:tc>
              <w:tc>
                <w:tcPr>
                  <w:tcW w:w="2096" w:type="pct"/>
                  <w:vAlign w:val="center"/>
                </w:tcPr>
                <w:p>
                  <w:pPr>
                    <w:pStyle w:val="63"/>
                    <w:jc w:val="both"/>
                    <w:rPr>
                      <w:color w:val="auto"/>
                    </w:rPr>
                  </w:pPr>
                  <w:r>
                    <w:rPr>
                      <w:rFonts w:hint="eastAsia"/>
                      <w:color w:val="auto"/>
                    </w:rPr>
                    <w:t>11.严把新建、改扩建涉重金属重点行业建设项目审批关，切实降低区域重金属排放总量。会泽县新、改、扩建涉重金属重点行业建设项目重点重金属污染物排放遵循“减量替代”原则，替代比例不低于1.2:1；其他县(市、区)遵循“等量替代”原则。</w:t>
                  </w:r>
                </w:p>
              </w:tc>
              <w:tc>
                <w:tcPr>
                  <w:tcW w:w="2012" w:type="pct"/>
                  <w:vAlign w:val="center"/>
                </w:tcPr>
                <w:p>
                  <w:pPr>
                    <w:pStyle w:val="63"/>
                    <w:rPr>
                      <w:color w:val="auto"/>
                      <w:lang w:eastAsia="zh-CN"/>
                    </w:rPr>
                  </w:pPr>
                  <w:r>
                    <w:rPr>
                      <w:rFonts w:hint="eastAsia"/>
                      <w:color w:val="auto"/>
                      <w:lang w:eastAsia="zh-CN"/>
                    </w:rPr>
                    <w:t>本项目不涉及重金属排放。</w:t>
                  </w:r>
                </w:p>
              </w:tc>
              <w:tc>
                <w:tcPr>
                  <w:tcW w:w="417" w:type="pct"/>
                  <w:vAlign w:val="center"/>
                </w:tcPr>
                <w:p>
                  <w:pPr>
                    <w:pStyle w:val="6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continue"/>
                  <w:vAlign w:val="center"/>
                </w:tcPr>
                <w:p>
                  <w:pPr>
                    <w:pStyle w:val="63"/>
                    <w:rPr>
                      <w:color w:val="auto"/>
                    </w:rPr>
                  </w:pPr>
                </w:p>
              </w:tc>
              <w:tc>
                <w:tcPr>
                  <w:tcW w:w="2096" w:type="pct"/>
                  <w:vAlign w:val="center"/>
                </w:tcPr>
                <w:p>
                  <w:pPr>
                    <w:pStyle w:val="63"/>
                    <w:jc w:val="both"/>
                    <w:rPr>
                      <w:color w:val="auto"/>
                    </w:rPr>
                  </w:pPr>
                  <w:r>
                    <w:rPr>
                      <w:rFonts w:hint="eastAsia"/>
                      <w:color w:val="auto"/>
                    </w:rPr>
                    <w:t>12.到2025年，曲靖市重点行业重点重金属污染物排放量比2020年下降6%。</w:t>
                  </w:r>
                </w:p>
              </w:tc>
              <w:tc>
                <w:tcPr>
                  <w:tcW w:w="2012" w:type="pct"/>
                  <w:vAlign w:val="center"/>
                </w:tcPr>
                <w:p>
                  <w:pPr>
                    <w:pStyle w:val="63"/>
                    <w:rPr>
                      <w:color w:val="auto"/>
                    </w:rPr>
                  </w:pPr>
                  <w:r>
                    <w:rPr>
                      <w:rFonts w:hint="eastAsia"/>
                      <w:color w:val="auto"/>
                      <w:lang w:eastAsia="zh-CN"/>
                    </w:rPr>
                    <w:t>本项目不涉及重金属排放。</w:t>
                  </w:r>
                </w:p>
              </w:tc>
              <w:tc>
                <w:tcPr>
                  <w:tcW w:w="417" w:type="pct"/>
                  <w:vAlign w:val="center"/>
                </w:tcPr>
                <w:p>
                  <w:pPr>
                    <w:pStyle w:val="6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continue"/>
                  <w:vAlign w:val="center"/>
                </w:tcPr>
                <w:p>
                  <w:pPr>
                    <w:pStyle w:val="63"/>
                    <w:rPr>
                      <w:color w:val="auto"/>
                    </w:rPr>
                  </w:pPr>
                </w:p>
              </w:tc>
              <w:tc>
                <w:tcPr>
                  <w:tcW w:w="2096" w:type="pct"/>
                  <w:vAlign w:val="center"/>
                </w:tcPr>
                <w:p>
                  <w:pPr>
                    <w:pStyle w:val="63"/>
                    <w:jc w:val="both"/>
                    <w:rPr>
                      <w:color w:val="auto"/>
                    </w:rPr>
                  </w:pPr>
                  <w:r>
                    <w:rPr>
                      <w:rFonts w:hint="eastAsia"/>
                      <w:color w:val="auto"/>
                    </w:rPr>
                    <w:t>13.到2025年，全市化学需氧量、氨氮、氮氧化物、挥发性有机物排放总量等重点工程减排量分别达到7984吨、496吨、3611吨、1181吨。</w:t>
                  </w:r>
                </w:p>
              </w:tc>
              <w:tc>
                <w:tcPr>
                  <w:tcW w:w="2012" w:type="pct"/>
                  <w:vAlign w:val="center"/>
                </w:tcPr>
                <w:p>
                  <w:pPr>
                    <w:pStyle w:val="63"/>
                    <w:rPr>
                      <w:color w:val="auto"/>
                    </w:rPr>
                  </w:pPr>
                  <w:r>
                    <w:rPr>
                      <w:rFonts w:hint="eastAsia"/>
                      <w:color w:val="auto"/>
                      <w:lang w:val="en-US"/>
                    </w:rPr>
                    <w:t>本项目</w:t>
                  </w:r>
                  <w:r>
                    <w:rPr>
                      <w:rFonts w:hint="eastAsia"/>
                      <w:color w:val="auto"/>
                      <w:lang w:val="en-US" w:eastAsia="zh-CN"/>
                    </w:rPr>
                    <w:t>运营期不新增生产废水和生活污水，现有项目</w:t>
                  </w:r>
                  <w:r>
                    <w:rPr>
                      <w:rFonts w:hint="eastAsia"/>
                      <w:color w:val="auto"/>
                      <w:lang w:val="en-US"/>
                    </w:rPr>
                    <w:t>生活污水依托云南天高镍业有限公司现有生活污水处理站处理回用于云南天高镍业有限公司炼钢循环补充水，不外排；软水系统正反冲洗水、浓盐水及锅炉排污水依托云南天高镍业有限公司现有生产废水处理站，经处理后回用于生产补充水，不外排</w:t>
                  </w:r>
                  <w:r>
                    <w:rPr>
                      <w:rFonts w:hint="eastAsia"/>
                      <w:color w:val="auto"/>
                      <w:lang w:val="en-US" w:eastAsia="zh-CN"/>
                    </w:rPr>
                    <w:t>，不涉及废水排放总量</w:t>
                  </w:r>
                  <w:r>
                    <w:rPr>
                      <w:rFonts w:hint="eastAsia"/>
                      <w:color w:val="auto"/>
                    </w:rPr>
                    <w:t>。</w:t>
                  </w:r>
                </w:p>
              </w:tc>
              <w:tc>
                <w:tcPr>
                  <w:tcW w:w="4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restart"/>
                  <w:vAlign w:val="center"/>
                </w:tcPr>
                <w:p>
                  <w:pPr>
                    <w:pStyle w:val="63"/>
                    <w:rPr>
                      <w:color w:val="auto"/>
                    </w:rPr>
                  </w:pPr>
                  <w:r>
                    <w:rPr>
                      <w:rFonts w:hint="eastAsia"/>
                      <w:color w:val="auto"/>
                    </w:rPr>
                    <w:t>环境风险防控</w:t>
                  </w:r>
                </w:p>
              </w:tc>
              <w:tc>
                <w:tcPr>
                  <w:tcW w:w="2096" w:type="pct"/>
                  <w:vAlign w:val="center"/>
                </w:tcPr>
                <w:p>
                  <w:pPr>
                    <w:pStyle w:val="63"/>
                    <w:jc w:val="both"/>
                    <w:rPr>
                      <w:color w:val="auto"/>
                    </w:rPr>
                  </w:pPr>
                  <w:r>
                    <w:rPr>
                      <w:rFonts w:hint="eastAsia"/>
                      <w:color w:val="auto"/>
                    </w:rPr>
                    <w:t>1.以南盘江、北盘江、牛栏江流域为重点，按规范开展流域工业企业、工业集聚区环境风险评估，落实防控措施。</w:t>
                  </w:r>
                </w:p>
              </w:tc>
              <w:tc>
                <w:tcPr>
                  <w:tcW w:w="2012" w:type="pct"/>
                  <w:vMerge w:val="restart"/>
                  <w:vAlign w:val="center"/>
                </w:tcPr>
                <w:p>
                  <w:pPr>
                    <w:pStyle w:val="63"/>
                    <w:rPr>
                      <w:color w:val="auto"/>
                    </w:rPr>
                  </w:pPr>
                  <w:r>
                    <w:rPr>
                      <w:rFonts w:hint="eastAsia"/>
                      <w:color w:val="auto"/>
                    </w:rPr>
                    <w:t>本项目运营后及时修编现有突发环境事件应急预案，定期开展演练工作，定期对应急物资进行更新维护，严格落实环境风险防范措施。</w:t>
                  </w:r>
                </w:p>
              </w:tc>
              <w:tc>
                <w:tcPr>
                  <w:tcW w:w="4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continue"/>
                  <w:vAlign w:val="center"/>
                </w:tcPr>
                <w:p>
                  <w:pPr>
                    <w:pStyle w:val="63"/>
                    <w:rPr>
                      <w:color w:val="auto"/>
                    </w:rPr>
                  </w:pPr>
                </w:p>
              </w:tc>
              <w:tc>
                <w:tcPr>
                  <w:tcW w:w="2096" w:type="pct"/>
                  <w:vAlign w:val="center"/>
                </w:tcPr>
                <w:p>
                  <w:pPr>
                    <w:pStyle w:val="63"/>
                    <w:jc w:val="both"/>
                    <w:rPr>
                      <w:color w:val="auto"/>
                    </w:rPr>
                  </w:pPr>
                  <w:r>
                    <w:rPr>
                      <w:rFonts w:hint="eastAsia"/>
                      <w:color w:val="auto"/>
                    </w:rPr>
                    <w:t>6.加强环境风险防控和应急管理，制定和完善突发环境事件和集中式饮用水水源地突发环境事件应急预案，加强风险防控和突发环境事件应急处理处置能力。</w:t>
                  </w:r>
                </w:p>
              </w:tc>
              <w:tc>
                <w:tcPr>
                  <w:tcW w:w="2012" w:type="pct"/>
                  <w:vMerge w:val="continue"/>
                  <w:vAlign w:val="center"/>
                </w:tcPr>
                <w:p>
                  <w:pPr>
                    <w:pStyle w:val="63"/>
                    <w:rPr>
                      <w:color w:val="auto"/>
                    </w:rPr>
                  </w:pPr>
                </w:p>
              </w:tc>
              <w:tc>
                <w:tcPr>
                  <w:tcW w:w="4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3" w:hRule="atLeast"/>
              </w:trPr>
              <w:tc>
                <w:tcPr>
                  <w:tcW w:w="475" w:type="pct"/>
                  <w:vMerge w:val="restart"/>
                  <w:vAlign w:val="center"/>
                </w:tcPr>
                <w:p>
                  <w:pPr>
                    <w:pStyle w:val="63"/>
                    <w:rPr>
                      <w:color w:val="auto"/>
                    </w:rPr>
                  </w:pPr>
                  <w:r>
                    <w:rPr>
                      <w:rFonts w:hint="eastAsia"/>
                      <w:color w:val="auto"/>
                    </w:rPr>
                    <w:t>资源利用效率</w:t>
                  </w:r>
                </w:p>
              </w:tc>
              <w:tc>
                <w:tcPr>
                  <w:tcW w:w="2096" w:type="pct"/>
                  <w:vAlign w:val="center"/>
                </w:tcPr>
                <w:p>
                  <w:pPr>
                    <w:pStyle w:val="63"/>
                    <w:jc w:val="both"/>
                    <w:rPr>
                      <w:color w:val="auto"/>
                    </w:rPr>
                  </w:pPr>
                  <w:r>
                    <w:rPr>
                      <w:rFonts w:hint="eastAsia"/>
                      <w:color w:val="auto"/>
                    </w:rPr>
                    <w:t>10.加强南盘江、牛栏江等岸线保护，强化九龙河（麒麟段、罗平段、陆良段、富源段）、牛栏江（会泽段、沾益段、宣威段）、清水江（罗平段、师宗段），宣威市窑上海子、北盘江、可渡河、拖长江、西泽河、以那河，马龙区马龙河，师宗县甸溪河、篆长河，富源县、小黄泥河，会泽县以礼河、硝厂河、小江等河湖岸线保护与管控。</w:t>
                  </w:r>
                </w:p>
              </w:tc>
              <w:tc>
                <w:tcPr>
                  <w:tcW w:w="2012" w:type="pct"/>
                  <w:vAlign w:val="center"/>
                </w:tcPr>
                <w:p>
                  <w:pPr>
                    <w:pStyle w:val="63"/>
                    <w:rPr>
                      <w:color w:val="auto"/>
                    </w:rPr>
                  </w:pPr>
                  <w:r>
                    <w:rPr>
                      <w:rFonts w:hint="eastAsia"/>
                      <w:color w:val="auto"/>
                    </w:rPr>
                    <w:t>本项目</w:t>
                  </w:r>
                  <w:r>
                    <w:rPr>
                      <w:rFonts w:hint="eastAsia"/>
                      <w:color w:val="auto"/>
                      <w:lang w:val="en-US"/>
                    </w:rPr>
                    <w:t>位于大同片区不锈钢冶炼及深加工产业区</w:t>
                  </w:r>
                  <w:r>
                    <w:rPr>
                      <w:rFonts w:hint="eastAsia"/>
                      <w:color w:val="auto"/>
                    </w:rPr>
                    <w:t>，不在水源保护区核心区，项目不设置排污口，运营期无废水外排，不会对</w:t>
                  </w:r>
                  <w:r>
                    <w:rPr>
                      <w:rFonts w:hint="eastAsia"/>
                      <w:color w:val="auto"/>
                      <w:lang w:eastAsia="zh-CN"/>
                    </w:rPr>
                    <w:t>子午河、南盘江</w:t>
                  </w:r>
                  <w:r>
                    <w:rPr>
                      <w:rFonts w:hint="eastAsia"/>
                      <w:color w:val="auto"/>
                    </w:rPr>
                    <w:t>河湖岸线造成破坏和污染。</w:t>
                  </w:r>
                </w:p>
              </w:tc>
              <w:tc>
                <w:tcPr>
                  <w:tcW w:w="4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5" w:type="pct"/>
                  <w:vMerge w:val="continue"/>
                  <w:vAlign w:val="center"/>
                </w:tcPr>
                <w:p>
                  <w:pPr>
                    <w:pStyle w:val="63"/>
                    <w:rPr>
                      <w:color w:val="auto"/>
                    </w:rPr>
                  </w:pPr>
                </w:p>
              </w:tc>
              <w:tc>
                <w:tcPr>
                  <w:tcW w:w="2096" w:type="pct"/>
                  <w:vAlign w:val="center"/>
                </w:tcPr>
                <w:p>
                  <w:pPr>
                    <w:pStyle w:val="63"/>
                    <w:jc w:val="both"/>
                    <w:rPr>
                      <w:color w:val="auto"/>
                    </w:rPr>
                  </w:pPr>
                  <w:r>
                    <w:rPr>
                      <w:color w:val="auto"/>
                      <w:lang w:val="en-US"/>
                    </w:rPr>
                    <w:t>11.在禁燃区内，禁止销售、燃用高污染燃料；禁止新建、扩建燃用高污染燃料的设施，已建成的，应当在规定的期限内改用天然气、液化石油气、电或者其他清洁能源。</w:t>
                  </w:r>
                </w:p>
              </w:tc>
              <w:tc>
                <w:tcPr>
                  <w:tcW w:w="2012" w:type="pct"/>
                  <w:vAlign w:val="center"/>
                </w:tcPr>
                <w:p>
                  <w:pPr>
                    <w:pStyle w:val="63"/>
                    <w:rPr>
                      <w:color w:val="auto"/>
                    </w:rPr>
                  </w:pPr>
                  <w:r>
                    <w:rPr>
                      <w:rFonts w:hint="eastAsia"/>
                      <w:color w:val="auto"/>
                      <w:lang w:eastAsia="zh-CN"/>
                    </w:rPr>
                    <w:t>本项目使用清洁能源天然气，不使用高污染燃料。</w:t>
                  </w:r>
                </w:p>
              </w:tc>
              <w:tc>
                <w:tcPr>
                  <w:tcW w:w="417" w:type="pct"/>
                  <w:vAlign w:val="center"/>
                </w:tcPr>
                <w:p>
                  <w:pPr>
                    <w:pStyle w:val="63"/>
                    <w:rPr>
                      <w:color w:val="auto"/>
                    </w:rPr>
                  </w:pPr>
                  <w:r>
                    <w:rPr>
                      <w:rFonts w:hint="eastAsia"/>
                      <w:color w:val="auto"/>
                    </w:rPr>
                    <w:t>符合</w:t>
                  </w:r>
                </w:p>
              </w:tc>
            </w:tr>
          </w:tbl>
          <w:p>
            <w:pPr>
              <w:pStyle w:val="66"/>
              <w:rPr>
                <w:color w:val="auto"/>
              </w:rPr>
            </w:pPr>
            <w:r>
              <w:rPr>
                <w:rFonts w:hint="eastAsia"/>
                <w:color w:val="auto"/>
                <w:lang w:bidi="en-US"/>
              </w:rPr>
              <w:t>表1.</w:t>
            </w:r>
            <w:r>
              <w:rPr>
                <w:color w:val="auto"/>
                <w:lang w:bidi="en-US"/>
              </w:rPr>
              <w:t>4</w:t>
            </w:r>
            <w:r>
              <w:rPr>
                <w:rFonts w:hint="eastAsia"/>
                <w:color w:val="auto"/>
                <w:lang w:bidi="en-US"/>
              </w:rPr>
              <w:t>-</w:t>
            </w:r>
            <w:r>
              <w:rPr>
                <w:color w:val="auto"/>
                <w:lang w:bidi="en-US"/>
              </w:rPr>
              <w:t>3</w:t>
            </w:r>
            <w:r>
              <w:rPr>
                <w:rFonts w:hint="eastAsia"/>
                <w:color w:val="auto"/>
                <w:lang w:bidi="en-US"/>
              </w:rPr>
              <w:t xml:space="preserve"> 项目与</w:t>
            </w:r>
            <w:r>
              <w:rPr>
                <w:rFonts w:hint="eastAsia"/>
                <w:color w:val="auto"/>
              </w:rPr>
              <w:t>曲靖市重点管控单元生态环境准入清单符合性分析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3121"/>
              <w:gridCol w:w="3117"/>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pct"/>
                  <w:vAlign w:val="center"/>
                </w:tcPr>
                <w:p>
                  <w:pPr>
                    <w:pStyle w:val="63"/>
                    <w:rPr>
                      <w:color w:val="auto"/>
                      <w:lang w:bidi="en-US"/>
                    </w:rPr>
                  </w:pPr>
                  <w:r>
                    <w:rPr>
                      <w:rFonts w:hint="eastAsia"/>
                      <w:color w:val="auto"/>
                      <w:lang w:eastAsia="zh-CN" w:bidi="en-US"/>
                    </w:rPr>
                    <w:t>单元名称</w:t>
                  </w:r>
                </w:p>
              </w:tc>
              <w:tc>
                <w:tcPr>
                  <w:tcW w:w="2005" w:type="pct"/>
                  <w:vAlign w:val="center"/>
                </w:tcPr>
                <w:p>
                  <w:pPr>
                    <w:pStyle w:val="63"/>
                    <w:rPr>
                      <w:color w:val="auto"/>
                    </w:rPr>
                  </w:pPr>
                  <w:r>
                    <w:rPr>
                      <w:rFonts w:hint="eastAsia"/>
                      <w:color w:val="auto"/>
                      <w:lang w:eastAsia="zh-CN"/>
                    </w:rPr>
                    <w:t>更新管控</w:t>
                  </w:r>
                  <w:r>
                    <w:rPr>
                      <w:rFonts w:hint="eastAsia"/>
                      <w:color w:val="auto"/>
                    </w:rPr>
                    <w:t>要求</w:t>
                  </w:r>
                </w:p>
              </w:tc>
              <w:tc>
                <w:tcPr>
                  <w:tcW w:w="2003" w:type="pct"/>
                  <w:vAlign w:val="center"/>
                </w:tcPr>
                <w:p>
                  <w:pPr>
                    <w:pStyle w:val="63"/>
                    <w:rPr>
                      <w:color w:val="auto"/>
                    </w:rPr>
                  </w:pPr>
                  <w:r>
                    <w:rPr>
                      <w:rFonts w:hint="eastAsia"/>
                      <w:color w:val="auto"/>
                    </w:rPr>
                    <w:t>本项目情况</w:t>
                  </w:r>
                </w:p>
              </w:tc>
              <w:tc>
                <w:tcPr>
                  <w:tcW w:w="426" w:type="pct"/>
                  <w:vAlign w:val="center"/>
                </w:tcPr>
                <w:p>
                  <w:pPr>
                    <w:pStyle w:val="63"/>
                    <w:rPr>
                      <w:color w:val="auto"/>
                    </w:rPr>
                  </w:pPr>
                  <w:r>
                    <w:rPr>
                      <w:rFonts w:hint="eastAsia"/>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pct"/>
                  <w:vMerge w:val="restart"/>
                  <w:vAlign w:val="center"/>
                </w:tcPr>
                <w:p>
                  <w:pPr>
                    <w:pStyle w:val="63"/>
                    <w:rPr>
                      <w:color w:val="auto"/>
                    </w:rPr>
                  </w:pPr>
                  <w:r>
                    <w:rPr>
                      <w:color w:val="auto"/>
                    </w:rPr>
                    <w:t>师宗工业集中区重点管控单元</w:t>
                  </w:r>
                </w:p>
              </w:tc>
              <w:tc>
                <w:tcPr>
                  <w:tcW w:w="2005" w:type="pct"/>
                  <w:vAlign w:val="center"/>
                </w:tcPr>
                <w:p>
                  <w:pPr>
                    <w:pStyle w:val="63"/>
                    <w:jc w:val="both"/>
                    <w:rPr>
                      <w:color w:val="auto"/>
                      <w:lang w:val="en-US"/>
                    </w:rPr>
                  </w:pPr>
                  <w:r>
                    <w:rPr>
                      <w:color w:val="auto"/>
                      <w:lang w:val="en-US"/>
                    </w:rPr>
                    <w:t>空间布局约束</w:t>
                  </w:r>
                  <w:r>
                    <w:rPr>
                      <w:rFonts w:hint="eastAsia"/>
                      <w:color w:val="auto"/>
                      <w:lang w:val="en-US" w:eastAsia="zh-CN"/>
                    </w:rPr>
                    <w:t>：</w:t>
                  </w:r>
                </w:p>
                <w:p>
                  <w:pPr>
                    <w:pStyle w:val="63"/>
                    <w:jc w:val="both"/>
                    <w:rPr>
                      <w:color w:val="auto"/>
                      <w:lang w:val="en-US"/>
                    </w:rPr>
                  </w:pPr>
                  <w:r>
                    <w:rPr>
                      <w:color w:val="auto"/>
                      <w:lang w:val="en-US"/>
                    </w:rPr>
                    <w:t>1.园区不宜布置污水产排量较大的新建项目。</w:t>
                  </w:r>
                </w:p>
                <w:p>
                  <w:pPr>
                    <w:pStyle w:val="63"/>
                    <w:jc w:val="both"/>
                    <w:rPr>
                      <w:color w:val="auto"/>
                      <w:lang w:val="en-US"/>
                    </w:rPr>
                  </w:pPr>
                  <w:r>
                    <w:rPr>
                      <w:color w:val="auto"/>
                      <w:lang w:val="en-US"/>
                    </w:rPr>
                    <w:t>2.大同片区东侧综合加工产业区B区麒师高速公路以东区域除现有二类工业用地外保留现状。</w:t>
                  </w:r>
                </w:p>
                <w:p>
                  <w:pPr>
                    <w:pStyle w:val="63"/>
                    <w:jc w:val="both"/>
                    <w:rPr>
                      <w:color w:val="auto"/>
                      <w:lang w:val="en-US"/>
                    </w:rPr>
                  </w:pPr>
                  <w:r>
                    <w:rPr>
                      <w:color w:val="auto"/>
                      <w:lang w:val="en-US"/>
                    </w:rPr>
                    <w:t>3.工业用地与人口密集区、自然保护区等敏感区间应设置绿化隔离带，留出必要的防护距离。</w:t>
                  </w:r>
                </w:p>
                <w:p>
                  <w:pPr>
                    <w:pStyle w:val="63"/>
                    <w:jc w:val="both"/>
                    <w:rPr>
                      <w:color w:val="auto"/>
                      <w:lang w:val="en-US"/>
                    </w:rPr>
                  </w:pPr>
                  <w:r>
                    <w:rPr>
                      <w:color w:val="auto"/>
                      <w:lang w:val="en-US"/>
                    </w:rPr>
                    <w:t>4.大同片区不锈钢生产及加工产业组团严格控制不锈钢产能，优先发展不锈钢深加工，禁止新建和扩建钢铁冶炼产业。不锈钢生产及加工产业组团与高新生物科技产业组团不宜毗邻布置，应设置相应的隔离带。</w:t>
                  </w:r>
                </w:p>
                <w:p>
                  <w:pPr>
                    <w:pStyle w:val="63"/>
                    <w:jc w:val="both"/>
                    <w:rPr>
                      <w:color w:val="auto"/>
                    </w:rPr>
                  </w:pPr>
                  <w:r>
                    <w:rPr>
                      <w:color w:val="auto"/>
                      <w:lang w:val="en-US"/>
                    </w:rPr>
                    <w:t>5.矣腊片区现有煤焦化厂不得新增产能，只能开展以污染物减排为前提的升级改造工作，技术升级改造及产业链延伸须控制在现有厂界范围内。</w:t>
                  </w:r>
                </w:p>
              </w:tc>
              <w:tc>
                <w:tcPr>
                  <w:tcW w:w="2003" w:type="pct"/>
                  <w:vAlign w:val="center"/>
                </w:tcPr>
                <w:p>
                  <w:pPr>
                    <w:pStyle w:val="63"/>
                    <w:jc w:val="both"/>
                    <w:rPr>
                      <w:color w:val="auto"/>
                    </w:rPr>
                  </w:pPr>
                  <w:r>
                    <w:rPr>
                      <w:rFonts w:hint="eastAsia"/>
                      <w:color w:val="auto"/>
                      <w:lang w:eastAsia="zh-CN"/>
                    </w:rPr>
                    <w:t>1</w:t>
                  </w:r>
                  <w:r>
                    <w:rPr>
                      <w:color w:val="auto"/>
                      <w:lang w:eastAsia="zh-CN"/>
                    </w:rPr>
                    <w:t>.</w:t>
                  </w:r>
                  <w:r>
                    <w:rPr>
                      <w:rFonts w:hint="eastAsia"/>
                      <w:color w:val="auto"/>
                      <w:lang w:val="en-US"/>
                    </w:rPr>
                    <w:t>本项目</w:t>
                  </w:r>
                  <w:r>
                    <w:rPr>
                      <w:rFonts w:hint="eastAsia"/>
                      <w:color w:val="auto"/>
                      <w:lang w:val="en-US" w:eastAsia="zh-CN"/>
                    </w:rPr>
                    <w:t>运营期不新增生产废水和生活污水，现有项目</w:t>
                  </w:r>
                  <w:r>
                    <w:rPr>
                      <w:rFonts w:hint="eastAsia"/>
                      <w:color w:val="auto"/>
                      <w:lang w:val="en-US"/>
                    </w:rPr>
                    <w:t>生活污水依托云南天高镍业有限公司现有生活污水处理站处理回用于云南天高镍业有限公司炼钢循环补充水，不外排；软水系统正反冲洗水、浓盐水及锅炉排污水依托云南天高镍业有限公司现有生产废水处理站，经处理后回用于生产补充水，不外排</w:t>
                  </w:r>
                  <w:r>
                    <w:rPr>
                      <w:rFonts w:hint="eastAsia"/>
                      <w:color w:val="auto"/>
                      <w:lang w:val="en-US" w:eastAsia="zh-CN"/>
                    </w:rPr>
                    <w:t>。</w:t>
                  </w:r>
                </w:p>
                <w:p>
                  <w:pPr>
                    <w:pStyle w:val="63"/>
                    <w:jc w:val="both"/>
                    <w:rPr>
                      <w:color w:val="auto"/>
                      <w:lang w:val="en-US" w:eastAsia="zh-CN"/>
                    </w:rPr>
                  </w:pPr>
                  <w:r>
                    <w:rPr>
                      <w:rFonts w:hint="eastAsia"/>
                      <w:color w:val="auto"/>
                      <w:lang w:eastAsia="zh-CN"/>
                    </w:rPr>
                    <w:t>2</w:t>
                  </w:r>
                  <w:r>
                    <w:rPr>
                      <w:color w:val="auto"/>
                      <w:lang w:eastAsia="zh-CN"/>
                    </w:rPr>
                    <w:t>.</w:t>
                  </w:r>
                  <w:r>
                    <w:rPr>
                      <w:rFonts w:hint="eastAsia"/>
                      <w:color w:val="auto"/>
                    </w:rPr>
                    <w:t>本</w:t>
                  </w:r>
                  <w:r>
                    <w:rPr>
                      <w:color w:val="auto"/>
                    </w:rPr>
                    <w:t>项目位于</w:t>
                  </w:r>
                  <w:r>
                    <w:rPr>
                      <w:rFonts w:hint="eastAsia"/>
                      <w:color w:val="auto"/>
                    </w:rPr>
                    <w:t>云南师宗产业园区大同片区</w:t>
                  </w:r>
                  <w:r>
                    <w:rPr>
                      <w:color w:val="auto"/>
                    </w:rPr>
                    <w:t>不锈钢生产及加工产业组团</w:t>
                  </w:r>
                  <w:r>
                    <w:rPr>
                      <w:rFonts w:hint="eastAsia"/>
                      <w:color w:val="auto"/>
                      <w:lang w:eastAsia="zh-CN"/>
                    </w:rPr>
                    <w:t>，不在</w:t>
                  </w:r>
                  <w:r>
                    <w:rPr>
                      <w:color w:val="auto"/>
                      <w:lang w:val="en-US"/>
                    </w:rPr>
                    <w:t>综合加工产业区B区</w:t>
                  </w:r>
                  <w:r>
                    <w:rPr>
                      <w:rFonts w:hint="eastAsia"/>
                      <w:color w:val="auto"/>
                      <w:lang w:val="en-US" w:eastAsia="zh-CN"/>
                    </w:rPr>
                    <w:t>范围内。</w:t>
                  </w:r>
                </w:p>
                <w:p>
                  <w:pPr>
                    <w:pStyle w:val="63"/>
                    <w:jc w:val="both"/>
                    <w:rPr>
                      <w:color w:val="auto"/>
                      <w:lang w:val="en-US" w:eastAsia="zh-CN"/>
                    </w:rPr>
                  </w:pPr>
                  <w:r>
                    <w:rPr>
                      <w:rFonts w:hint="eastAsia"/>
                      <w:color w:val="auto"/>
                      <w:lang w:val="en-US" w:eastAsia="zh-CN"/>
                    </w:rPr>
                    <w:t>3</w:t>
                  </w:r>
                  <w:r>
                    <w:rPr>
                      <w:color w:val="auto"/>
                      <w:lang w:val="en-US" w:eastAsia="zh-CN"/>
                    </w:rPr>
                    <w:t>.</w:t>
                  </w:r>
                  <w:r>
                    <w:rPr>
                      <w:rFonts w:hint="eastAsia"/>
                      <w:color w:val="auto"/>
                      <w:lang w:val="en-US" w:eastAsia="zh-CN"/>
                    </w:rPr>
                    <w:t>本项目周边5</w:t>
                  </w:r>
                  <w:r>
                    <w:rPr>
                      <w:color w:val="auto"/>
                      <w:lang w:val="en-US" w:eastAsia="zh-CN"/>
                    </w:rPr>
                    <w:t>00</w:t>
                  </w:r>
                  <w:r>
                    <w:rPr>
                      <w:rFonts w:hint="eastAsia"/>
                      <w:color w:val="auto"/>
                      <w:lang w:val="en-US" w:eastAsia="zh-CN"/>
                    </w:rPr>
                    <w:t>m范围不涉及人口密集区、自然保护区。</w:t>
                  </w:r>
                </w:p>
                <w:p>
                  <w:pPr>
                    <w:pStyle w:val="63"/>
                    <w:jc w:val="both"/>
                    <w:rPr>
                      <w:color w:val="auto"/>
                    </w:rPr>
                  </w:pPr>
                  <w:r>
                    <w:rPr>
                      <w:color w:val="auto"/>
                      <w:lang w:val="en-US" w:eastAsia="zh-CN"/>
                    </w:rPr>
                    <w:t>4</w:t>
                  </w:r>
                  <w:r>
                    <w:rPr>
                      <w:rFonts w:hint="eastAsia"/>
                      <w:color w:val="auto"/>
                    </w:rPr>
                    <w:t>本次技改后</w:t>
                  </w:r>
                  <w:r>
                    <w:rPr>
                      <w:color w:val="auto"/>
                    </w:rPr>
                    <w:t>对不锈钢卷进行</w:t>
                  </w:r>
                  <w:r>
                    <w:rPr>
                      <w:rFonts w:hint="eastAsia"/>
                      <w:color w:val="auto"/>
                    </w:rPr>
                    <w:t>热退火酸洗</w:t>
                  </w:r>
                  <w:r>
                    <w:rPr>
                      <w:color w:val="auto"/>
                    </w:rPr>
                    <w:t>处理，</w:t>
                  </w:r>
                  <w:r>
                    <w:rPr>
                      <w:rFonts w:hint="eastAsia"/>
                      <w:color w:val="auto"/>
                    </w:rPr>
                    <w:t>不新增钢铁产能，</w:t>
                  </w:r>
                  <w:r>
                    <w:rPr>
                      <w:color w:val="auto"/>
                    </w:rPr>
                    <w:t>不属于新建和扩建的钢铁冶炼项目。</w:t>
                  </w:r>
                </w:p>
                <w:p>
                  <w:pPr>
                    <w:pStyle w:val="63"/>
                    <w:jc w:val="both"/>
                    <w:rPr>
                      <w:color w:val="auto"/>
                    </w:rPr>
                  </w:pPr>
                  <w:r>
                    <w:rPr>
                      <w:rFonts w:hint="eastAsia"/>
                      <w:color w:val="auto"/>
                      <w:lang w:eastAsia="zh-CN"/>
                    </w:rPr>
                    <w:t>5</w:t>
                  </w:r>
                  <w:r>
                    <w:rPr>
                      <w:color w:val="auto"/>
                      <w:lang w:eastAsia="zh-CN"/>
                    </w:rPr>
                    <w:t>.</w:t>
                  </w:r>
                  <w:r>
                    <w:rPr>
                      <w:rFonts w:hint="eastAsia"/>
                      <w:color w:val="auto"/>
                      <w:lang w:eastAsia="zh-CN"/>
                    </w:rPr>
                    <w:t>本项目不在</w:t>
                  </w:r>
                  <w:r>
                    <w:rPr>
                      <w:color w:val="auto"/>
                      <w:lang w:val="en-US"/>
                    </w:rPr>
                    <w:t>矣腊片区</w:t>
                  </w:r>
                  <w:r>
                    <w:rPr>
                      <w:rFonts w:hint="eastAsia"/>
                      <w:color w:val="auto"/>
                      <w:lang w:val="en-US" w:eastAsia="zh-CN"/>
                    </w:rPr>
                    <w:t>。</w:t>
                  </w:r>
                </w:p>
              </w:tc>
              <w:tc>
                <w:tcPr>
                  <w:tcW w:w="426" w:type="pct"/>
                  <w:vAlign w:val="center"/>
                </w:tcPr>
                <w:p>
                  <w:pPr>
                    <w:pStyle w:val="6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pct"/>
                  <w:vMerge w:val="continue"/>
                  <w:vAlign w:val="center"/>
                </w:tcPr>
                <w:p>
                  <w:pPr>
                    <w:pStyle w:val="63"/>
                    <w:rPr>
                      <w:color w:val="auto"/>
                    </w:rPr>
                  </w:pPr>
                </w:p>
              </w:tc>
              <w:tc>
                <w:tcPr>
                  <w:tcW w:w="2005" w:type="pct"/>
                  <w:vAlign w:val="center"/>
                </w:tcPr>
                <w:p>
                  <w:pPr>
                    <w:pStyle w:val="63"/>
                    <w:jc w:val="both"/>
                    <w:rPr>
                      <w:color w:val="auto"/>
                    </w:rPr>
                  </w:pPr>
                  <w:r>
                    <w:rPr>
                      <w:color w:val="auto"/>
                    </w:rPr>
                    <w:t>污染物排放管控：</w:t>
                  </w:r>
                </w:p>
                <w:p>
                  <w:pPr>
                    <w:pStyle w:val="63"/>
                    <w:jc w:val="both"/>
                    <w:rPr>
                      <w:color w:val="auto"/>
                      <w:lang w:val="en-US"/>
                    </w:rPr>
                  </w:pPr>
                  <w:r>
                    <w:rPr>
                      <w:color w:val="auto"/>
                      <w:lang w:val="en-US"/>
                    </w:rPr>
                    <w:t>1.新建、扩建（转型升级）的“两高”项目应采用先进适用的工艺技术和装备，单位产品物耗、能耗、水耗等达到清洁生产先进水平，依法制定并严格落实防治土壤与地下水污染的措施。</w:t>
                  </w:r>
                </w:p>
                <w:p>
                  <w:pPr>
                    <w:pStyle w:val="63"/>
                    <w:jc w:val="both"/>
                    <w:rPr>
                      <w:color w:val="auto"/>
                      <w:lang w:val="en-US"/>
                    </w:rPr>
                  </w:pPr>
                  <w:r>
                    <w:rPr>
                      <w:color w:val="auto"/>
                      <w:lang w:val="en-US"/>
                    </w:rPr>
                    <w:t>2.淘汰落后产能，依法依规关停退出能耗、环保、质量、安全不达标和生产不合格产品的落后产能，分行业有序退出“限制类”产能。现有重污染企业要开展技术升级改造和环保设施的提标改造。</w:t>
                  </w:r>
                </w:p>
                <w:p>
                  <w:pPr>
                    <w:pStyle w:val="63"/>
                    <w:jc w:val="both"/>
                    <w:rPr>
                      <w:color w:val="auto"/>
                      <w:lang w:val="en-US"/>
                    </w:rPr>
                  </w:pPr>
                  <w:r>
                    <w:rPr>
                      <w:color w:val="auto"/>
                      <w:lang w:val="en-US"/>
                    </w:rPr>
                    <w:t>3.现有“两高”企业应从原燃料清洁替代、节能降耗技术、余热余能利用、清洁运输方式等方面提出针对性的降碳措施与污染控制要求。</w:t>
                  </w:r>
                </w:p>
                <w:p>
                  <w:pPr>
                    <w:pStyle w:val="63"/>
                    <w:jc w:val="both"/>
                    <w:rPr>
                      <w:color w:val="auto"/>
                      <w:lang w:val="en-US"/>
                    </w:rPr>
                  </w:pPr>
                  <w:r>
                    <w:rPr>
                      <w:color w:val="auto"/>
                      <w:lang w:val="en-US"/>
                    </w:rPr>
                    <w:t>4.加快大同片区及矣腊片区污水处理厂及配套管网的建设，并确保污水处理厂出水水质稳定达到《城镇污水处理厂污染物排放标准》（GB18918-2002）一级A标准后方才排入子午河。</w:t>
                  </w:r>
                </w:p>
                <w:p>
                  <w:pPr>
                    <w:pStyle w:val="63"/>
                    <w:jc w:val="both"/>
                    <w:rPr>
                      <w:color w:val="auto"/>
                      <w:lang w:val="en-US"/>
                    </w:rPr>
                  </w:pPr>
                  <w:r>
                    <w:rPr>
                      <w:color w:val="auto"/>
                      <w:lang w:val="en-US"/>
                    </w:rPr>
                    <w:t>5.矣腊片区远期大气环境中新增的NO</w:t>
                  </w:r>
                  <w:r>
                    <w:rPr>
                      <w:color w:val="auto"/>
                      <w:vertAlign w:val="subscript"/>
                      <w:lang w:val="en-US"/>
                    </w:rPr>
                    <w:t>x</w:t>
                  </w:r>
                  <w:r>
                    <w:rPr>
                      <w:color w:val="auto"/>
                      <w:lang w:val="en-US"/>
                    </w:rPr>
                    <w:t>排放总量须控制在165t/a以内，入驻企业须严控产业规模，并强化环保措施。</w:t>
                  </w:r>
                </w:p>
                <w:p>
                  <w:pPr>
                    <w:pStyle w:val="63"/>
                    <w:jc w:val="both"/>
                    <w:rPr>
                      <w:color w:val="auto"/>
                    </w:rPr>
                  </w:pPr>
                  <w:r>
                    <w:rPr>
                      <w:color w:val="auto"/>
                      <w:lang w:val="en-US"/>
                    </w:rPr>
                    <w:t>6.大同片区不锈钢冶炼及深加工产业区严格控制不锈钢产能，现有的钢铁企业（云南天高镍业有限公司）只能在上级下达产能范围内进行转型升级。</w:t>
                  </w:r>
                </w:p>
              </w:tc>
              <w:tc>
                <w:tcPr>
                  <w:tcW w:w="2003" w:type="pct"/>
                  <w:vAlign w:val="center"/>
                </w:tcPr>
                <w:p>
                  <w:pPr>
                    <w:pStyle w:val="63"/>
                    <w:jc w:val="both"/>
                    <w:rPr>
                      <w:color w:val="auto"/>
                    </w:rPr>
                  </w:pPr>
                  <w:r>
                    <w:rPr>
                      <w:rFonts w:hint="eastAsia"/>
                      <w:color w:val="auto"/>
                    </w:rPr>
                    <w:t>1</w:t>
                  </w:r>
                  <w:r>
                    <w:rPr>
                      <w:color w:val="auto"/>
                    </w:rPr>
                    <w:t>.</w:t>
                  </w:r>
                  <w:r>
                    <w:rPr>
                      <w:rFonts w:hint="eastAsia"/>
                      <w:color w:val="auto"/>
                    </w:rPr>
                    <w:t>本项目</w:t>
                  </w:r>
                  <w:r>
                    <w:rPr>
                      <w:rFonts w:hint="eastAsia"/>
                      <w:color w:val="auto"/>
                      <w:lang w:val="en-US"/>
                    </w:rPr>
                    <w:t>位于大同片区不锈钢冶炼及深加工产业区</w:t>
                  </w:r>
                  <w:r>
                    <w:rPr>
                      <w:rFonts w:hint="eastAsia"/>
                      <w:color w:val="auto"/>
                      <w:lang w:val="en-US" w:eastAsia="zh-CN"/>
                    </w:rPr>
                    <w:t>，产业园区属于合法合规的园区</w:t>
                  </w:r>
                  <w:r>
                    <w:rPr>
                      <w:rFonts w:hint="eastAsia"/>
                      <w:color w:val="auto"/>
                    </w:rPr>
                    <w:t>，</w:t>
                  </w:r>
                  <w:r>
                    <w:rPr>
                      <w:rFonts w:hint="eastAsia"/>
                      <w:color w:val="auto"/>
                      <w:lang w:val="en-US"/>
                    </w:rPr>
                    <w:t>项目</w:t>
                  </w:r>
                  <w:r>
                    <w:rPr>
                      <w:rFonts w:hint="eastAsia"/>
                      <w:color w:val="auto"/>
                      <w:lang w:val="en-US" w:eastAsia="zh-CN"/>
                    </w:rPr>
                    <w:t>针对年产3</w:t>
                  </w:r>
                  <w:r>
                    <w:rPr>
                      <w:color w:val="auto"/>
                      <w:lang w:val="en-US" w:eastAsia="zh-CN"/>
                    </w:rPr>
                    <w:t>0</w:t>
                  </w:r>
                  <w:r>
                    <w:rPr>
                      <w:rFonts w:hint="eastAsia"/>
                      <w:color w:val="auto"/>
                      <w:lang w:val="en-US" w:eastAsia="zh-CN"/>
                    </w:rPr>
                    <w:t>万吨热退火酸洗生产线建设项目进行技术改造</w:t>
                  </w:r>
                  <w:r>
                    <w:rPr>
                      <w:rFonts w:hint="eastAsia"/>
                      <w:color w:val="auto"/>
                      <w:lang w:val="en-US"/>
                    </w:rPr>
                    <w:t>，使用</w:t>
                  </w:r>
                  <w:r>
                    <w:rPr>
                      <w:rFonts w:hint="eastAsia"/>
                      <w:color w:val="auto"/>
                      <w:lang w:val="en-US" w:eastAsia="zh-CN"/>
                    </w:rPr>
                    <w:t>现有</w:t>
                  </w:r>
                  <w:r>
                    <w:rPr>
                      <w:rFonts w:hint="eastAsia"/>
                      <w:color w:val="auto"/>
                      <w:lang w:val="en-US"/>
                    </w:rPr>
                    <w:t>年产1</w:t>
                  </w:r>
                  <w:r>
                    <w:rPr>
                      <w:color w:val="auto"/>
                      <w:lang w:val="en-US"/>
                    </w:rPr>
                    <w:t>40</w:t>
                  </w:r>
                  <w:r>
                    <w:rPr>
                      <w:rFonts w:hint="eastAsia"/>
                      <w:color w:val="auto"/>
                      <w:lang w:val="en-US"/>
                    </w:rPr>
                    <w:t>万吨热轧生产线建设项目不锈钢钢卷为原料</w:t>
                  </w:r>
                  <w:r>
                    <w:rPr>
                      <w:rFonts w:hint="eastAsia"/>
                      <w:color w:val="auto"/>
                      <w:lang w:val="en-US" w:eastAsia="zh-CN"/>
                    </w:rPr>
                    <w:t>，</w:t>
                  </w:r>
                  <w:r>
                    <w:rPr>
                      <w:rFonts w:hint="eastAsia"/>
                      <w:color w:val="auto"/>
                      <w:lang w:val="en-US"/>
                    </w:rPr>
                    <w:t>不涉及炼钢，不新增炼钢产能</w:t>
                  </w:r>
                  <w:r>
                    <w:rPr>
                      <w:rFonts w:hint="eastAsia"/>
                      <w:color w:val="auto"/>
                      <w:lang w:val="en-US" w:eastAsia="zh-CN"/>
                    </w:rPr>
                    <w:t>，</w:t>
                  </w:r>
                  <w:r>
                    <w:rPr>
                      <w:rFonts w:hint="eastAsia"/>
                      <w:color w:val="auto"/>
                    </w:rPr>
                    <w:t>不属于</w:t>
                  </w:r>
                  <w:r>
                    <w:rPr>
                      <w:color w:val="auto"/>
                      <w:lang w:val="en-US"/>
                    </w:rPr>
                    <w:t>“两高”项目</w:t>
                  </w:r>
                  <w:r>
                    <w:rPr>
                      <w:color w:val="auto"/>
                    </w:rPr>
                    <w:t>。</w:t>
                  </w:r>
                </w:p>
                <w:p>
                  <w:pPr>
                    <w:pStyle w:val="63"/>
                    <w:jc w:val="both"/>
                    <w:rPr>
                      <w:color w:val="auto"/>
                    </w:rPr>
                  </w:pPr>
                  <w:r>
                    <w:rPr>
                      <w:color w:val="auto"/>
                    </w:rPr>
                    <w:t>2.</w:t>
                  </w:r>
                  <w:r>
                    <w:rPr>
                      <w:rFonts w:hint="eastAsia"/>
                      <w:color w:val="auto"/>
                      <w:lang w:eastAsia="zh-CN"/>
                    </w:rPr>
                    <w:t>本项目不涉及</w:t>
                  </w:r>
                  <w:r>
                    <w:rPr>
                      <w:color w:val="auto"/>
                      <w:lang w:val="en-US"/>
                    </w:rPr>
                    <w:t>淘汰落后产能，依法依规关停退出能耗、环保、质量、安全不达标和生产不合格产品的落后产能</w:t>
                  </w:r>
                  <w:r>
                    <w:rPr>
                      <w:rFonts w:hint="eastAsia"/>
                      <w:color w:val="auto"/>
                      <w:lang w:val="en-US" w:eastAsia="zh-CN"/>
                    </w:rPr>
                    <w:t>。</w:t>
                  </w:r>
                </w:p>
                <w:p>
                  <w:pPr>
                    <w:pStyle w:val="63"/>
                    <w:jc w:val="both"/>
                    <w:rPr>
                      <w:color w:val="auto"/>
                    </w:rPr>
                  </w:pPr>
                  <w:r>
                    <w:rPr>
                      <w:rFonts w:hint="eastAsia"/>
                      <w:color w:val="auto"/>
                      <w:lang w:eastAsia="zh-CN"/>
                    </w:rPr>
                    <w:t>3</w:t>
                  </w:r>
                  <w:r>
                    <w:rPr>
                      <w:color w:val="auto"/>
                      <w:lang w:eastAsia="zh-CN"/>
                    </w:rPr>
                    <w:t>.</w:t>
                  </w:r>
                  <w:r>
                    <w:rPr>
                      <w:rFonts w:hint="eastAsia"/>
                      <w:color w:val="auto"/>
                      <w:lang w:eastAsia="zh-CN"/>
                    </w:rPr>
                    <w:t>本</w:t>
                  </w:r>
                  <w:r>
                    <w:rPr>
                      <w:rFonts w:hint="eastAsia"/>
                      <w:color w:val="auto"/>
                      <w:lang w:val="en-US"/>
                    </w:rPr>
                    <w:t>项目</w:t>
                  </w:r>
                  <w:r>
                    <w:rPr>
                      <w:rFonts w:hint="eastAsia"/>
                      <w:color w:val="auto"/>
                      <w:lang w:val="en-US" w:eastAsia="zh-CN"/>
                    </w:rPr>
                    <w:t>针对年产3</w:t>
                  </w:r>
                  <w:r>
                    <w:rPr>
                      <w:color w:val="auto"/>
                      <w:lang w:val="en-US" w:eastAsia="zh-CN"/>
                    </w:rPr>
                    <w:t>0</w:t>
                  </w:r>
                  <w:r>
                    <w:rPr>
                      <w:rFonts w:hint="eastAsia"/>
                      <w:color w:val="auto"/>
                      <w:lang w:val="en-US" w:eastAsia="zh-CN"/>
                    </w:rPr>
                    <w:t>万吨热退火酸洗生产线建设项目进行技术改造</w:t>
                  </w:r>
                  <w:r>
                    <w:rPr>
                      <w:rFonts w:hint="eastAsia"/>
                      <w:color w:val="auto"/>
                      <w:lang w:val="en-US"/>
                    </w:rPr>
                    <w:t>，使用</w:t>
                  </w:r>
                  <w:r>
                    <w:rPr>
                      <w:rFonts w:hint="eastAsia"/>
                      <w:color w:val="auto"/>
                      <w:lang w:val="en-US" w:eastAsia="zh-CN"/>
                    </w:rPr>
                    <w:t>现有</w:t>
                  </w:r>
                  <w:r>
                    <w:rPr>
                      <w:rFonts w:hint="eastAsia"/>
                      <w:color w:val="auto"/>
                      <w:lang w:val="en-US"/>
                    </w:rPr>
                    <w:t>年产1</w:t>
                  </w:r>
                  <w:r>
                    <w:rPr>
                      <w:color w:val="auto"/>
                      <w:lang w:val="en-US"/>
                    </w:rPr>
                    <w:t>40</w:t>
                  </w:r>
                  <w:r>
                    <w:rPr>
                      <w:rFonts w:hint="eastAsia"/>
                      <w:color w:val="auto"/>
                      <w:lang w:val="en-US"/>
                    </w:rPr>
                    <w:t>万吨热轧生产线建设项目不锈钢钢卷为原料</w:t>
                  </w:r>
                  <w:r>
                    <w:rPr>
                      <w:rFonts w:hint="eastAsia"/>
                      <w:color w:val="auto"/>
                      <w:lang w:val="en-US" w:eastAsia="zh-CN"/>
                    </w:rPr>
                    <w:t>进行热退火处理，</w:t>
                  </w:r>
                  <w:r>
                    <w:rPr>
                      <w:rFonts w:hint="eastAsia"/>
                      <w:color w:val="auto"/>
                      <w:lang w:val="en-US"/>
                    </w:rPr>
                    <w:t>不涉及炼钢，不新增炼钢产能</w:t>
                  </w:r>
                  <w:r>
                    <w:rPr>
                      <w:rFonts w:hint="eastAsia"/>
                      <w:color w:val="auto"/>
                      <w:lang w:val="en-US" w:eastAsia="zh-CN"/>
                    </w:rPr>
                    <w:t>，</w:t>
                  </w:r>
                  <w:r>
                    <w:rPr>
                      <w:rFonts w:hint="eastAsia"/>
                      <w:color w:val="auto"/>
                    </w:rPr>
                    <w:t>不属于</w:t>
                  </w:r>
                  <w:r>
                    <w:rPr>
                      <w:color w:val="auto"/>
                      <w:lang w:val="en-US"/>
                    </w:rPr>
                    <w:t>“两高”项目</w:t>
                  </w:r>
                  <w:r>
                    <w:rPr>
                      <w:color w:val="auto"/>
                    </w:rPr>
                    <w:t>。</w:t>
                  </w:r>
                </w:p>
                <w:p>
                  <w:pPr>
                    <w:pStyle w:val="63"/>
                    <w:jc w:val="both"/>
                    <w:rPr>
                      <w:color w:val="auto"/>
                      <w:lang w:eastAsia="zh-CN"/>
                    </w:rPr>
                  </w:pPr>
                  <w:r>
                    <w:rPr>
                      <w:rFonts w:hint="eastAsia"/>
                      <w:color w:val="auto"/>
                      <w:lang w:eastAsia="zh-CN"/>
                    </w:rPr>
                    <w:t>4</w:t>
                  </w:r>
                  <w:r>
                    <w:rPr>
                      <w:color w:val="auto"/>
                      <w:lang w:eastAsia="zh-CN"/>
                    </w:rPr>
                    <w:t>.</w:t>
                  </w:r>
                  <w:r>
                    <w:rPr>
                      <w:rFonts w:hint="eastAsia"/>
                      <w:color w:val="auto"/>
                      <w:lang w:eastAsia="zh-CN"/>
                    </w:rPr>
                    <w:t>本项目无废水排放。</w:t>
                  </w:r>
                </w:p>
                <w:p>
                  <w:pPr>
                    <w:pStyle w:val="63"/>
                    <w:jc w:val="both"/>
                    <w:rPr>
                      <w:color w:val="auto"/>
                      <w:lang w:val="en-US" w:eastAsia="zh-CN"/>
                    </w:rPr>
                  </w:pPr>
                  <w:r>
                    <w:rPr>
                      <w:rFonts w:hint="eastAsia"/>
                      <w:color w:val="auto"/>
                      <w:lang w:eastAsia="zh-CN"/>
                    </w:rPr>
                    <w:t>5</w:t>
                  </w:r>
                  <w:r>
                    <w:rPr>
                      <w:color w:val="auto"/>
                      <w:lang w:eastAsia="zh-CN"/>
                    </w:rPr>
                    <w:t>.</w:t>
                  </w:r>
                  <w:r>
                    <w:rPr>
                      <w:rFonts w:hint="eastAsia"/>
                      <w:color w:val="auto"/>
                      <w:lang w:eastAsia="zh-CN"/>
                    </w:rPr>
                    <w:t>本项目不在</w:t>
                  </w:r>
                  <w:r>
                    <w:rPr>
                      <w:color w:val="auto"/>
                      <w:lang w:val="en-US"/>
                    </w:rPr>
                    <w:t>矣腊片区</w:t>
                  </w:r>
                  <w:r>
                    <w:rPr>
                      <w:rFonts w:hint="eastAsia"/>
                      <w:color w:val="auto"/>
                      <w:lang w:val="en-US" w:eastAsia="zh-CN"/>
                    </w:rPr>
                    <w:t>。</w:t>
                  </w:r>
                </w:p>
                <w:p>
                  <w:pPr>
                    <w:pStyle w:val="63"/>
                    <w:jc w:val="both"/>
                    <w:rPr>
                      <w:color w:val="auto"/>
                    </w:rPr>
                  </w:pPr>
                  <w:r>
                    <w:rPr>
                      <w:rFonts w:hint="eastAsia"/>
                      <w:color w:val="auto"/>
                      <w:lang w:val="en-US" w:eastAsia="zh-CN"/>
                    </w:rPr>
                    <w:t>6</w:t>
                  </w:r>
                  <w:r>
                    <w:rPr>
                      <w:color w:val="auto"/>
                      <w:lang w:val="en-US" w:eastAsia="zh-CN"/>
                    </w:rPr>
                    <w:t>.</w:t>
                  </w:r>
                  <w:r>
                    <w:rPr>
                      <w:rFonts w:hint="eastAsia"/>
                      <w:color w:val="auto"/>
                      <w:lang w:val="en-US" w:eastAsia="zh-CN"/>
                    </w:rPr>
                    <w:t>本</w:t>
                  </w:r>
                  <w:r>
                    <w:rPr>
                      <w:rFonts w:hint="eastAsia"/>
                      <w:color w:val="auto"/>
                      <w:lang w:val="en-US"/>
                    </w:rPr>
                    <w:t>项目</w:t>
                  </w:r>
                  <w:r>
                    <w:rPr>
                      <w:rFonts w:hint="eastAsia"/>
                      <w:color w:val="auto"/>
                      <w:lang w:val="en-US" w:eastAsia="zh-CN"/>
                    </w:rPr>
                    <w:t>针对年产3</w:t>
                  </w:r>
                  <w:r>
                    <w:rPr>
                      <w:color w:val="auto"/>
                      <w:lang w:val="en-US" w:eastAsia="zh-CN"/>
                    </w:rPr>
                    <w:t>0</w:t>
                  </w:r>
                  <w:r>
                    <w:rPr>
                      <w:rFonts w:hint="eastAsia"/>
                      <w:color w:val="auto"/>
                      <w:lang w:val="en-US" w:eastAsia="zh-CN"/>
                    </w:rPr>
                    <w:t>万吨热退火酸洗生产线建设项目进行技术改造</w:t>
                  </w:r>
                  <w:r>
                    <w:rPr>
                      <w:rFonts w:hint="eastAsia"/>
                      <w:color w:val="auto"/>
                      <w:lang w:val="en-US"/>
                    </w:rPr>
                    <w:t>，使用</w:t>
                  </w:r>
                  <w:r>
                    <w:rPr>
                      <w:rFonts w:hint="eastAsia"/>
                      <w:color w:val="auto"/>
                      <w:lang w:val="en-US" w:eastAsia="zh-CN"/>
                    </w:rPr>
                    <w:t>现有</w:t>
                  </w:r>
                  <w:r>
                    <w:rPr>
                      <w:rFonts w:hint="eastAsia"/>
                      <w:color w:val="auto"/>
                      <w:lang w:val="en-US"/>
                    </w:rPr>
                    <w:t>年产1</w:t>
                  </w:r>
                  <w:r>
                    <w:rPr>
                      <w:color w:val="auto"/>
                      <w:lang w:val="en-US"/>
                    </w:rPr>
                    <w:t>40</w:t>
                  </w:r>
                  <w:r>
                    <w:rPr>
                      <w:rFonts w:hint="eastAsia"/>
                      <w:color w:val="auto"/>
                      <w:lang w:val="en-US"/>
                    </w:rPr>
                    <w:t>万吨热轧生产线建设项目不锈钢钢卷为原料</w:t>
                  </w:r>
                  <w:r>
                    <w:rPr>
                      <w:rFonts w:hint="eastAsia"/>
                      <w:color w:val="auto"/>
                      <w:lang w:val="en-US" w:eastAsia="zh-CN"/>
                    </w:rPr>
                    <w:t>进行热退火处理，</w:t>
                  </w:r>
                  <w:r>
                    <w:rPr>
                      <w:rFonts w:hint="eastAsia"/>
                      <w:color w:val="auto"/>
                      <w:lang w:val="en-US"/>
                    </w:rPr>
                    <w:t>不涉及炼钢，不新增炼钢产能</w:t>
                  </w:r>
                  <w:r>
                    <w:rPr>
                      <w:rFonts w:hint="eastAsia"/>
                      <w:color w:val="auto"/>
                      <w:lang w:val="en-US" w:eastAsia="zh-CN"/>
                    </w:rPr>
                    <w:t>。</w:t>
                  </w:r>
                </w:p>
              </w:tc>
              <w:tc>
                <w:tcPr>
                  <w:tcW w:w="426" w:type="pct"/>
                  <w:vAlign w:val="center"/>
                </w:tcPr>
                <w:p>
                  <w:pPr>
                    <w:pStyle w:val="6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pct"/>
                  <w:vMerge w:val="continue"/>
                  <w:vAlign w:val="center"/>
                </w:tcPr>
                <w:p>
                  <w:pPr>
                    <w:pStyle w:val="63"/>
                    <w:rPr>
                      <w:color w:val="auto"/>
                    </w:rPr>
                  </w:pPr>
                </w:p>
              </w:tc>
              <w:tc>
                <w:tcPr>
                  <w:tcW w:w="2005" w:type="pct"/>
                  <w:vAlign w:val="center"/>
                </w:tcPr>
                <w:p>
                  <w:pPr>
                    <w:pStyle w:val="63"/>
                    <w:jc w:val="both"/>
                    <w:rPr>
                      <w:color w:val="auto"/>
                    </w:rPr>
                  </w:pPr>
                  <w:r>
                    <w:rPr>
                      <w:color w:val="auto"/>
                    </w:rPr>
                    <w:t>环境风险防控：</w:t>
                  </w:r>
                </w:p>
                <w:p>
                  <w:pPr>
                    <w:pStyle w:val="63"/>
                    <w:jc w:val="both"/>
                    <w:rPr>
                      <w:color w:val="auto"/>
                      <w:lang w:val="en-US"/>
                    </w:rPr>
                  </w:pPr>
                  <w:r>
                    <w:rPr>
                      <w:color w:val="auto"/>
                      <w:lang w:val="en-US"/>
                    </w:rPr>
                    <w:t>1.大同片区拟入园对地下水有影响的项目建设场地应严格工程地质勘察，查明岩溶发育情况，有针对性地采取防治措施，确保地下水环境安全。</w:t>
                  </w:r>
                </w:p>
                <w:p>
                  <w:pPr>
                    <w:pStyle w:val="63"/>
                    <w:jc w:val="both"/>
                    <w:rPr>
                      <w:color w:val="auto"/>
                      <w:lang w:val="en-US"/>
                    </w:rPr>
                  </w:pPr>
                  <w:r>
                    <w:rPr>
                      <w:color w:val="auto"/>
                      <w:lang w:val="en-US"/>
                    </w:rPr>
                    <w:t>2.危险废物暂存区的防渗标准应参照《危险废物贮存污染控制标准》（GB18597-2023）的要求进行防渗设计；一般工业固体废物暂存区的防渗标准应参照《一般工业固体废物贮存和填埋污染控制标准》（GB18599-2020）中的相关要求进行防渗设计。</w:t>
                  </w:r>
                </w:p>
                <w:p>
                  <w:pPr>
                    <w:pStyle w:val="63"/>
                    <w:jc w:val="both"/>
                    <w:rPr>
                      <w:color w:val="auto"/>
                      <w:lang w:val="en-US"/>
                    </w:rPr>
                  </w:pPr>
                  <w:r>
                    <w:rPr>
                      <w:color w:val="auto"/>
                      <w:lang w:val="en-US"/>
                    </w:rPr>
                    <w:t>3.在泉域保护范围以及岩溶强发育、存在较多落水洞和岩溶漏斗的区域内，不得新建、改建、扩建可能造成地下水污染的建设项目。</w:t>
                  </w:r>
                </w:p>
                <w:p>
                  <w:pPr>
                    <w:pStyle w:val="63"/>
                    <w:jc w:val="both"/>
                    <w:rPr>
                      <w:color w:val="auto"/>
                    </w:rPr>
                  </w:pPr>
                  <w:r>
                    <w:rPr>
                      <w:color w:val="auto"/>
                      <w:lang w:val="en-US"/>
                    </w:rPr>
                    <w:t>4.区域产业布局和项目建设应充分考虑对地下水的影响；对于涉及园区集中固废储存和处置设施建设，应严格做好水文地质、工程地质勘察，合理规避地下暗河及落水洞发育区，做好地下水污染防治和监控，按相关规范要求采取针对性防渗措施，确保区域地下水安全。</w:t>
                  </w:r>
                </w:p>
              </w:tc>
              <w:tc>
                <w:tcPr>
                  <w:tcW w:w="2003" w:type="pct"/>
                  <w:vAlign w:val="center"/>
                </w:tcPr>
                <w:p>
                  <w:pPr>
                    <w:pStyle w:val="63"/>
                    <w:jc w:val="both"/>
                    <w:rPr>
                      <w:color w:val="auto"/>
                    </w:rPr>
                  </w:pPr>
                  <w:r>
                    <w:rPr>
                      <w:rFonts w:hint="eastAsia"/>
                      <w:color w:val="auto"/>
                    </w:rPr>
                    <w:t>1</w:t>
                  </w:r>
                  <w:r>
                    <w:rPr>
                      <w:color w:val="auto"/>
                    </w:rPr>
                    <w:t>.根据建设单位提供的</w:t>
                  </w:r>
                  <w:r>
                    <w:rPr>
                      <w:rFonts w:hint="eastAsia"/>
                      <w:color w:val="auto"/>
                      <w:lang w:eastAsia="zh-CN"/>
                    </w:rPr>
                    <w:t>工程地质勘察</w:t>
                  </w:r>
                  <w:r>
                    <w:rPr>
                      <w:color w:val="auto"/>
                    </w:rPr>
                    <w:t>资料，师宗县地处滇东南岩溶高原中部，位于珠江流域西江水系和红河流域泸江水系的分水岭地带。地层以古生代、中生代海相沉积地层为主，陆相地层（新生界和下古生界下泥盆统）及其火成岩次之，本项目</w:t>
                  </w:r>
                  <w:r>
                    <w:rPr>
                      <w:rFonts w:hint="eastAsia"/>
                      <w:color w:val="auto"/>
                    </w:rPr>
                    <w:t>技改内容简单，不涉及重点防渗工程，对地下水影响较小，现有项目已经</w:t>
                  </w:r>
                  <w:r>
                    <w:rPr>
                      <w:color w:val="auto"/>
                    </w:rPr>
                    <w:t>落实</w:t>
                  </w:r>
                  <w:r>
                    <w:rPr>
                      <w:rFonts w:hint="eastAsia"/>
                      <w:color w:val="auto"/>
                    </w:rPr>
                    <w:t>了</w:t>
                  </w:r>
                  <w:r>
                    <w:rPr>
                      <w:color w:val="auto"/>
                    </w:rPr>
                    <w:t>各项地下水防治措施，可以有效防范地下水环境安全。</w:t>
                  </w:r>
                </w:p>
                <w:p>
                  <w:pPr>
                    <w:pStyle w:val="63"/>
                    <w:jc w:val="both"/>
                    <w:rPr>
                      <w:color w:val="auto"/>
                      <w:lang w:val="en-US" w:eastAsia="zh-CN"/>
                    </w:rPr>
                  </w:pPr>
                  <w:r>
                    <w:rPr>
                      <w:color w:val="auto"/>
                    </w:rPr>
                    <w:t>2.</w:t>
                  </w:r>
                  <w:r>
                    <w:rPr>
                      <w:rFonts w:hint="eastAsia"/>
                      <w:color w:val="auto"/>
                      <w:lang w:eastAsia="zh-CN"/>
                    </w:rPr>
                    <w:t>本项目依托的现有项目</w:t>
                  </w:r>
                  <w:r>
                    <w:rPr>
                      <w:color w:val="auto"/>
                      <w:lang w:val="en-US"/>
                    </w:rPr>
                    <w:t>危险废物暂存区的防渗</w:t>
                  </w:r>
                  <w:r>
                    <w:rPr>
                      <w:rFonts w:hint="eastAsia"/>
                      <w:color w:val="auto"/>
                      <w:lang w:val="en-US" w:eastAsia="zh-CN"/>
                    </w:rPr>
                    <w:t>按照</w:t>
                  </w:r>
                  <w:r>
                    <w:rPr>
                      <w:color w:val="auto"/>
                      <w:lang w:val="en-US"/>
                    </w:rPr>
                    <w:t>《危险废物贮存污染控制标准》（GB18597-2023）的要求进行防渗</w:t>
                  </w:r>
                  <w:r>
                    <w:rPr>
                      <w:rFonts w:hint="eastAsia"/>
                      <w:color w:val="auto"/>
                      <w:lang w:val="en-US" w:eastAsia="zh-CN"/>
                    </w:rPr>
                    <w:t>。</w:t>
                  </w:r>
                </w:p>
                <w:p>
                  <w:pPr>
                    <w:pStyle w:val="63"/>
                    <w:jc w:val="both"/>
                    <w:rPr>
                      <w:color w:val="auto"/>
                    </w:rPr>
                  </w:pPr>
                  <w:r>
                    <w:rPr>
                      <w:rFonts w:hint="eastAsia"/>
                      <w:color w:val="auto"/>
                      <w:lang w:val="en-US" w:eastAsia="zh-CN"/>
                    </w:rPr>
                    <w:t>3</w:t>
                  </w:r>
                  <w:r>
                    <w:rPr>
                      <w:color w:val="auto"/>
                      <w:lang w:val="en-US" w:eastAsia="zh-CN"/>
                    </w:rPr>
                    <w:t>.</w:t>
                  </w:r>
                  <w:r>
                    <w:rPr>
                      <w:rFonts w:hint="eastAsia"/>
                      <w:color w:val="auto"/>
                      <w:lang w:val="en-US" w:eastAsia="zh-CN"/>
                    </w:rPr>
                    <w:t>本项目用地范围内不涉及</w:t>
                  </w:r>
                  <w:r>
                    <w:rPr>
                      <w:color w:val="auto"/>
                      <w:lang w:val="en-US"/>
                    </w:rPr>
                    <w:t>泉域保护范围以及岩溶强发育、存在较多落水洞和岩溶漏斗的区域</w:t>
                  </w:r>
                  <w:r>
                    <w:rPr>
                      <w:rFonts w:hint="eastAsia"/>
                      <w:color w:val="auto"/>
                      <w:lang w:val="en-US" w:eastAsia="zh-CN"/>
                    </w:rPr>
                    <w:t>。</w:t>
                  </w:r>
                </w:p>
                <w:p>
                  <w:pPr>
                    <w:pStyle w:val="63"/>
                    <w:jc w:val="both"/>
                    <w:rPr>
                      <w:color w:val="auto"/>
                      <w:lang w:eastAsia="zh-CN"/>
                    </w:rPr>
                  </w:pPr>
                  <w:r>
                    <w:rPr>
                      <w:rFonts w:hint="eastAsia"/>
                      <w:color w:val="auto"/>
                      <w:lang w:eastAsia="zh-CN"/>
                    </w:rPr>
                    <w:t>4</w:t>
                  </w:r>
                  <w:r>
                    <w:rPr>
                      <w:color w:val="auto"/>
                      <w:lang w:eastAsia="zh-CN"/>
                    </w:rPr>
                    <w:t>.</w:t>
                  </w:r>
                  <w:r>
                    <w:rPr>
                      <w:rFonts w:hint="eastAsia"/>
                      <w:color w:val="auto"/>
                      <w:lang w:eastAsia="zh-CN"/>
                    </w:rPr>
                    <w:t>本项目不涉及</w:t>
                  </w:r>
                  <w:r>
                    <w:rPr>
                      <w:color w:val="auto"/>
                      <w:lang w:val="en-US"/>
                    </w:rPr>
                    <w:t>地下暗河及落水洞发育区</w:t>
                  </w:r>
                  <w:r>
                    <w:rPr>
                      <w:rFonts w:hint="eastAsia"/>
                      <w:color w:val="auto"/>
                      <w:lang w:val="en-US" w:eastAsia="zh-CN"/>
                    </w:rPr>
                    <w:t>。</w:t>
                  </w:r>
                </w:p>
              </w:tc>
              <w:tc>
                <w:tcPr>
                  <w:tcW w:w="426" w:type="pct"/>
                  <w:vAlign w:val="center"/>
                </w:tcPr>
                <w:p>
                  <w:pPr>
                    <w:pStyle w:val="6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pct"/>
                  <w:vMerge w:val="continue"/>
                  <w:vAlign w:val="center"/>
                </w:tcPr>
                <w:p>
                  <w:pPr>
                    <w:pStyle w:val="63"/>
                    <w:rPr>
                      <w:color w:val="auto"/>
                    </w:rPr>
                  </w:pPr>
                </w:p>
              </w:tc>
              <w:tc>
                <w:tcPr>
                  <w:tcW w:w="2005" w:type="pct"/>
                  <w:vAlign w:val="center"/>
                </w:tcPr>
                <w:p>
                  <w:pPr>
                    <w:pStyle w:val="63"/>
                    <w:jc w:val="both"/>
                    <w:rPr>
                      <w:color w:val="auto"/>
                    </w:rPr>
                  </w:pPr>
                  <w:r>
                    <w:rPr>
                      <w:color w:val="auto"/>
                    </w:rPr>
                    <w:t>资源开发效率要求：</w:t>
                  </w:r>
                </w:p>
                <w:p>
                  <w:pPr>
                    <w:pStyle w:val="63"/>
                    <w:jc w:val="both"/>
                    <w:rPr>
                      <w:color w:val="auto"/>
                      <w:lang w:val="en-US"/>
                    </w:rPr>
                  </w:pPr>
                  <w:r>
                    <w:rPr>
                      <w:color w:val="auto"/>
                      <w:lang w:val="en-US"/>
                    </w:rPr>
                    <w:t>1.积极开展生产废水的综合利用，提高园区污水中水回用率，减少排入子午河废水。</w:t>
                  </w:r>
                </w:p>
                <w:p>
                  <w:pPr>
                    <w:pStyle w:val="63"/>
                    <w:jc w:val="both"/>
                    <w:rPr>
                      <w:color w:val="auto"/>
                      <w:lang w:val="en-US"/>
                    </w:rPr>
                  </w:pPr>
                  <w:r>
                    <w:rPr>
                      <w:color w:val="auto"/>
                      <w:lang w:val="en-US"/>
                    </w:rPr>
                    <w:t>2.加强园区工业水循环利用，提高中水回用率。</w:t>
                  </w:r>
                </w:p>
                <w:p>
                  <w:pPr>
                    <w:pStyle w:val="63"/>
                    <w:jc w:val="both"/>
                    <w:rPr>
                      <w:color w:val="auto"/>
                    </w:rPr>
                  </w:pPr>
                  <w:r>
                    <w:rPr>
                      <w:color w:val="auto"/>
                      <w:lang w:val="en-US"/>
                    </w:rPr>
                    <w:t>3.推广城市中水和钢铁工业废水联合再生回用集成技术。</w:t>
                  </w:r>
                </w:p>
              </w:tc>
              <w:tc>
                <w:tcPr>
                  <w:tcW w:w="2003" w:type="pct"/>
                  <w:vAlign w:val="center"/>
                </w:tcPr>
                <w:p>
                  <w:pPr>
                    <w:pStyle w:val="63"/>
                    <w:rPr>
                      <w:color w:val="auto"/>
                    </w:rPr>
                  </w:pPr>
                  <w:r>
                    <w:rPr>
                      <w:rFonts w:hint="eastAsia"/>
                      <w:color w:val="auto"/>
                      <w:lang w:val="en-US"/>
                    </w:rPr>
                    <w:t>本项目</w:t>
                  </w:r>
                  <w:r>
                    <w:rPr>
                      <w:rFonts w:hint="eastAsia"/>
                      <w:color w:val="auto"/>
                      <w:lang w:val="en-US" w:eastAsia="zh-CN"/>
                    </w:rPr>
                    <w:t>运营期不新增生产废水和生活污水，现有项目</w:t>
                  </w:r>
                  <w:r>
                    <w:rPr>
                      <w:rFonts w:hint="eastAsia"/>
                      <w:color w:val="auto"/>
                      <w:lang w:val="en-US"/>
                    </w:rPr>
                    <w:t>生活污水依托云南天高镍业有限公司现有生活污水处理站处理回用于云南天高镍业有限公司炼钢循环补充水，不外排；软水系统正反冲洗水、浓盐水及锅炉排污水依托云南天高镍业有限公司现有生产废水处理站，经处理后回用于生产补充水，不外排</w:t>
                  </w:r>
                  <w:r>
                    <w:rPr>
                      <w:color w:val="auto"/>
                    </w:rPr>
                    <w:t>。</w:t>
                  </w:r>
                </w:p>
              </w:tc>
              <w:tc>
                <w:tcPr>
                  <w:tcW w:w="426" w:type="pct"/>
                  <w:vAlign w:val="center"/>
                </w:tcPr>
                <w:p>
                  <w:pPr>
                    <w:pStyle w:val="6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pct"/>
                  <w:vAlign w:val="center"/>
                </w:tcPr>
                <w:p>
                  <w:pPr>
                    <w:pStyle w:val="63"/>
                    <w:rPr>
                      <w:color w:val="auto"/>
                    </w:rPr>
                  </w:pPr>
                  <w:r>
                    <w:rPr>
                      <w:color w:val="auto"/>
                    </w:rPr>
                    <w:t>师宗县大气环境布局敏感重点管控单元</w:t>
                  </w:r>
                </w:p>
              </w:tc>
              <w:tc>
                <w:tcPr>
                  <w:tcW w:w="2005" w:type="pct"/>
                  <w:vAlign w:val="center"/>
                </w:tcPr>
                <w:p>
                  <w:pPr>
                    <w:pStyle w:val="63"/>
                    <w:rPr>
                      <w:color w:val="auto"/>
                    </w:rPr>
                  </w:pPr>
                  <w:r>
                    <w:rPr>
                      <w:color w:val="auto"/>
                    </w:rPr>
                    <w:t>空间布局约束：</w:t>
                  </w:r>
                </w:p>
                <w:p>
                  <w:pPr>
                    <w:pStyle w:val="63"/>
                    <w:rPr>
                      <w:color w:val="auto"/>
                    </w:rPr>
                  </w:pPr>
                  <w:r>
                    <w:rPr>
                      <w:color w:val="auto"/>
                      <w:lang w:val="en-US"/>
                    </w:rPr>
                    <w:t>优化产业布局，加强大气污染排放管控，严格论证新建、扩建钢铁、石化、化工、焦化、建材、</w:t>
                  </w:r>
                  <w:r>
                    <w:rPr>
                      <w:rFonts w:hint="eastAsia"/>
                      <w:color w:val="auto"/>
                      <w:lang w:val="en-US"/>
                    </w:rPr>
                    <w:t>有色金属冶炼</w:t>
                  </w:r>
                  <w:r>
                    <w:rPr>
                      <w:color w:val="auto"/>
                      <w:lang w:val="en-US"/>
                    </w:rPr>
                    <w:t>等高污染项目，确保大气环境质量达标。</w:t>
                  </w:r>
                </w:p>
              </w:tc>
              <w:tc>
                <w:tcPr>
                  <w:tcW w:w="2003" w:type="pct"/>
                  <w:vAlign w:val="center"/>
                </w:tcPr>
                <w:p>
                  <w:pPr>
                    <w:pStyle w:val="63"/>
                    <w:rPr>
                      <w:color w:val="auto"/>
                    </w:rPr>
                  </w:pPr>
                  <w:r>
                    <w:rPr>
                      <w:color w:val="auto"/>
                    </w:rPr>
                    <w:t>本项目</w:t>
                  </w:r>
                  <w:r>
                    <w:rPr>
                      <w:rFonts w:hint="eastAsia"/>
                      <w:color w:val="auto"/>
                      <w:lang w:eastAsia="zh-CN"/>
                    </w:rPr>
                    <w:t>符合园区规划，</w:t>
                  </w:r>
                  <w:r>
                    <w:rPr>
                      <w:color w:val="auto"/>
                    </w:rPr>
                    <w:t>大气污染物能够做到稳定达标排放。</w:t>
                  </w:r>
                </w:p>
              </w:tc>
              <w:tc>
                <w:tcPr>
                  <w:tcW w:w="426" w:type="pct"/>
                  <w:vAlign w:val="center"/>
                </w:tcPr>
                <w:p>
                  <w:pPr>
                    <w:pStyle w:val="63"/>
                    <w:rPr>
                      <w:color w:val="auto"/>
                    </w:rPr>
                  </w:pPr>
                  <w:r>
                    <w:rPr>
                      <w:color w:val="auto"/>
                    </w:rPr>
                    <w:t>符合</w:t>
                  </w:r>
                </w:p>
              </w:tc>
            </w:tr>
          </w:tbl>
          <w:p>
            <w:pPr>
              <w:ind w:firstLine="480"/>
              <w:rPr>
                <w:color w:val="auto"/>
                <w:lang w:bidi="en-US"/>
              </w:rPr>
            </w:pPr>
            <w:r>
              <w:rPr>
                <w:rFonts w:hint="eastAsia"/>
                <w:color w:val="auto"/>
              </w:rPr>
              <w:t>综上，本项目符合《曲靖市生态环境分区管控动态更新方案（2023年）》曲靖市生态环境分区管控总体要求、曲靖市重点管控单元生态环境准入清单有关要求。</w:t>
            </w:r>
          </w:p>
          <w:p>
            <w:pPr>
              <w:pStyle w:val="51"/>
              <w:spacing w:before="120" w:after="120"/>
              <w:rPr>
                <w:color w:val="auto"/>
                <w:lang w:bidi="en-US"/>
              </w:rPr>
            </w:pPr>
            <w:r>
              <w:rPr>
                <w:rFonts w:hint="eastAsia"/>
                <w:color w:val="auto"/>
                <w:lang w:bidi="en-US"/>
              </w:rPr>
              <w:t>1.</w:t>
            </w:r>
            <w:r>
              <w:rPr>
                <w:color w:val="auto"/>
                <w:lang w:bidi="en-US"/>
              </w:rPr>
              <w:t>5</w:t>
            </w:r>
            <w:r>
              <w:rPr>
                <w:rFonts w:hint="eastAsia"/>
                <w:color w:val="auto"/>
                <w:lang w:bidi="en-US"/>
              </w:rPr>
              <w:t>相关规划符合性分析</w:t>
            </w:r>
          </w:p>
          <w:p>
            <w:pPr>
              <w:pStyle w:val="56"/>
              <w:spacing w:before="60" w:after="60"/>
              <w:rPr>
                <w:bCs/>
                <w:color w:val="auto"/>
                <w:lang w:bidi="en-US"/>
              </w:rPr>
            </w:pPr>
            <w:r>
              <w:rPr>
                <w:rFonts w:hint="eastAsia"/>
                <w:color w:val="auto"/>
                <w:lang w:bidi="en-US"/>
              </w:rPr>
              <w:t>1</w:t>
            </w:r>
            <w:r>
              <w:rPr>
                <w:color w:val="auto"/>
                <w:lang w:bidi="en-US"/>
              </w:rPr>
              <w:t>.5.1</w:t>
            </w:r>
            <w:r>
              <w:rPr>
                <w:rFonts w:hint="eastAsia"/>
                <w:color w:val="auto"/>
                <w:lang w:bidi="en-US"/>
              </w:rPr>
              <w:t>与</w:t>
            </w:r>
            <w:r>
              <w:rPr>
                <w:rFonts w:hint="eastAsia"/>
                <w:color w:val="auto"/>
                <w:lang w:eastAsia="zh-CN" w:bidi="en-US"/>
              </w:rPr>
              <w:t>《</w:t>
            </w:r>
            <w:r>
              <w:rPr>
                <w:rFonts w:hint="eastAsia"/>
                <w:bCs/>
                <w:color w:val="auto"/>
                <w:lang w:bidi="en-US"/>
              </w:rPr>
              <w:t>中华人民共和国大气污染防治法</w:t>
            </w:r>
            <w:r>
              <w:rPr>
                <w:rFonts w:hint="eastAsia"/>
                <w:color w:val="auto"/>
                <w:lang w:eastAsia="zh-CN" w:bidi="en-US"/>
              </w:rPr>
              <w:t>》</w:t>
            </w:r>
            <w:r>
              <w:rPr>
                <w:rFonts w:hint="eastAsia"/>
                <w:bCs/>
                <w:color w:val="auto"/>
                <w:lang w:bidi="en-US"/>
              </w:rPr>
              <w:t>符合性分析</w:t>
            </w:r>
          </w:p>
          <w:p>
            <w:pPr>
              <w:ind w:firstLine="480"/>
              <w:rPr>
                <w:color w:val="auto"/>
                <w:lang w:bidi="en-US"/>
              </w:rPr>
            </w:pPr>
            <w:r>
              <w:rPr>
                <w:rFonts w:hint="eastAsia"/>
                <w:color w:val="auto"/>
                <w:lang w:bidi="en-US"/>
              </w:rPr>
              <w:t>项目与</w:t>
            </w:r>
            <w:r>
              <w:rPr>
                <w:rFonts w:hint="eastAsia"/>
                <w:color w:val="auto"/>
              </w:rPr>
              <w:t>《中华人民共和国大气污染防治法》（</w:t>
            </w:r>
            <w:r>
              <w:rPr>
                <w:rFonts w:hint="eastAsia"/>
                <w:color w:val="auto"/>
                <w:lang w:bidi="en-US"/>
              </w:rPr>
              <w:t>2018年10月26日修正）有关要求符合性分析见下表：</w:t>
            </w:r>
          </w:p>
          <w:p>
            <w:pPr>
              <w:pStyle w:val="66"/>
              <w:rPr>
                <w:color w:val="auto"/>
                <w:lang w:bidi="en-US"/>
              </w:rPr>
            </w:pPr>
            <w:r>
              <w:rPr>
                <w:rFonts w:hint="eastAsia"/>
                <w:color w:val="auto"/>
                <w:lang w:bidi="en-US"/>
              </w:rPr>
              <w:t>表1</w:t>
            </w:r>
            <w:r>
              <w:rPr>
                <w:color w:val="auto"/>
                <w:lang w:bidi="en-US"/>
              </w:rPr>
              <w:t xml:space="preserve">.5-1 </w:t>
            </w:r>
            <w:r>
              <w:rPr>
                <w:rFonts w:hint="eastAsia"/>
                <w:color w:val="auto"/>
                <w:lang w:bidi="en-US"/>
              </w:rPr>
              <w:t>与《中华人民共和国大气污染防治法》有关要求符合性分析一览表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2489"/>
              <w:gridCol w:w="4059"/>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pStyle w:val="63"/>
                    <w:rPr>
                      <w:color w:val="auto"/>
                      <w:lang w:bidi="en-US"/>
                    </w:rPr>
                  </w:pPr>
                  <w:r>
                    <w:rPr>
                      <w:color w:val="auto"/>
                      <w:lang w:bidi="en-US"/>
                    </w:rPr>
                    <w:t>编号</w:t>
                  </w:r>
                </w:p>
              </w:tc>
              <w:tc>
                <w:tcPr>
                  <w:tcW w:w="1599" w:type="pct"/>
                  <w:vAlign w:val="center"/>
                </w:tcPr>
                <w:p>
                  <w:pPr>
                    <w:pStyle w:val="63"/>
                    <w:rPr>
                      <w:color w:val="auto"/>
                      <w:lang w:bidi="en-US"/>
                    </w:rPr>
                  </w:pPr>
                  <w:r>
                    <w:rPr>
                      <w:color w:val="auto"/>
                      <w:lang w:bidi="en-US"/>
                    </w:rPr>
                    <w:t>分析内容</w:t>
                  </w:r>
                </w:p>
              </w:tc>
              <w:tc>
                <w:tcPr>
                  <w:tcW w:w="2607" w:type="pct"/>
                  <w:vAlign w:val="center"/>
                </w:tcPr>
                <w:p>
                  <w:pPr>
                    <w:pStyle w:val="63"/>
                    <w:rPr>
                      <w:color w:val="auto"/>
                      <w:lang w:bidi="en-US"/>
                    </w:rPr>
                  </w:pPr>
                  <w:r>
                    <w:rPr>
                      <w:color w:val="auto"/>
                      <w:lang w:bidi="en-US"/>
                    </w:rPr>
                    <w:t>项目情况</w:t>
                  </w:r>
                </w:p>
              </w:tc>
              <w:tc>
                <w:tcPr>
                  <w:tcW w:w="460" w:type="pct"/>
                  <w:vAlign w:val="center"/>
                </w:tcPr>
                <w:p>
                  <w:pPr>
                    <w:pStyle w:val="63"/>
                    <w:rPr>
                      <w:color w:val="auto"/>
                      <w:lang w:bidi="en-US"/>
                    </w:rPr>
                  </w:pPr>
                  <w:r>
                    <w:rPr>
                      <w:color w:val="auto"/>
                      <w:lang w:bidi="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restart"/>
                  <w:vAlign w:val="center"/>
                </w:tcPr>
                <w:p>
                  <w:pPr>
                    <w:pStyle w:val="63"/>
                    <w:rPr>
                      <w:color w:val="auto"/>
                      <w:lang w:bidi="en-US"/>
                    </w:rPr>
                  </w:pPr>
                  <w:r>
                    <w:rPr>
                      <w:color w:val="auto"/>
                      <w:lang w:bidi="en-US"/>
                    </w:rPr>
                    <w:t>第一条</w:t>
                  </w:r>
                </w:p>
              </w:tc>
              <w:tc>
                <w:tcPr>
                  <w:tcW w:w="4207" w:type="pct"/>
                  <w:gridSpan w:val="2"/>
                  <w:vAlign w:val="center"/>
                </w:tcPr>
                <w:p>
                  <w:pPr>
                    <w:pStyle w:val="63"/>
                    <w:rPr>
                      <w:color w:val="auto"/>
                      <w:lang w:bidi="en-US"/>
                    </w:rPr>
                  </w:pPr>
                  <w:r>
                    <w:rPr>
                      <w:color w:val="auto"/>
                      <w:lang w:bidi="en-US"/>
                    </w:rPr>
                    <w:t>一、加大综合治理力度，减少污染物排放</w:t>
                  </w:r>
                </w:p>
              </w:tc>
              <w:tc>
                <w:tcPr>
                  <w:tcW w:w="460" w:type="pct"/>
                  <w:vMerge w:val="restart"/>
                  <w:vAlign w:val="center"/>
                </w:tcPr>
                <w:p>
                  <w:pPr>
                    <w:pStyle w:val="63"/>
                    <w:rPr>
                      <w:color w:val="auto"/>
                      <w:lang w:bidi="en-US"/>
                    </w:rPr>
                  </w:pPr>
                  <w:r>
                    <w:rPr>
                      <w:color w:val="auto"/>
                      <w:lang w:bidi="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vAlign w:val="center"/>
                </w:tcPr>
                <w:p>
                  <w:pPr>
                    <w:pStyle w:val="63"/>
                    <w:rPr>
                      <w:color w:val="auto"/>
                      <w:lang w:bidi="en-US"/>
                    </w:rPr>
                  </w:pPr>
                </w:p>
              </w:tc>
              <w:tc>
                <w:tcPr>
                  <w:tcW w:w="1599" w:type="pct"/>
                  <w:vAlign w:val="center"/>
                </w:tcPr>
                <w:p>
                  <w:pPr>
                    <w:pStyle w:val="63"/>
                    <w:rPr>
                      <w:color w:val="auto"/>
                      <w:lang w:bidi="en-US"/>
                    </w:rPr>
                  </w:pPr>
                  <w:r>
                    <w:rPr>
                      <w:color w:val="auto"/>
                      <w:lang w:bidi="en-US"/>
                    </w:rPr>
                    <w:t>1、加强工业企业大气污染综合治理，全面整治燃煤小锅炉。</w:t>
                  </w:r>
                </w:p>
              </w:tc>
              <w:tc>
                <w:tcPr>
                  <w:tcW w:w="2607" w:type="pct"/>
                  <w:vAlign w:val="center"/>
                </w:tcPr>
                <w:p>
                  <w:pPr>
                    <w:pStyle w:val="63"/>
                    <w:rPr>
                      <w:color w:val="auto"/>
                      <w:lang w:bidi="en-US"/>
                    </w:rPr>
                  </w:pPr>
                  <w:r>
                    <w:rPr>
                      <w:color w:val="auto"/>
                      <w:lang w:bidi="en-US"/>
                    </w:rPr>
                    <w:t>项目运营期不涉及燃煤小锅炉</w:t>
                  </w:r>
                  <w:r>
                    <w:rPr>
                      <w:rFonts w:hint="eastAsia"/>
                      <w:color w:val="auto"/>
                      <w:lang w:bidi="en-US"/>
                    </w:rPr>
                    <w:t>，</w:t>
                  </w:r>
                  <w:r>
                    <w:rPr>
                      <w:rFonts w:hint="eastAsia"/>
                      <w:color w:val="auto"/>
                      <w:lang w:eastAsia="zh-CN" w:bidi="en-US"/>
                    </w:rPr>
                    <w:t>本次技改后热</w:t>
                  </w:r>
                  <w:r>
                    <w:rPr>
                      <w:rFonts w:hint="eastAsia"/>
                      <w:color w:val="auto"/>
                      <w:lang w:bidi="en-US"/>
                    </w:rPr>
                    <w:t>退火炉燃料为清洁能源天然气。</w:t>
                  </w:r>
                </w:p>
              </w:tc>
              <w:tc>
                <w:tcPr>
                  <w:tcW w:w="460" w:type="pct"/>
                  <w:vMerge w:val="continue"/>
                  <w:vAlign w:val="center"/>
                </w:tcPr>
                <w:p>
                  <w:pPr>
                    <w:pStyle w:val="63"/>
                    <w:rPr>
                      <w:color w:val="auto"/>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vAlign w:val="center"/>
                </w:tcPr>
                <w:p>
                  <w:pPr>
                    <w:pStyle w:val="63"/>
                    <w:rPr>
                      <w:color w:val="auto"/>
                      <w:lang w:bidi="en-US"/>
                    </w:rPr>
                  </w:pPr>
                </w:p>
              </w:tc>
              <w:tc>
                <w:tcPr>
                  <w:tcW w:w="1599" w:type="pct"/>
                  <w:vAlign w:val="center"/>
                </w:tcPr>
                <w:p>
                  <w:pPr>
                    <w:pStyle w:val="63"/>
                    <w:rPr>
                      <w:color w:val="auto"/>
                      <w:lang w:bidi="en-US"/>
                    </w:rPr>
                  </w:pPr>
                  <w:r>
                    <w:rPr>
                      <w:color w:val="auto"/>
                      <w:lang w:bidi="en-US"/>
                    </w:rPr>
                    <w:t>2、深化面</w:t>
                  </w:r>
                  <w:r>
                    <w:rPr>
                      <w:rFonts w:hint="eastAsia"/>
                      <w:color w:val="auto"/>
                      <w:lang w:eastAsia="zh-CN" w:bidi="en-US"/>
                    </w:rPr>
                    <w:t>源</w:t>
                  </w:r>
                  <w:r>
                    <w:rPr>
                      <w:color w:val="auto"/>
                      <w:lang w:bidi="en-US"/>
                    </w:rPr>
                    <w:t>污染治理。综合整治城市扬尘。</w:t>
                  </w:r>
                </w:p>
              </w:tc>
              <w:tc>
                <w:tcPr>
                  <w:tcW w:w="2607" w:type="pct"/>
                  <w:vAlign w:val="center"/>
                </w:tcPr>
                <w:p>
                  <w:pPr>
                    <w:pStyle w:val="63"/>
                    <w:rPr>
                      <w:color w:val="auto"/>
                      <w:lang w:bidi="en-US"/>
                    </w:rPr>
                  </w:pPr>
                  <w:r>
                    <w:rPr>
                      <w:rFonts w:hint="eastAsia"/>
                      <w:color w:val="auto"/>
                      <w:lang w:bidi="en-US"/>
                    </w:rPr>
                    <w:t>本项目</w:t>
                  </w:r>
                  <w:r>
                    <w:rPr>
                      <w:rFonts w:hint="eastAsia"/>
                      <w:color w:val="auto"/>
                      <w:lang w:eastAsia="zh-CN" w:bidi="en-US"/>
                    </w:rPr>
                    <w:t>热</w:t>
                  </w:r>
                  <w:r>
                    <w:rPr>
                      <w:rFonts w:hint="eastAsia"/>
                      <w:color w:val="auto"/>
                      <w:lang w:bidi="en-US"/>
                    </w:rPr>
                    <w:t>退火炉烟气通过</w:t>
                  </w:r>
                  <w:r>
                    <w:rPr>
                      <w:rFonts w:hint="eastAsia"/>
                      <w:color w:val="auto"/>
                      <w:lang w:eastAsia="zh-CN" w:bidi="en-US"/>
                    </w:rPr>
                    <w:t>现有项目D</w:t>
                  </w:r>
                  <w:r>
                    <w:rPr>
                      <w:color w:val="auto"/>
                      <w:lang w:eastAsia="zh-CN" w:bidi="en-US"/>
                    </w:rPr>
                    <w:t>A003</w:t>
                  </w:r>
                  <w:r>
                    <w:rPr>
                      <w:rFonts w:hint="eastAsia"/>
                      <w:color w:val="auto"/>
                      <w:lang w:eastAsia="zh-CN" w:bidi="en-US"/>
                    </w:rPr>
                    <w:t>废气排放口排放</w:t>
                  </w:r>
                  <w:r>
                    <w:rPr>
                      <w:rFonts w:hint="eastAsia"/>
                      <w:color w:val="auto"/>
                      <w:lang w:bidi="en-US"/>
                    </w:rPr>
                    <w:t>。</w:t>
                  </w:r>
                </w:p>
              </w:tc>
              <w:tc>
                <w:tcPr>
                  <w:tcW w:w="460" w:type="pct"/>
                  <w:vMerge w:val="continue"/>
                  <w:vAlign w:val="center"/>
                </w:tcPr>
                <w:p>
                  <w:pPr>
                    <w:pStyle w:val="63"/>
                    <w:rPr>
                      <w:color w:val="auto"/>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vAlign w:val="center"/>
                </w:tcPr>
                <w:p>
                  <w:pPr>
                    <w:pStyle w:val="63"/>
                    <w:rPr>
                      <w:color w:val="auto"/>
                      <w:lang w:bidi="en-US"/>
                    </w:rPr>
                  </w:pPr>
                </w:p>
              </w:tc>
              <w:tc>
                <w:tcPr>
                  <w:tcW w:w="1599" w:type="pct"/>
                  <w:vAlign w:val="center"/>
                </w:tcPr>
                <w:p>
                  <w:pPr>
                    <w:pStyle w:val="63"/>
                    <w:rPr>
                      <w:color w:val="auto"/>
                      <w:lang w:bidi="en-US"/>
                    </w:rPr>
                  </w:pPr>
                  <w:r>
                    <w:rPr>
                      <w:color w:val="auto"/>
                      <w:lang w:bidi="en-US"/>
                    </w:rPr>
                    <w:t>3、强化移动源污染防治。加强城市交通管理。</w:t>
                  </w:r>
                </w:p>
              </w:tc>
              <w:tc>
                <w:tcPr>
                  <w:tcW w:w="2607" w:type="pct"/>
                  <w:vAlign w:val="center"/>
                </w:tcPr>
                <w:p>
                  <w:pPr>
                    <w:pStyle w:val="63"/>
                    <w:rPr>
                      <w:color w:val="auto"/>
                      <w:lang w:bidi="en-US"/>
                    </w:rPr>
                  </w:pPr>
                  <w:r>
                    <w:rPr>
                      <w:rFonts w:hint="eastAsia"/>
                      <w:color w:val="auto"/>
                      <w:lang w:bidi="en-US"/>
                    </w:rPr>
                    <w:t>本</w:t>
                  </w:r>
                  <w:r>
                    <w:rPr>
                      <w:color w:val="auto"/>
                      <w:lang w:bidi="en-US"/>
                    </w:rPr>
                    <w:t>项目施工期运输扬尘经采取车辆限速限载、洒水降尘后，对周围环境影响较小。</w:t>
                  </w:r>
                </w:p>
              </w:tc>
              <w:tc>
                <w:tcPr>
                  <w:tcW w:w="460" w:type="pct"/>
                  <w:vMerge w:val="continue"/>
                  <w:vAlign w:val="center"/>
                </w:tcPr>
                <w:p>
                  <w:pPr>
                    <w:pStyle w:val="63"/>
                    <w:rPr>
                      <w:color w:val="auto"/>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restart"/>
                  <w:vAlign w:val="center"/>
                </w:tcPr>
                <w:p>
                  <w:pPr>
                    <w:pStyle w:val="63"/>
                    <w:rPr>
                      <w:color w:val="auto"/>
                      <w:lang w:bidi="en-US"/>
                    </w:rPr>
                  </w:pPr>
                  <w:r>
                    <w:rPr>
                      <w:color w:val="auto"/>
                      <w:lang w:bidi="en-US"/>
                    </w:rPr>
                    <w:t>第二条</w:t>
                  </w:r>
                </w:p>
              </w:tc>
              <w:tc>
                <w:tcPr>
                  <w:tcW w:w="4207" w:type="pct"/>
                  <w:gridSpan w:val="2"/>
                  <w:vAlign w:val="center"/>
                </w:tcPr>
                <w:p>
                  <w:pPr>
                    <w:pStyle w:val="63"/>
                    <w:rPr>
                      <w:color w:val="auto"/>
                      <w:lang w:bidi="en-US"/>
                    </w:rPr>
                  </w:pPr>
                  <w:r>
                    <w:rPr>
                      <w:color w:val="auto"/>
                      <w:lang w:bidi="en-US"/>
                    </w:rPr>
                    <w:t>二、调整优化产业结构，推动产业转型升级</w:t>
                  </w:r>
                </w:p>
              </w:tc>
              <w:tc>
                <w:tcPr>
                  <w:tcW w:w="460" w:type="pct"/>
                  <w:vMerge w:val="restart"/>
                  <w:vAlign w:val="center"/>
                </w:tcPr>
                <w:p>
                  <w:pPr>
                    <w:pStyle w:val="63"/>
                    <w:rPr>
                      <w:color w:val="auto"/>
                      <w:lang w:bidi="en-US"/>
                    </w:rPr>
                  </w:pPr>
                  <w:r>
                    <w:rPr>
                      <w:color w:val="auto"/>
                      <w:lang w:bidi="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vAlign w:val="center"/>
                </w:tcPr>
                <w:p>
                  <w:pPr>
                    <w:pStyle w:val="63"/>
                    <w:rPr>
                      <w:color w:val="auto"/>
                      <w:lang w:bidi="en-US"/>
                    </w:rPr>
                  </w:pPr>
                </w:p>
              </w:tc>
              <w:tc>
                <w:tcPr>
                  <w:tcW w:w="1599" w:type="pct"/>
                  <w:vAlign w:val="center"/>
                </w:tcPr>
                <w:p>
                  <w:pPr>
                    <w:pStyle w:val="63"/>
                    <w:rPr>
                      <w:color w:val="auto"/>
                      <w:lang w:bidi="en-US"/>
                    </w:rPr>
                  </w:pPr>
                  <w:r>
                    <w:rPr>
                      <w:color w:val="auto"/>
                      <w:lang w:bidi="en-US"/>
                    </w:rPr>
                    <w:t>1、严控“两高”行业新增产能。严格控制“两高”行业新增产能，新、改、扩建项目要实行产能等量或减</w:t>
                  </w:r>
                  <w:r>
                    <w:rPr>
                      <w:rFonts w:hint="eastAsia"/>
                      <w:color w:val="auto"/>
                      <w:lang w:eastAsia="zh-CN" w:bidi="en-US"/>
                    </w:rPr>
                    <w:t>量处</w:t>
                  </w:r>
                  <w:r>
                    <w:rPr>
                      <w:color w:val="auto"/>
                      <w:lang w:bidi="en-US"/>
                    </w:rPr>
                    <w:t>置。</w:t>
                  </w:r>
                </w:p>
              </w:tc>
              <w:tc>
                <w:tcPr>
                  <w:tcW w:w="2607" w:type="pct"/>
                  <w:vAlign w:val="center"/>
                </w:tcPr>
                <w:p>
                  <w:pPr>
                    <w:pStyle w:val="63"/>
                    <w:rPr>
                      <w:color w:val="auto"/>
                      <w:lang w:bidi="en-US"/>
                    </w:rPr>
                  </w:pPr>
                  <w:r>
                    <w:rPr>
                      <w:color w:val="auto"/>
                      <w:lang w:bidi="en-US"/>
                    </w:rPr>
                    <w:t>本项目不属于“两高”行业。</w:t>
                  </w:r>
                </w:p>
              </w:tc>
              <w:tc>
                <w:tcPr>
                  <w:tcW w:w="460" w:type="pct"/>
                  <w:vMerge w:val="continue"/>
                  <w:vAlign w:val="center"/>
                </w:tcPr>
                <w:p>
                  <w:pPr>
                    <w:pStyle w:val="63"/>
                    <w:rPr>
                      <w:color w:val="auto"/>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vAlign w:val="center"/>
                </w:tcPr>
                <w:p>
                  <w:pPr>
                    <w:pStyle w:val="63"/>
                    <w:rPr>
                      <w:color w:val="auto"/>
                      <w:lang w:bidi="en-US"/>
                    </w:rPr>
                  </w:pPr>
                </w:p>
              </w:tc>
              <w:tc>
                <w:tcPr>
                  <w:tcW w:w="1599" w:type="pct"/>
                  <w:vAlign w:val="center"/>
                </w:tcPr>
                <w:p>
                  <w:pPr>
                    <w:pStyle w:val="63"/>
                    <w:rPr>
                      <w:color w:val="auto"/>
                      <w:lang w:bidi="en-US"/>
                    </w:rPr>
                  </w:pPr>
                  <w:r>
                    <w:rPr>
                      <w:color w:val="auto"/>
                      <w:lang w:bidi="en-US"/>
                    </w:rPr>
                    <w:t>2、加快淘汰落后产能。</w:t>
                  </w:r>
                </w:p>
              </w:tc>
              <w:tc>
                <w:tcPr>
                  <w:tcW w:w="2607" w:type="pct"/>
                  <w:vAlign w:val="center"/>
                </w:tcPr>
                <w:p>
                  <w:pPr>
                    <w:pStyle w:val="63"/>
                    <w:rPr>
                      <w:color w:val="auto"/>
                      <w:lang w:bidi="en-US"/>
                    </w:rPr>
                  </w:pPr>
                  <w:r>
                    <w:rPr>
                      <w:rFonts w:hint="eastAsia"/>
                      <w:color w:val="auto"/>
                      <w:lang w:bidi="en-US"/>
                    </w:rPr>
                    <w:t>本项目</w:t>
                  </w:r>
                  <w:r>
                    <w:rPr>
                      <w:color w:val="auto"/>
                      <w:lang w:bidi="en-US"/>
                    </w:rPr>
                    <w:t>属于国民经济行业“</w:t>
                  </w:r>
                  <w:r>
                    <w:rPr>
                      <w:rFonts w:hint="eastAsia"/>
                      <w:color w:val="auto"/>
                      <w:lang w:bidi="en-US"/>
                    </w:rPr>
                    <w:t>C3130钢压延加工</w:t>
                  </w:r>
                  <w:r>
                    <w:rPr>
                      <w:color w:val="auto"/>
                      <w:lang w:bidi="en-US"/>
                    </w:rPr>
                    <w:t>”，不属</w:t>
                  </w:r>
                  <w:r>
                    <w:rPr>
                      <w:rFonts w:hint="eastAsia"/>
                      <w:color w:val="auto"/>
                      <w:lang w:eastAsia="zh-CN" w:bidi="en-US"/>
                    </w:rPr>
                    <w:t>于</w:t>
                  </w:r>
                  <w:r>
                    <w:rPr>
                      <w:color w:val="auto"/>
                      <w:lang w:bidi="en-US"/>
                    </w:rPr>
                    <w:t>《产业结构调整指导目录》（2024年本）中的鼓励类、限制类项目，为允许建设项目；且已由</w:t>
                  </w:r>
                  <w:r>
                    <w:rPr>
                      <w:rFonts w:hint="eastAsia"/>
                      <w:color w:val="auto"/>
                      <w:lang w:bidi="en-US"/>
                    </w:rPr>
                    <w:t>师宗</w:t>
                  </w:r>
                  <w:r>
                    <w:rPr>
                      <w:color w:val="auto"/>
                      <w:lang w:bidi="en-US"/>
                    </w:rPr>
                    <w:t>县发展和改革局批准备案</w:t>
                  </w:r>
                  <w:r>
                    <w:rPr>
                      <w:rFonts w:hint="eastAsia"/>
                      <w:color w:val="auto"/>
                      <w:lang w:bidi="en-US"/>
                    </w:rPr>
                    <w:t>。</w:t>
                  </w:r>
                </w:p>
              </w:tc>
              <w:tc>
                <w:tcPr>
                  <w:tcW w:w="460" w:type="pct"/>
                  <w:vMerge w:val="continue"/>
                  <w:vAlign w:val="center"/>
                </w:tcPr>
                <w:p>
                  <w:pPr>
                    <w:pStyle w:val="63"/>
                    <w:rPr>
                      <w:color w:val="auto"/>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vAlign w:val="center"/>
                </w:tcPr>
                <w:p>
                  <w:pPr>
                    <w:pStyle w:val="63"/>
                    <w:rPr>
                      <w:color w:val="auto"/>
                      <w:lang w:bidi="en-US"/>
                    </w:rPr>
                  </w:pPr>
                </w:p>
              </w:tc>
              <w:tc>
                <w:tcPr>
                  <w:tcW w:w="1599" w:type="pct"/>
                  <w:vAlign w:val="center"/>
                </w:tcPr>
                <w:p>
                  <w:pPr>
                    <w:pStyle w:val="63"/>
                    <w:rPr>
                      <w:color w:val="auto"/>
                      <w:lang w:bidi="en-US"/>
                    </w:rPr>
                  </w:pPr>
                  <w:r>
                    <w:rPr>
                      <w:color w:val="auto"/>
                      <w:lang w:bidi="en-US"/>
                    </w:rPr>
                    <w:t>3、压缩过剩产能。</w:t>
                  </w:r>
                </w:p>
              </w:tc>
              <w:tc>
                <w:tcPr>
                  <w:tcW w:w="2607" w:type="pct"/>
                  <w:vAlign w:val="center"/>
                </w:tcPr>
                <w:p>
                  <w:pPr>
                    <w:pStyle w:val="63"/>
                    <w:rPr>
                      <w:color w:val="auto"/>
                      <w:lang w:bidi="en-US"/>
                    </w:rPr>
                  </w:pPr>
                  <w:r>
                    <w:rPr>
                      <w:color w:val="auto"/>
                      <w:lang w:bidi="en-US"/>
                    </w:rPr>
                    <w:t>本项目不属于产能过剩项目</w:t>
                  </w:r>
                  <w:r>
                    <w:rPr>
                      <w:rFonts w:hint="eastAsia"/>
                      <w:color w:val="auto"/>
                      <w:lang w:eastAsia="zh-CN" w:bidi="en-US"/>
                    </w:rPr>
                    <w:t>。</w:t>
                  </w:r>
                </w:p>
              </w:tc>
              <w:tc>
                <w:tcPr>
                  <w:tcW w:w="460" w:type="pct"/>
                  <w:vMerge w:val="continue"/>
                  <w:vAlign w:val="center"/>
                </w:tcPr>
                <w:p>
                  <w:pPr>
                    <w:pStyle w:val="63"/>
                    <w:rPr>
                      <w:color w:val="auto"/>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vAlign w:val="center"/>
                </w:tcPr>
                <w:p>
                  <w:pPr>
                    <w:pStyle w:val="63"/>
                    <w:rPr>
                      <w:color w:val="auto"/>
                      <w:lang w:bidi="en-US"/>
                    </w:rPr>
                  </w:pPr>
                </w:p>
              </w:tc>
              <w:tc>
                <w:tcPr>
                  <w:tcW w:w="1599" w:type="pct"/>
                  <w:vAlign w:val="center"/>
                </w:tcPr>
                <w:p>
                  <w:pPr>
                    <w:pStyle w:val="63"/>
                    <w:rPr>
                      <w:color w:val="auto"/>
                      <w:lang w:bidi="en-US"/>
                    </w:rPr>
                  </w:pPr>
                  <w:r>
                    <w:rPr>
                      <w:color w:val="auto"/>
                      <w:lang w:bidi="en-US"/>
                    </w:rPr>
                    <w:t>4、停建产能严重过剩行业违规在建项目。</w:t>
                  </w:r>
                </w:p>
              </w:tc>
              <w:tc>
                <w:tcPr>
                  <w:tcW w:w="2607" w:type="pct"/>
                  <w:vAlign w:val="center"/>
                </w:tcPr>
                <w:p>
                  <w:pPr>
                    <w:pStyle w:val="63"/>
                    <w:rPr>
                      <w:color w:val="auto"/>
                      <w:lang w:eastAsia="zh-CN" w:bidi="en-US"/>
                    </w:rPr>
                  </w:pPr>
                  <w:r>
                    <w:rPr>
                      <w:color w:val="auto"/>
                      <w:lang w:bidi="en-US"/>
                    </w:rPr>
                    <w:t>本</w:t>
                  </w:r>
                  <w:r>
                    <w:rPr>
                      <w:rFonts w:hint="eastAsia"/>
                      <w:color w:val="auto"/>
                      <w:lang w:eastAsia="zh-CN" w:bidi="en-US"/>
                    </w:rPr>
                    <w:t>项</w:t>
                  </w:r>
                  <w:r>
                    <w:rPr>
                      <w:color w:val="auto"/>
                      <w:lang w:bidi="en-US"/>
                    </w:rPr>
                    <w:t>目不属于产能严重过剩行业违规在建项目</w:t>
                  </w:r>
                  <w:r>
                    <w:rPr>
                      <w:rFonts w:hint="eastAsia"/>
                      <w:color w:val="auto"/>
                      <w:lang w:eastAsia="zh-CN" w:bidi="en-US"/>
                    </w:rPr>
                    <w:t>。</w:t>
                  </w:r>
                </w:p>
              </w:tc>
              <w:tc>
                <w:tcPr>
                  <w:tcW w:w="460" w:type="pct"/>
                  <w:vMerge w:val="continue"/>
                  <w:vAlign w:val="center"/>
                </w:tcPr>
                <w:p>
                  <w:pPr>
                    <w:pStyle w:val="63"/>
                    <w:rPr>
                      <w:color w:val="auto"/>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restart"/>
                  <w:vAlign w:val="center"/>
                </w:tcPr>
                <w:p>
                  <w:pPr>
                    <w:pStyle w:val="63"/>
                    <w:rPr>
                      <w:color w:val="auto"/>
                      <w:lang w:bidi="en-US"/>
                    </w:rPr>
                  </w:pPr>
                  <w:r>
                    <w:rPr>
                      <w:color w:val="auto"/>
                      <w:lang w:bidi="en-US"/>
                    </w:rPr>
                    <w:t>第四条</w:t>
                  </w:r>
                </w:p>
              </w:tc>
              <w:tc>
                <w:tcPr>
                  <w:tcW w:w="4207" w:type="pct"/>
                  <w:gridSpan w:val="2"/>
                  <w:vAlign w:val="center"/>
                </w:tcPr>
                <w:p>
                  <w:pPr>
                    <w:pStyle w:val="63"/>
                    <w:rPr>
                      <w:color w:val="auto"/>
                      <w:lang w:bidi="en-US"/>
                    </w:rPr>
                  </w:pPr>
                  <w:r>
                    <w:rPr>
                      <w:color w:val="auto"/>
                      <w:lang w:bidi="en-US"/>
                    </w:rPr>
                    <w:t>四</w:t>
                  </w:r>
                  <w:r>
                    <w:rPr>
                      <w:rFonts w:hint="eastAsia"/>
                      <w:color w:val="auto"/>
                      <w:lang w:eastAsia="zh-CN" w:bidi="en-US"/>
                    </w:rPr>
                    <w:t>、</w:t>
                  </w:r>
                  <w:r>
                    <w:rPr>
                      <w:color w:val="auto"/>
                      <w:lang w:bidi="en-US"/>
                    </w:rPr>
                    <w:t>加快调整能源结构，增加清洁能源供应</w:t>
                  </w:r>
                </w:p>
              </w:tc>
              <w:tc>
                <w:tcPr>
                  <w:tcW w:w="460" w:type="pct"/>
                  <w:vMerge w:val="restart"/>
                  <w:vAlign w:val="center"/>
                </w:tcPr>
                <w:p>
                  <w:pPr>
                    <w:pStyle w:val="63"/>
                    <w:rPr>
                      <w:color w:val="auto"/>
                      <w:lang w:bidi="en-US"/>
                    </w:rPr>
                  </w:pPr>
                  <w:r>
                    <w:rPr>
                      <w:color w:val="auto"/>
                      <w:lang w:bidi="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vAlign w:val="center"/>
                </w:tcPr>
                <w:p>
                  <w:pPr>
                    <w:pStyle w:val="63"/>
                    <w:rPr>
                      <w:color w:val="auto"/>
                      <w:lang w:bidi="en-US"/>
                    </w:rPr>
                  </w:pPr>
                </w:p>
              </w:tc>
              <w:tc>
                <w:tcPr>
                  <w:tcW w:w="1599" w:type="pct"/>
                  <w:vAlign w:val="center"/>
                </w:tcPr>
                <w:p>
                  <w:pPr>
                    <w:pStyle w:val="63"/>
                    <w:rPr>
                      <w:color w:val="auto"/>
                      <w:lang w:bidi="en-US"/>
                    </w:rPr>
                  </w:pPr>
                  <w:r>
                    <w:rPr>
                      <w:color w:val="auto"/>
                      <w:lang w:bidi="en-US"/>
                    </w:rPr>
                    <w:t>1、控制煤炭消费总量。</w:t>
                  </w:r>
                </w:p>
              </w:tc>
              <w:tc>
                <w:tcPr>
                  <w:tcW w:w="2607" w:type="pct"/>
                  <w:vMerge w:val="restart"/>
                  <w:vAlign w:val="center"/>
                </w:tcPr>
                <w:p>
                  <w:pPr>
                    <w:pStyle w:val="63"/>
                    <w:rPr>
                      <w:color w:val="auto"/>
                      <w:lang w:bidi="en-US"/>
                    </w:rPr>
                  </w:pPr>
                  <w:r>
                    <w:rPr>
                      <w:color w:val="auto"/>
                      <w:lang w:bidi="en-US"/>
                    </w:rPr>
                    <w:t>本项目运营期采用</w:t>
                  </w:r>
                  <w:r>
                    <w:rPr>
                      <w:rFonts w:hint="eastAsia"/>
                      <w:color w:val="auto"/>
                      <w:lang w:bidi="en-US"/>
                    </w:rPr>
                    <w:t>清洁能源天然气</w:t>
                  </w:r>
                  <w:r>
                    <w:rPr>
                      <w:color w:val="auto"/>
                      <w:lang w:bidi="en-US"/>
                    </w:rPr>
                    <w:t>，不涉及燃煤等燃料。</w:t>
                  </w:r>
                </w:p>
              </w:tc>
              <w:tc>
                <w:tcPr>
                  <w:tcW w:w="460" w:type="pct"/>
                  <w:vMerge w:val="continue"/>
                  <w:vAlign w:val="center"/>
                </w:tcPr>
                <w:p>
                  <w:pPr>
                    <w:pStyle w:val="63"/>
                    <w:rPr>
                      <w:color w:val="auto"/>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vAlign w:val="center"/>
                </w:tcPr>
                <w:p>
                  <w:pPr>
                    <w:pStyle w:val="63"/>
                    <w:rPr>
                      <w:color w:val="auto"/>
                      <w:lang w:bidi="en-US"/>
                    </w:rPr>
                  </w:pPr>
                </w:p>
              </w:tc>
              <w:tc>
                <w:tcPr>
                  <w:tcW w:w="1599" w:type="pct"/>
                  <w:vAlign w:val="center"/>
                </w:tcPr>
                <w:p>
                  <w:pPr>
                    <w:pStyle w:val="63"/>
                    <w:rPr>
                      <w:color w:val="auto"/>
                      <w:lang w:bidi="en-US"/>
                    </w:rPr>
                  </w:pPr>
                  <w:r>
                    <w:rPr>
                      <w:color w:val="auto"/>
                      <w:lang w:bidi="en-US"/>
                    </w:rPr>
                    <w:t>2、加快清洁能源替代利用。</w:t>
                  </w:r>
                </w:p>
              </w:tc>
              <w:tc>
                <w:tcPr>
                  <w:tcW w:w="2607" w:type="pct"/>
                  <w:vMerge w:val="continue"/>
                  <w:vAlign w:val="center"/>
                </w:tcPr>
                <w:p>
                  <w:pPr>
                    <w:pStyle w:val="63"/>
                    <w:rPr>
                      <w:color w:val="auto"/>
                      <w:lang w:bidi="en-US"/>
                    </w:rPr>
                  </w:pPr>
                </w:p>
              </w:tc>
              <w:tc>
                <w:tcPr>
                  <w:tcW w:w="460" w:type="pct"/>
                  <w:vMerge w:val="continue"/>
                  <w:vAlign w:val="center"/>
                </w:tcPr>
                <w:p>
                  <w:pPr>
                    <w:pStyle w:val="63"/>
                    <w:rPr>
                      <w:color w:val="auto"/>
                      <w:lang w:bidi="en-US"/>
                    </w:rPr>
                  </w:pPr>
                </w:p>
              </w:tc>
            </w:tr>
          </w:tbl>
          <w:p>
            <w:pPr>
              <w:ind w:firstLine="480"/>
              <w:rPr>
                <w:color w:val="auto"/>
                <w:lang w:bidi="en-US"/>
              </w:rPr>
            </w:pPr>
            <w:r>
              <w:rPr>
                <w:rFonts w:hint="eastAsia"/>
                <w:color w:val="auto"/>
              </w:rPr>
              <w:t>综上，项目建设符合《中华人民共和国大气污染防治法》（</w:t>
            </w:r>
            <w:r>
              <w:rPr>
                <w:rFonts w:hint="eastAsia"/>
                <w:color w:val="auto"/>
                <w:lang w:bidi="en-US"/>
              </w:rPr>
              <w:t>2018年10月26日修正）有关要求。</w:t>
            </w:r>
          </w:p>
          <w:p>
            <w:pPr>
              <w:ind w:firstLine="480"/>
              <w:rPr>
                <w:color w:val="auto"/>
              </w:rPr>
            </w:pPr>
            <w:r>
              <w:rPr>
                <w:color w:val="auto"/>
                <w:lang w:bidi="en-US"/>
              </w:rPr>
              <w:t xml:space="preserve">  </w:t>
            </w:r>
          </w:p>
          <w:p>
            <w:pPr>
              <w:pStyle w:val="56"/>
              <w:spacing w:before="60" w:after="60"/>
              <w:rPr>
                <w:color w:val="auto"/>
              </w:rPr>
            </w:pPr>
            <w:r>
              <w:rPr>
                <w:rFonts w:hint="eastAsia"/>
                <w:color w:val="auto"/>
              </w:rPr>
              <w:t>1.</w:t>
            </w:r>
            <w:r>
              <w:rPr>
                <w:color w:val="auto"/>
              </w:rPr>
              <w:t>5</w:t>
            </w:r>
            <w:r>
              <w:rPr>
                <w:rFonts w:hint="eastAsia"/>
                <w:color w:val="auto"/>
              </w:rPr>
              <w:t>.</w:t>
            </w:r>
            <w:r>
              <w:rPr>
                <w:color w:val="auto"/>
              </w:rPr>
              <w:t>2</w:t>
            </w:r>
            <w:r>
              <w:rPr>
                <w:rFonts w:hint="eastAsia"/>
                <w:color w:val="auto"/>
              </w:rPr>
              <w:t>与</w:t>
            </w:r>
            <w:r>
              <w:rPr>
                <w:rFonts w:hint="eastAsia"/>
                <w:bCs/>
                <w:color w:val="auto"/>
              </w:rPr>
              <w:t xml:space="preserve">中共中央 </w:t>
            </w:r>
            <w:r>
              <w:rPr>
                <w:rFonts w:hint="eastAsia"/>
                <w:color w:val="auto"/>
              </w:rPr>
              <w:t>国务院</w:t>
            </w:r>
            <w:r>
              <w:rPr>
                <w:color w:val="auto"/>
              </w:rPr>
              <w:t>关于</w:t>
            </w:r>
            <w:r>
              <w:rPr>
                <w:rFonts w:hint="eastAsia"/>
                <w:color w:val="auto"/>
              </w:rPr>
              <w:t>深入打好污染防治攻坚战</w:t>
            </w:r>
            <w:r>
              <w:rPr>
                <w:color w:val="auto"/>
              </w:rPr>
              <w:t>的</w:t>
            </w:r>
            <w:r>
              <w:rPr>
                <w:rFonts w:hint="eastAsia"/>
                <w:color w:val="auto"/>
              </w:rPr>
              <w:t>意见符合性分析</w:t>
            </w:r>
          </w:p>
          <w:p>
            <w:pPr>
              <w:pStyle w:val="8"/>
              <w:ind w:firstLine="480"/>
              <w:rPr>
                <w:color w:val="auto"/>
              </w:rPr>
            </w:pPr>
            <w:r>
              <w:rPr>
                <w:rFonts w:hint="eastAsia"/>
                <w:color w:val="auto"/>
              </w:rPr>
              <w:t>根据2021</w:t>
            </w:r>
            <w:r>
              <w:rPr>
                <w:color w:val="auto"/>
              </w:rPr>
              <w:t>年</w:t>
            </w:r>
            <w:r>
              <w:rPr>
                <w:rFonts w:hint="eastAsia"/>
                <w:color w:val="auto"/>
              </w:rPr>
              <w:t>11</w:t>
            </w:r>
            <w:r>
              <w:rPr>
                <w:color w:val="auto"/>
              </w:rPr>
              <w:t>月2日</w:t>
            </w:r>
            <w:r>
              <w:rPr>
                <w:rFonts w:hint="eastAsia"/>
                <w:color w:val="auto"/>
              </w:rPr>
              <w:t>发布的</w:t>
            </w:r>
            <w:r>
              <w:rPr>
                <w:rFonts w:hint="eastAsia"/>
                <w:bCs/>
                <w:color w:val="auto"/>
              </w:rPr>
              <w:t xml:space="preserve">中共中央 </w:t>
            </w:r>
            <w:r>
              <w:rPr>
                <w:color w:val="auto"/>
              </w:rPr>
              <w:t>国务院关于</w:t>
            </w:r>
            <w:r>
              <w:rPr>
                <w:rFonts w:hint="eastAsia"/>
                <w:color w:val="auto"/>
              </w:rPr>
              <w:t>深入打好污染防治攻坚战</w:t>
            </w:r>
            <w:r>
              <w:rPr>
                <w:color w:val="auto"/>
              </w:rPr>
              <w:t>的</w:t>
            </w:r>
            <w:r>
              <w:rPr>
                <w:rFonts w:hint="eastAsia"/>
                <w:color w:val="auto"/>
              </w:rPr>
              <w:t>意见要求，本项目与意见相符性分析具体见下表：</w:t>
            </w:r>
          </w:p>
          <w:p>
            <w:pPr>
              <w:pStyle w:val="66"/>
              <w:rPr>
                <w:color w:val="auto"/>
              </w:rPr>
            </w:pPr>
            <w:r>
              <w:rPr>
                <w:rFonts w:hint="eastAsia"/>
                <w:color w:val="auto"/>
              </w:rPr>
              <w:t>表1.</w:t>
            </w:r>
            <w:r>
              <w:rPr>
                <w:color w:val="auto"/>
              </w:rPr>
              <w:t>5</w:t>
            </w:r>
            <w:r>
              <w:rPr>
                <w:rFonts w:hint="eastAsia"/>
                <w:color w:val="auto"/>
              </w:rPr>
              <w:t>-</w:t>
            </w:r>
            <w:r>
              <w:rPr>
                <w:color w:val="auto"/>
              </w:rPr>
              <w:t>2</w:t>
            </w:r>
            <w:r>
              <w:rPr>
                <w:rFonts w:hint="eastAsia"/>
                <w:color w:val="auto"/>
              </w:rPr>
              <w:t xml:space="preserve"> 与意见符合性分析一览表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4033"/>
              <w:gridCol w:w="2669"/>
              <w:gridCol w:w="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07" w:type="pct"/>
                  <w:gridSpan w:val="2"/>
                  <w:vAlign w:val="center"/>
                </w:tcPr>
                <w:p>
                  <w:pPr>
                    <w:pStyle w:val="63"/>
                    <w:rPr>
                      <w:color w:val="auto"/>
                    </w:rPr>
                  </w:pPr>
                  <w:r>
                    <w:rPr>
                      <w:rFonts w:hint="eastAsia"/>
                      <w:color w:val="auto"/>
                    </w:rPr>
                    <w:t>意见</w:t>
                  </w:r>
                  <w:r>
                    <w:rPr>
                      <w:color w:val="auto"/>
                    </w:rPr>
                    <w:t>具体要求</w:t>
                  </w:r>
                </w:p>
              </w:tc>
              <w:tc>
                <w:tcPr>
                  <w:tcW w:w="1715" w:type="pct"/>
                  <w:shd w:val="clear" w:color="auto" w:fill="auto"/>
                  <w:vAlign w:val="center"/>
                </w:tcPr>
                <w:p>
                  <w:pPr>
                    <w:pStyle w:val="63"/>
                    <w:rPr>
                      <w:color w:val="auto"/>
                    </w:rPr>
                  </w:pPr>
                  <w:r>
                    <w:rPr>
                      <w:rFonts w:hint="eastAsia"/>
                      <w:color w:val="auto"/>
                    </w:rPr>
                    <w:t>本项目情况</w:t>
                  </w:r>
                </w:p>
              </w:tc>
              <w:tc>
                <w:tcPr>
                  <w:tcW w:w="278" w:type="pct"/>
                  <w:vAlign w:val="center"/>
                </w:tcPr>
                <w:p>
                  <w:pPr>
                    <w:pStyle w:val="63"/>
                    <w:rPr>
                      <w:color w:val="auto"/>
                    </w:rPr>
                  </w:pPr>
                  <w:r>
                    <w:rPr>
                      <w:rFonts w:hint="eastAsia"/>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pct"/>
                  <w:vMerge w:val="restart"/>
                  <w:vAlign w:val="center"/>
                </w:tcPr>
                <w:p>
                  <w:pPr>
                    <w:pStyle w:val="63"/>
                    <w:rPr>
                      <w:color w:val="auto"/>
                    </w:rPr>
                  </w:pPr>
                  <w:r>
                    <w:rPr>
                      <w:rFonts w:hint="eastAsia"/>
                      <w:color w:val="auto"/>
                    </w:rPr>
                    <w:t>二、加快推动绿色低碳发展</w:t>
                  </w:r>
                </w:p>
              </w:tc>
              <w:tc>
                <w:tcPr>
                  <w:tcW w:w="2591" w:type="pct"/>
                  <w:shd w:val="clear" w:color="auto" w:fill="auto"/>
                  <w:vAlign w:val="center"/>
                </w:tcPr>
                <w:p>
                  <w:pPr>
                    <w:pStyle w:val="63"/>
                    <w:rPr>
                      <w:color w:val="auto"/>
                      <w:lang w:eastAsia="zh-CN"/>
                    </w:rPr>
                  </w:pPr>
                  <w:r>
                    <w:rPr>
                      <w:rFonts w:hint="eastAsia"/>
                      <w:color w:val="auto"/>
                    </w:rPr>
                    <w:t>（七）坚决遏制高耗能高排放项目盲目发展。重点区域严禁新增钢铁、焦化、水泥熟料、平板玻璃、电解铝、氧化铝、煤化工产能；严格执行钢铁、水泥、平板玻璃等行业产能置换实施办法</w:t>
                  </w:r>
                  <w:r>
                    <w:rPr>
                      <w:rFonts w:hint="eastAsia"/>
                      <w:color w:val="auto"/>
                      <w:lang w:eastAsia="zh-CN"/>
                    </w:rPr>
                    <w:t>。</w:t>
                  </w:r>
                </w:p>
              </w:tc>
              <w:tc>
                <w:tcPr>
                  <w:tcW w:w="1715" w:type="pct"/>
                  <w:shd w:val="clear" w:color="auto" w:fill="auto"/>
                  <w:vAlign w:val="center"/>
                </w:tcPr>
                <w:p>
                  <w:pPr>
                    <w:pStyle w:val="63"/>
                    <w:rPr>
                      <w:color w:val="auto"/>
                      <w:highlight w:val="yellow"/>
                      <w:lang w:eastAsia="zh-CN"/>
                    </w:rPr>
                  </w:pPr>
                  <w:r>
                    <w:rPr>
                      <w:rFonts w:hint="eastAsia"/>
                      <w:snapToGrid w:val="0"/>
                      <w:color w:val="auto"/>
                      <w:lang w:val="en-US" w:eastAsia="zh-CN"/>
                    </w:rPr>
                    <w:t>本项目符合园区规划，主要对不锈钢卷进行热退火处理，不新增钢铁产能</w:t>
                  </w:r>
                  <w:r>
                    <w:rPr>
                      <w:rFonts w:hint="eastAsia"/>
                      <w:color w:val="auto"/>
                    </w:rPr>
                    <w:t>，不</w:t>
                  </w:r>
                  <w:r>
                    <w:rPr>
                      <w:rFonts w:hint="eastAsia"/>
                      <w:color w:val="auto"/>
                      <w:lang w:eastAsia="zh-CN"/>
                    </w:rPr>
                    <w:t>属于</w:t>
                  </w:r>
                  <w:r>
                    <w:rPr>
                      <w:rFonts w:hint="eastAsia" w:hAnsi="宋体"/>
                      <w:color w:val="auto"/>
                    </w:rPr>
                    <w:t>严禁新增的钢铁、焦化、水泥熟料、平板玻璃、电解铝、氧化铝、煤化工</w:t>
                  </w:r>
                  <w:r>
                    <w:rPr>
                      <w:rFonts w:hint="eastAsia" w:hAnsi="宋体"/>
                      <w:color w:val="auto"/>
                      <w:lang w:eastAsia="zh-CN"/>
                    </w:rPr>
                    <w:t>行业。</w:t>
                  </w:r>
                </w:p>
              </w:tc>
              <w:tc>
                <w:tcPr>
                  <w:tcW w:w="278"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pct"/>
                  <w:vMerge w:val="continue"/>
                  <w:vAlign w:val="center"/>
                </w:tcPr>
                <w:p>
                  <w:pPr>
                    <w:pStyle w:val="63"/>
                    <w:rPr>
                      <w:color w:val="auto"/>
                    </w:rPr>
                  </w:pPr>
                </w:p>
              </w:tc>
              <w:tc>
                <w:tcPr>
                  <w:tcW w:w="2591" w:type="pct"/>
                  <w:shd w:val="clear" w:color="auto" w:fill="auto"/>
                  <w:vAlign w:val="center"/>
                </w:tcPr>
                <w:p>
                  <w:pPr>
                    <w:pStyle w:val="63"/>
                    <w:rPr>
                      <w:color w:val="auto"/>
                      <w:lang w:eastAsia="zh-CN"/>
                    </w:rPr>
                  </w:pPr>
                  <w:r>
                    <w:rPr>
                      <w:rFonts w:hint="eastAsia"/>
                      <w:color w:val="auto"/>
                    </w:rPr>
                    <w:t>（九）加强生态环境分区管控。将生态保护红线、环境质量底线、资源利用上线的硬约束落实到环境管控单元，建立差别化的生态环境准入清单，加强“三线一单”成果在政策制定、环境准入、园区管理、执法监管等方面的应用</w:t>
                  </w:r>
                  <w:r>
                    <w:rPr>
                      <w:rFonts w:hint="eastAsia"/>
                      <w:color w:val="auto"/>
                      <w:lang w:eastAsia="zh-CN"/>
                    </w:rPr>
                    <w:t>。</w:t>
                  </w:r>
                </w:p>
              </w:tc>
              <w:tc>
                <w:tcPr>
                  <w:tcW w:w="1715" w:type="pct"/>
                  <w:shd w:val="clear" w:color="auto" w:fill="auto"/>
                  <w:vAlign w:val="center"/>
                </w:tcPr>
                <w:p>
                  <w:pPr>
                    <w:pStyle w:val="63"/>
                    <w:rPr>
                      <w:color w:val="auto"/>
                      <w:highlight w:val="yellow"/>
                      <w:lang w:eastAsia="zh-CN"/>
                    </w:rPr>
                  </w:pPr>
                  <w:r>
                    <w:rPr>
                      <w:rFonts w:hint="eastAsia" w:hAnsi="宋体"/>
                      <w:color w:val="auto"/>
                      <w:lang w:eastAsia="zh-CN"/>
                    </w:rPr>
                    <w:t>根据上文分析，</w:t>
                  </w:r>
                  <w:r>
                    <w:rPr>
                      <w:rFonts w:hint="eastAsia" w:hAnsi="宋体"/>
                      <w:color w:val="auto"/>
                    </w:rPr>
                    <w:t>本</w:t>
                  </w:r>
                  <w:r>
                    <w:rPr>
                      <w:rFonts w:hint="eastAsia"/>
                      <w:color w:val="auto"/>
                    </w:rPr>
                    <w:t>项目符合</w:t>
                  </w:r>
                  <w:r>
                    <w:rPr>
                      <w:rFonts w:hint="eastAsia"/>
                      <w:color w:val="auto"/>
                      <w:lang w:eastAsia="zh-CN"/>
                    </w:rPr>
                    <w:t>曲靖</w:t>
                  </w:r>
                  <w:r>
                    <w:rPr>
                      <w:rFonts w:hint="eastAsia"/>
                      <w:color w:val="auto"/>
                    </w:rPr>
                    <w:t>市“三线一单”生态环境分区管控要求</w:t>
                  </w:r>
                  <w:r>
                    <w:rPr>
                      <w:rFonts w:hint="eastAsia"/>
                      <w:color w:val="auto"/>
                      <w:lang w:eastAsia="zh-CN"/>
                    </w:rPr>
                    <w:t>。</w:t>
                  </w:r>
                </w:p>
              </w:tc>
              <w:tc>
                <w:tcPr>
                  <w:tcW w:w="278"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pct"/>
                  <w:vMerge w:val="restart"/>
                  <w:vAlign w:val="center"/>
                </w:tcPr>
                <w:p>
                  <w:pPr>
                    <w:pStyle w:val="63"/>
                    <w:rPr>
                      <w:color w:val="auto"/>
                    </w:rPr>
                  </w:pPr>
                  <w:r>
                    <w:rPr>
                      <w:rFonts w:hint="eastAsia"/>
                      <w:color w:val="auto"/>
                    </w:rPr>
                    <w:t>三、深入打好蓝天保卫战</w:t>
                  </w:r>
                </w:p>
              </w:tc>
              <w:tc>
                <w:tcPr>
                  <w:tcW w:w="2591" w:type="pct"/>
                  <w:shd w:val="clear" w:color="auto" w:fill="auto"/>
                  <w:vAlign w:val="center"/>
                </w:tcPr>
                <w:p>
                  <w:pPr>
                    <w:pStyle w:val="63"/>
                    <w:rPr>
                      <w:color w:val="auto"/>
                    </w:rPr>
                  </w:pPr>
                  <w:r>
                    <w:rPr>
                      <w:rFonts w:hint="eastAsia"/>
                      <w:color w:val="auto"/>
                      <w:lang w:val="en-US"/>
                    </w:rPr>
                    <w:t>（十三）持续打好柴油货车</w:t>
                  </w:r>
                  <w:r>
                    <w:rPr>
                      <w:rFonts w:hint="eastAsia"/>
                      <w:color w:val="auto"/>
                      <w:lang w:val="en-US" w:eastAsia="zh-CN"/>
                    </w:rPr>
                    <w:t>污染防治攻坚战</w:t>
                  </w:r>
                  <w:r>
                    <w:rPr>
                      <w:rFonts w:hint="eastAsia"/>
                      <w:color w:val="auto"/>
                      <w:lang w:val="en-US"/>
                    </w:rPr>
                    <w:t>。深入实施清洁柴油车（机）行动，全国基本淘汰国三及以下排放标准汽车，推动氢燃料电池汽车示范应用，有序推广清洁能源汽车。进一步推进大中城市公共交通、公务用车电动化进程。不断提高船舶靠港岸电使用率。实施更加严格的车用汽油质量标准。加快大宗货物和中长途货物运输“公转铁”、“公转水”，大力发展公铁、铁水等多式联运。</w:t>
                  </w:r>
                </w:p>
              </w:tc>
              <w:tc>
                <w:tcPr>
                  <w:tcW w:w="1715" w:type="pct"/>
                  <w:shd w:val="clear" w:color="auto" w:fill="auto"/>
                  <w:vAlign w:val="center"/>
                </w:tcPr>
                <w:p>
                  <w:pPr>
                    <w:pStyle w:val="63"/>
                    <w:rPr>
                      <w:color w:val="auto"/>
                    </w:rPr>
                  </w:pPr>
                  <w:r>
                    <w:rPr>
                      <w:rFonts w:hint="eastAsia"/>
                      <w:color w:val="auto"/>
                      <w:lang w:eastAsia="zh-CN"/>
                    </w:rPr>
                    <w:t>本项目运营期使用符合国家排放要求的运输车辆，不使用</w:t>
                  </w:r>
                  <w:r>
                    <w:rPr>
                      <w:rFonts w:hint="eastAsia"/>
                      <w:color w:val="auto"/>
                      <w:lang w:val="en-US" w:eastAsia="zh-CN"/>
                    </w:rPr>
                    <w:t>国三及以下排放标准的淘汰车辆。</w:t>
                  </w:r>
                </w:p>
              </w:tc>
              <w:tc>
                <w:tcPr>
                  <w:tcW w:w="278" w:type="pct"/>
                  <w:vAlign w:val="center"/>
                </w:tcPr>
                <w:p>
                  <w:pPr>
                    <w:pStyle w:val="63"/>
                    <w:rPr>
                      <w:color w:val="auto"/>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pct"/>
                  <w:vMerge w:val="continue"/>
                  <w:vAlign w:val="center"/>
                </w:tcPr>
                <w:p>
                  <w:pPr>
                    <w:pStyle w:val="63"/>
                    <w:rPr>
                      <w:color w:val="auto"/>
                    </w:rPr>
                  </w:pPr>
                </w:p>
              </w:tc>
              <w:tc>
                <w:tcPr>
                  <w:tcW w:w="2591" w:type="pct"/>
                  <w:shd w:val="clear" w:color="auto" w:fill="auto"/>
                  <w:vAlign w:val="center"/>
                </w:tcPr>
                <w:p>
                  <w:pPr>
                    <w:pStyle w:val="63"/>
                    <w:rPr>
                      <w:color w:val="auto"/>
                      <w:lang w:eastAsia="zh-CN"/>
                    </w:rPr>
                  </w:pPr>
                  <w:r>
                    <w:rPr>
                      <w:rFonts w:hint="eastAsia"/>
                      <w:color w:val="auto"/>
                    </w:rPr>
                    <w:t>（十四）加强大气面源和噪声污染治理。强化施工、道路、堆场、裸露地面等扬尘管控。实施噪声污染防治行动，加快解决群众关心的突出噪声问题</w:t>
                  </w:r>
                  <w:r>
                    <w:rPr>
                      <w:rFonts w:hint="eastAsia"/>
                      <w:color w:val="auto"/>
                      <w:lang w:eastAsia="zh-CN"/>
                    </w:rPr>
                    <w:t>。</w:t>
                  </w:r>
                </w:p>
              </w:tc>
              <w:tc>
                <w:tcPr>
                  <w:tcW w:w="1715" w:type="pct"/>
                  <w:shd w:val="clear" w:color="auto" w:fill="auto"/>
                  <w:vAlign w:val="center"/>
                </w:tcPr>
                <w:p>
                  <w:pPr>
                    <w:pStyle w:val="63"/>
                    <w:rPr>
                      <w:color w:val="auto"/>
                      <w:highlight w:val="yellow"/>
                      <w:lang w:eastAsia="zh-CN"/>
                    </w:rPr>
                  </w:pPr>
                  <w:r>
                    <w:rPr>
                      <w:rFonts w:hint="eastAsia"/>
                      <w:color w:val="auto"/>
                    </w:rPr>
                    <w:t>本项目运营期噪声经过合理布局、隔声、减振等措施后，厂界噪声</w:t>
                  </w:r>
                  <w:r>
                    <w:rPr>
                      <w:rFonts w:hint="eastAsia"/>
                      <w:color w:val="auto"/>
                      <w:lang w:eastAsia="zh-CN"/>
                    </w:rPr>
                    <w:t>预测最大值满足</w:t>
                  </w:r>
                  <w:r>
                    <w:rPr>
                      <w:rFonts w:hint="eastAsia"/>
                      <w:color w:val="auto"/>
                    </w:rPr>
                    <w:t>《工业企业厂界环境噪声排放标准》（GB12348-2008）中</w:t>
                  </w:r>
                  <w:r>
                    <w:rPr>
                      <w:color w:val="auto"/>
                    </w:rPr>
                    <w:t>3</w:t>
                  </w:r>
                  <w:r>
                    <w:rPr>
                      <w:rFonts w:hint="eastAsia"/>
                      <w:color w:val="auto"/>
                    </w:rPr>
                    <w:t>类标准，</w:t>
                  </w:r>
                  <w:r>
                    <w:rPr>
                      <w:rFonts w:hint="eastAsia"/>
                      <w:color w:val="auto"/>
                      <w:lang w:eastAsia="zh-CN"/>
                    </w:rPr>
                    <w:t>经预测分析</w:t>
                  </w:r>
                  <w:r>
                    <w:rPr>
                      <w:rFonts w:hint="eastAsia"/>
                      <w:color w:val="auto"/>
                    </w:rPr>
                    <w:t>，</w:t>
                  </w:r>
                  <w:r>
                    <w:rPr>
                      <w:rFonts w:hint="eastAsia"/>
                      <w:color w:val="auto"/>
                      <w:lang w:eastAsia="zh-CN"/>
                    </w:rPr>
                    <w:t>运营期</w:t>
                  </w:r>
                  <w:r>
                    <w:rPr>
                      <w:rFonts w:hint="eastAsia"/>
                      <w:color w:val="auto"/>
                    </w:rPr>
                    <w:t>不会造成扰民现象。</w:t>
                  </w:r>
                </w:p>
              </w:tc>
              <w:tc>
                <w:tcPr>
                  <w:tcW w:w="278"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pct"/>
                  <w:vAlign w:val="center"/>
                </w:tcPr>
                <w:p>
                  <w:pPr>
                    <w:pStyle w:val="63"/>
                    <w:rPr>
                      <w:color w:val="auto"/>
                    </w:rPr>
                  </w:pPr>
                  <w:r>
                    <w:rPr>
                      <w:rFonts w:hint="eastAsia"/>
                      <w:color w:val="auto"/>
                    </w:rPr>
                    <w:t>四、深入打好碧水保卫战</w:t>
                  </w:r>
                </w:p>
              </w:tc>
              <w:tc>
                <w:tcPr>
                  <w:tcW w:w="2591" w:type="pct"/>
                  <w:shd w:val="clear" w:color="auto" w:fill="auto"/>
                  <w:vAlign w:val="center"/>
                </w:tcPr>
                <w:p>
                  <w:pPr>
                    <w:pStyle w:val="63"/>
                    <w:rPr>
                      <w:color w:val="auto"/>
                    </w:rPr>
                  </w:pPr>
                  <w:r>
                    <w:rPr>
                      <w:rFonts w:hint="eastAsia"/>
                      <w:color w:val="auto"/>
                      <w:lang w:val="en-US"/>
                    </w:rPr>
                    <w:t>（十五）持续打好城市黑臭水体治理攻坚战。统筹好上下游、左右岸、干支流、城市和乡村，系统推进城市黑臭水体治理。加强农业农村和工业企业污染防治，有效控制入河污染物排放。强化溯源整治，杜绝污水直接排入雨水管网。推进城镇污水管网全覆盖，对进水情况出现明显异常的污水处理厂，开展片区管网系统化整治。因地制宜开展水体内源污染治理和生态修复，增强河湖自净功能。充分发挥河长制、湖长制作用，巩固城市黑臭水体治理成效，建立防止返黑返臭的长效机制。</w:t>
                  </w:r>
                </w:p>
              </w:tc>
              <w:tc>
                <w:tcPr>
                  <w:tcW w:w="1715" w:type="pct"/>
                  <w:shd w:val="clear" w:color="auto" w:fill="auto"/>
                  <w:vAlign w:val="center"/>
                </w:tcPr>
                <w:p>
                  <w:pPr>
                    <w:pStyle w:val="63"/>
                    <w:rPr>
                      <w:color w:val="auto"/>
                    </w:rPr>
                  </w:pPr>
                  <w:r>
                    <w:rPr>
                      <w:rFonts w:hint="eastAsia"/>
                      <w:color w:val="auto"/>
                      <w:lang w:eastAsia="zh-CN" w:bidi="en-US"/>
                    </w:rPr>
                    <w:t>本次技改项目不新增生产废水和生活污水，现有项目建设了完善的中水回用设施，运营期无废水外排</w:t>
                  </w:r>
                  <w:r>
                    <w:rPr>
                      <w:color w:val="auto"/>
                      <w:lang w:bidi="en-US"/>
                    </w:rPr>
                    <w:t>。</w:t>
                  </w:r>
                </w:p>
              </w:tc>
              <w:tc>
                <w:tcPr>
                  <w:tcW w:w="278" w:type="pct"/>
                  <w:vAlign w:val="center"/>
                </w:tcPr>
                <w:p>
                  <w:pPr>
                    <w:pStyle w:val="63"/>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pct"/>
                  <w:vAlign w:val="center"/>
                </w:tcPr>
                <w:p>
                  <w:pPr>
                    <w:pStyle w:val="63"/>
                    <w:rPr>
                      <w:color w:val="auto"/>
                    </w:rPr>
                  </w:pPr>
                  <w:r>
                    <w:rPr>
                      <w:rFonts w:hint="eastAsia"/>
                      <w:color w:val="auto"/>
                    </w:rPr>
                    <w:t>五、深入打好净土保卫战</w:t>
                  </w:r>
                </w:p>
              </w:tc>
              <w:tc>
                <w:tcPr>
                  <w:tcW w:w="2591" w:type="pct"/>
                  <w:shd w:val="clear" w:color="auto" w:fill="auto"/>
                  <w:vAlign w:val="center"/>
                </w:tcPr>
                <w:p>
                  <w:pPr>
                    <w:pStyle w:val="63"/>
                    <w:rPr>
                      <w:color w:val="auto"/>
                    </w:rPr>
                  </w:pPr>
                  <w:r>
                    <w:rPr>
                      <w:rFonts w:hint="eastAsia"/>
                      <w:color w:val="auto"/>
                      <w:lang w:val="en-US"/>
                    </w:rPr>
                    <w:t>（二十三）有效管控建设用地土壤污染风险。严格建设用地土壤污染风险管控和修复名录内地块的准入管理。未依法完成土壤污染状况调查和风险评估的地块，不得开工建设与风险管控和修复无关的项目。从严管控农药、化工等行业的重度污染地块规划用途，确需开发利用的，鼓励用于拓展生态空间。完成重点地区危险化学品生产企业搬迁改造，推进腾退地块风险管控和修复。</w:t>
                  </w:r>
                </w:p>
              </w:tc>
              <w:tc>
                <w:tcPr>
                  <w:tcW w:w="1715" w:type="pct"/>
                  <w:shd w:val="clear" w:color="auto" w:fill="auto"/>
                  <w:vAlign w:val="center"/>
                </w:tcPr>
                <w:p>
                  <w:pPr>
                    <w:pStyle w:val="63"/>
                    <w:rPr>
                      <w:color w:val="auto"/>
                    </w:rPr>
                  </w:pPr>
                  <w:r>
                    <w:rPr>
                      <w:rFonts w:hint="eastAsia"/>
                      <w:color w:val="auto"/>
                      <w:lang w:eastAsia="zh-CN"/>
                    </w:rPr>
                    <w:t>本项目对</w:t>
                  </w:r>
                  <w:r>
                    <w:rPr>
                      <w:rFonts w:hint="eastAsia"/>
                      <w:bCs/>
                      <w:color w:val="auto"/>
                    </w:rPr>
                    <w:t>年产30万吨热退火酸洗生产线</w:t>
                  </w:r>
                  <w:r>
                    <w:rPr>
                      <w:rFonts w:hint="eastAsia"/>
                      <w:color w:val="auto"/>
                      <w:lang w:eastAsia="zh-CN"/>
                    </w:rPr>
                    <w:t>焦炉煤气管线进行拆除，从现有热轧生产线预留天然气阀门新建1</w:t>
                  </w:r>
                  <w:r>
                    <w:rPr>
                      <w:color w:val="auto"/>
                      <w:lang w:eastAsia="zh-CN"/>
                    </w:rPr>
                    <w:t>54</w:t>
                  </w:r>
                  <w:r>
                    <w:rPr>
                      <w:rFonts w:hint="eastAsia"/>
                      <w:color w:val="auto"/>
                      <w:lang w:eastAsia="zh-CN"/>
                    </w:rPr>
                    <w:t>m</w:t>
                  </w:r>
                  <w:r>
                    <w:rPr>
                      <w:color w:val="auto"/>
                      <w:lang w:eastAsia="zh-CN"/>
                    </w:rPr>
                    <w:t>DN100</w:t>
                  </w:r>
                  <w:r>
                    <w:rPr>
                      <w:rFonts w:hint="eastAsia"/>
                      <w:color w:val="auto"/>
                      <w:lang w:eastAsia="zh-CN"/>
                    </w:rPr>
                    <w:t>天然气管线接入退火炉，项目使用的天然气正常情况下不会泄露污染土壤环境，事故泄露状况下天然气挥发进入大气环境，不存在渗漏进入土壤环境的情况</w:t>
                  </w:r>
                  <w:r>
                    <w:rPr>
                      <w:color w:val="auto"/>
                    </w:rPr>
                    <w:t>，</w:t>
                  </w:r>
                  <w:r>
                    <w:rPr>
                      <w:rFonts w:hint="eastAsia"/>
                      <w:color w:val="auto"/>
                      <w:lang w:eastAsia="zh-CN"/>
                    </w:rPr>
                    <w:t>因此本项目建设对</w:t>
                  </w:r>
                  <w:r>
                    <w:rPr>
                      <w:color w:val="auto"/>
                    </w:rPr>
                    <w:t>土壤环境</w:t>
                  </w:r>
                  <w:r>
                    <w:rPr>
                      <w:rFonts w:hint="eastAsia"/>
                      <w:color w:val="auto"/>
                      <w:lang w:eastAsia="zh-CN"/>
                    </w:rPr>
                    <w:t>影响较小，土壤环境</w:t>
                  </w:r>
                  <w:r>
                    <w:rPr>
                      <w:color w:val="auto"/>
                    </w:rPr>
                    <w:t>风险较低</w:t>
                  </w:r>
                  <w:r>
                    <w:rPr>
                      <w:rFonts w:hint="eastAsia"/>
                      <w:color w:val="auto"/>
                      <w:lang w:eastAsia="zh-CN"/>
                    </w:rPr>
                    <w:t>。</w:t>
                  </w:r>
                </w:p>
              </w:tc>
              <w:tc>
                <w:tcPr>
                  <w:tcW w:w="278" w:type="pct"/>
                  <w:vAlign w:val="center"/>
                </w:tcPr>
                <w:p>
                  <w:pPr>
                    <w:pStyle w:val="63"/>
                    <w:rPr>
                      <w:color w:val="auto"/>
                    </w:rPr>
                  </w:pPr>
                  <w:r>
                    <w:rPr>
                      <w:rFonts w:hint="eastAsia"/>
                      <w:color w:val="auto"/>
                      <w:lang w:eastAsia="zh-CN"/>
                    </w:rPr>
                    <w:t>符合</w:t>
                  </w:r>
                </w:p>
              </w:tc>
            </w:tr>
          </w:tbl>
          <w:p>
            <w:pPr>
              <w:ind w:firstLine="480"/>
              <w:rPr>
                <w:color w:val="auto"/>
              </w:rPr>
            </w:pPr>
            <w:r>
              <w:rPr>
                <w:rFonts w:hint="eastAsia"/>
                <w:color w:val="auto"/>
              </w:rPr>
              <w:t>综上所述，本项目建设符合</w:t>
            </w:r>
            <w:r>
              <w:rPr>
                <w:rFonts w:hint="eastAsia"/>
                <w:bCs/>
                <w:color w:val="auto"/>
              </w:rPr>
              <w:t xml:space="preserve">中共中央 </w:t>
            </w:r>
            <w:r>
              <w:rPr>
                <w:rFonts w:hint="eastAsia"/>
                <w:color w:val="auto"/>
              </w:rPr>
              <w:t>国务院关于深入打好污染防治攻坚战的意见要求。</w:t>
            </w:r>
          </w:p>
          <w:p>
            <w:pPr>
              <w:pStyle w:val="56"/>
              <w:spacing w:before="60" w:after="60"/>
              <w:rPr>
                <w:color w:val="auto"/>
              </w:rPr>
            </w:pPr>
            <w:r>
              <w:rPr>
                <w:rFonts w:hint="eastAsia"/>
                <w:color w:val="auto"/>
              </w:rPr>
              <w:t>1</w:t>
            </w:r>
            <w:r>
              <w:rPr>
                <w:color w:val="auto"/>
              </w:rPr>
              <w:t>.5.3与《</w:t>
            </w:r>
            <w:r>
              <w:rPr>
                <w:rFonts w:hint="eastAsia"/>
                <w:color w:val="auto"/>
              </w:rPr>
              <w:t>关于加强高耗能、高排放建设项目生态环境源头防控的指导意见</w:t>
            </w:r>
            <w:r>
              <w:rPr>
                <w:color w:val="auto"/>
              </w:rPr>
              <w:t>》</w:t>
            </w:r>
            <w:r>
              <w:rPr>
                <w:rFonts w:hint="eastAsia"/>
                <w:color w:val="auto"/>
              </w:rPr>
              <w:t>符合性分析</w:t>
            </w:r>
          </w:p>
          <w:p>
            <w:pPr>
              <w:ind w:firstLine="480"/>
              <w:rPr>
                <w:color w:val="auto"/>
              </w:rPr>
            </w:pPr>
            <w:r>
              <w:rPr>
                <w:color w:val="auto"/>
              </w:rPr>
              <w:t>2021年5月30日生态环境部发布了《关于加强高耗能、高排放建设项目生态环境源头防控的指导意见》（环环评〔2021〕45号），文件针对高耗能、高排放建设项目提出了相关环保要求。本项目与文件有关要求符合性分析见下表：</w:t>
            </w:r>
          </w:p>
          <w:p>
            <w:pPr>
              <w:pStyle w:val="66"/>
              <w:rPr>
                <w:color w:val="auto"/>
              </w:rPr>
            </w:pPr>
            <w:r>
              <w:rPr>
                <w:rFonts w:hint="eastAsia"/>
                <w:color w:val="auto"/>
              </w:rPr>
              <w:t>表1.</w:t>
            </w:r>
            <w:r>
              <w:rPr>
                <w:color w:val="auto"/>
              </w:rPr>
              <w:t>5</w:t>
            </w:r>
            <w:r>
              <w:rPr>
                <w:rFonts w:hint="eastAsia"/>
                <w:color w:val="auto"/>
              </w:rPr>
              <w:t>-</w:t>
            </w:r>
            <w:r>
              <w:rPr>
                <w:color w:val="auto"/>
              </w:rPr>
              <w:t>3</w:t>
            </w:r>
            <w:r>
              <w:rPr>
                <w:rFonts w:hint="eastAsia"/>
                <w:color w:val="auto"/>
              </w:rPr>
              <w:t xml:space="preserve"> 与</w:t>
            </w:r>
            <w:r>
              <w:rPr>
                <w:color w:val="auto"/>
              </w:rPr>
              <w:t>环环评〔2021〕45号</w:t>
            </w:r>
            <w:r>
              <w:rPr>
                <w:rFonts w:hint="eastAsia"/>
                <w:color w:val="auto"/>
              </w:rPr>
              <w:t>符合性分析一览表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4062"/>
              <w:gridCol w:w="2128"/>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26" w:type="pct"/>
                  <w:gridSpan w:val="2"/>
                  <w:vAlign w:val="center"/>
                </w:tcPr>
                <w:p>
                  <w:pPr>
                    <w:pStyle w:val="63"/>
                    <w:rPr>
                      <w:color w:val="auto"/>
                    </w:rPr>
                  </w:pPr>
                  <w:r>
                    <w:rPr>
                      <w:color w:val="auto"/>
                    </w:rPr>
                    <w:t>具体要求</w:t>
                  </w:r>
                </w:p>
              </w:tc>
              <w:tc>
                <w:tcPr>
                  <w:tcW w:w="1367" w:type="pct"/>
                  <w:shd w:val="clear" w:color="auto" w:fill="auto"/>
                  <w:vAlign w:val="center"/>
                </w:tcPr>
                <w:p>
                  <w:pPr>
                    <w:pStyle w:val="63"/>
                    <w:rPr>
                      <w:color w:val="auto"/>
                    </w:rPr>
                  </w:pPr>
                  <w:r>
                    <w:rPr>
                      <w:rFonts w:hint="eastAsia"/>
                      <w:color w:val="auto"/>
                    </w:rPr>
                    <w:t>本项目情况</w:t>
                  </w:r>
                </w:p>
              </w:tc>
              <w:tc>
                <w:tcPr>
                  <w:tcW w:w="607" w:type="pct"/>
                  <w:vAlign w:val="center"/>
                </w:tcPr>
                <w:p>
                  <w:pPr>
                    <w:pStyle w:val="63"/>
                    <w:rPr>
                      <w:color w:val="auto"/>
                    </w:rPr>
                  </w:pPr>
                  <w:r>
                    <w:rPr>
                      <w:rFonts w:hint="eastAsia"/>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pct"/>
                  <w:vMerge w:val="restart"/>
                  <w:vAlign w:val="center"/>
                </w:tcPr>
                <w:p>
                  <w:pPr>
                    <w:pStyle w:val="63"/>
                    <w:rPr>
                      <w:color w:val="auto"/>
                    </w:rPr>
                  </w:pPr>
                  <w:r>
                    <w:rPr>
                      <w:rFonts w:hint="eastAsia"/>
                      <w:color w:val="auto"/>
                    </w:rPr>
                    <w:t>二、严格“两高”项目环评审批</w:t>
                  </w:r>
                </w:p>
              </w:tc>
              <w:tc>
                <w:tcPr>
                  <w:tcW w:w="2610" w:type="pct"/>
                  <w:shd w:val="clear" w:color="auto" w:fill="auto"/>
                  <w:vAlign w:val="center"/>
                </w:tcPr>
                <w:p>
                  <w:pPr>
                    <w:pStyle w:val="63"/>
                    <w:jc w:val="both"/>
                    <w:rPr>
                      <w:color w:val="auto"/>
                    </w:rPr>
                  </w:pPr>
                  <w:r>
                    <w:rPr>
                      <w:rFonts w:hint="eastAsia"/>
                      <w:color w:val="auto"/>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367" w:type="pct"/>
                  <w:shd w:val="clear" w:color="auto" w:fill="auto"/>
                  <w:vAlign w:val="center"/>
                </w:tcPr>
                <w:p>
                  <w:pPr>
                    <w:pStyle w:val="63"/>
                    <w:rPr>
                      <w:color w:val="auto"/>
                    </w:rPr>
                  </w:pPr>
                  <w:r>
                    <w:rPr>
                      <w:rFonts w:hint="eastAsia"/>
                      <w:color w:val="auto"/>
                    </w:rPr>
                    <w:t>本项目符合园区规划</w:t>
                  </w:r>
                  <w:r>
                    <w:rPr>
                      <w:rFonts w:hint="eastAsia"/>
                      <w:color w:val="auto"/>
                      <w:lang w:eastAsia="zh-CN"/>
                    </w:rPr>
                    <w:t>定位</w:t>
                  </w:r>
                  <w:r>
                    <w:rPr>
                      <w:rFonts w:hint="eastAsia"/>
                      <w:color w:val="auto"/>
                    </w:rPr>
                    <w:t>，符合曲靖市“三线一单”生态环境分区管控要求</w:t>
                  </w:r>
                  <w:r>
                    <w:rPr>
                      <w:rFonts w:hint="eastAsia"/>
                      <w:color w:val="auto"/>
                      <w:lang w:eastAsia="zh-CN"/>
                    </w:rPr>
                    <w:t>，</w:t>
                  </w:r>
                  <w:r>
                    <w:rPr>
                      <w:rFonts w:hint="eastAsia"/>
                      <w:color w:val="auto"/>
                    </w:rPr>
                    <w:t>主要对不锈钢卷进行热退火处理，不新增钢铁产能，不属于严禁新增的石化、化工、焦化、有色金属冶炼、平板玻璃项目。</w:t>
                  </w:r>
                </w:p>
              </w:tc>
              <w:tc>
                <w:tcPr>
                  <w:tcW w:w="60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pct"/>
                  <w:vMerge w:val="continue"/>
                  <w:vAlign w:val="center"/>
                </w:tcPr>
                <w:p>
                  <w:pPr>
                    <w:pStyle w:val="63"/>
                    <w:rPr>
                      <w:color w:val="auto"/>
                    </w:rPr>
                  </w:pPr>
                </w:p>
              </w:tc>
              <w:tc>
                <w:tcPr>
                  <w:tcW w:w="2610" w:type="pct"/>
                  <w:shd w:val="clear" w:color="auto" w:fill="auto"/>
                  <w:vAlign w:val="center"/>
                </w:tcPr>
                <w:p>
                  <w:pPr>
                    <w:pStyle w:val="63"/>
                    <w:jc w:val="both"/>
                    <w:rPr>
                      <w:color w:val="auto"/>
                    </w:rPr>
                  </w:pPr>
                  <w:r>
                    <w:rPr>
                      <w:rFonts w:hint="eastAsia"/>
                      <w:color w:val="auto"/>
                    </w:rPr>
                    <w:t>（四）落实区域削减要求。新建“两高”项目应按照《关于加强重点行业建设项目区域削减措施监督管理的通知》要求，依据区域环境质量改善目标，制定配套区域污染物削减方案，采取有效的污染物区域削减措施，腾出足够的环境容量。国家大气污染防治重点区域(以下称重点区域)内新建耗煤项目还应严格按规定采取煤炭消费减量替代措施，不得使用高污染燃料作为煤炭减量替代措施。</w:t>
                  </w:r>
                </w:p>
              </w:tc>
              <w:tc>
                <w:tcPr>
                  <w:tcW w:w="1367" w:type="pct"/>
                  <w:vMerge w:val="restart"/>
                  <w:shd w:val="clear" w:color="auto" w:fill="auto"/>
                  <w:vAlign w:val="center"/>
                </w:tcPr>
                <w:p>
                  <w:pPr>
                    <w:pStyle w:val="63"/>
                    <w:rPr>
                      <w:color w:val="auto"/>
                    </w:rPr>
                  </w:pPr>
                  <w:r>
                    <w:rPr>
                      <w:rFonts w:hint="eastAsia"/>
                      <w:color w:val="auto"/>
                    </w:rPr>
                    <w:t>本</w:t>
                  </w:r>
                  <w:r>
                    <w:rPr>
                      <w:rFonts w:hint="eastAsia"/>
                      <w:color w:val="auto"/>
                      <w:lang w:val="en-US"/>
                    </w:rPr>
                    <w:t>项目</w:t>
                  </w:r>
                  <w:r>
                    <w:rPr>
                      <w:rFonts w:hint="eastAsia"/>
                      <w:color w:val="auto"/>
                      <w:lang w:val="en-US" w:eastAsia="zh-CN"/>
                    </w:rPr>
                    <w:t>针对年产3</w:t>
                  </w:r>
                  <w:r>
                    <w:rPr>
                      <w:color w:val="auto"/>
                      <w:lang w:val="en-US" w:eastAsia="zh-CN"/>
                    </w:rPr>
                    <w:t>0</w:t>
                  </w:r>
                  <w:r>
                    <w:rPr>
                      <w:rFonts w:hint="eastAsia"/>
                      <w:color w:val="auto"/>
                      <w:lang w:val="en-US" w:eastAsia="zh-CN"/>
                    </w:rPr>
                    <w:t>万吨热退火酸洗生产线建设项目进行技术改造</w:t>
                  </w:r>
                  <w:r>
                    <w:rPr>
                      <w:rFonts w:hint="eastAsia"/>
                      <w:color w:val="auto"/>
                      <w:lang w:val="en-US"/>
                    </w:rPr>
                    <w:t>，使用</w:t>
                  </w:r>
                  <w:r>
                    <w:rPr>
                      <w:rFonts w:hint="eastAsia"/>
                      <w:color w:val="auto"/>
                      <w:lang w:val="en-US" w:eastAsia="zh-CN"/>
                    </w:rPr>
                    <w:t>现有</w:t>
                  </w:r>
                  <w:r>
                    <w:rPr>
                      <w:rFonts w:hint="eastAsia"/>
                      <w:color w:val="auto"/>
                      <w:lang w:val="en-US"/>
                    </w:rPr>
                    <w:t>年产1</w:t>
                  </w:r>
                  <w:r>
                    <w:rPr>
                      <w:color w:val="auto"/>
                      <w:lang w:val="en-US"/>
                    </w:rPr>
                    <w:t>40</w:t>
                  </w:r>
                  <w:r>
                    <w:rPr>
                      <w:rFonts w:hint="eastAsia"/>
                      <w:color w:val="auto"/>
                      <w:lang w:val="en-US"/>
                    </w:rPr>
                    <w:t>万吨热轧生产线建设项目不锈钢钢卷为原料</w:t>
                  </w:r>
                  <w:r>
                    <w:rPr>
                      <w:rFonts w:hint="eastAsia"/>
                      <w:color w:val="auto"/>
                      <w:lang w:val="en-US" w:eastAsia="zh-CN"/>
                    </w:rPr>
                    <w:t>进行热退火处理，</w:t>
                  </w:r>
                  <w:r>
                    <w:rPr>
                      <w:rFonts w:hint="eastAsia"/>
                      <w:color w:val="auto"/>
                      <w:lang w:val="en-US"/>
                    </w:rPr>
                    <w:t>不涉及炼钢，不新增炼钢产能</w:t>
                  </w:r>
                  <w:r>
                    <w:rPr>
                      <w:rFonts w:hint="eastAsia"/>
                      <w:color w:val="auto"/>
                      <w:lang w:val="en-US" w:eastAsia="zh-CN"/>
                    </w:rPr>
                    <w:t>。本项目使用清洁能源天然气，不使用燃煤。</w:t>
                  </w:r>
                </w:p>
              </w:tc>
              <w:tc>
                <w:tcPr>
                  <w:tcW w:w="60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6" w:type="pct"/>
                  <w:vMerge w:val="continue"/>
                  <w:vAlign w:val="center"/>
                </w:tcPr>
                <w:p>
                  <w:pPr>
                    <w:pStyle w:val="63"/>
                    <w:rPr>
                      <w:color w:val="auto"/>
                    </w:rPr>
                  </w:pPr>
                </w:p>
              </w:tc>
              <w:tc>
                <w:tcPr>
                  <w:tcW w:w="2610" w:type="pct"/>
                  <w:shd w:val="clear" w:color="auto" w:fill="auto"/>
                  <w:vAlign w:val="center"/>
                </w:tcPr>
                <w:p>
                  <w:pPr>
                    <w:pStyle w:val="63"/>
                    <w:jc w:val="both"/>
                    <w:rPr>
                      <w:color w:val="auto"/>
                    </w:rPr>
                  </w:pPr>
                  <w:r>
                    <w:rPr>
                      <w:rFonts w:hint="eastAsia"/>
                      <w:color w:val="auto"/>
                    </w:rPr>
                    <w:t>（五）合理划分事权。省级生态环境部门应加强对基层“两高”项目环评审批程序、审批结果的监督与评估，对审批能力不适应的依法调整上收。对炼油、乙烯、钢铁、焦化、煤化工、燃煤发电、电解铝、水泥熟料、平板玻璃、铜铅锌硅冶炼等环境影响大或环境风险高的项目类别，不得以改革试点名义随意下放环评审批权限或降低审批要求。</w:t>
                  </w:r>
                </w:p>
              </w:tc>
              <w:tc>
                <w:tcPr>
                  <w:tcW w:w="1367" w:type="pct"/>
                  <w:vMerge w:val="continue"/>
                  <w:shd w:val="clear" w:color="auto" w:fill="auto"/>
                  <w:vAlign w:val="center"/>
                </w:tcPr>
                <w:p>
                  <w:pPr>
                    <w:pStyle w:val="63"/>
                    <w:rPr>
                      <w:color w:val="auto"/>
                    </w:rPr>
                  </w:pPr>
                </w:p>
              </w:tc>
              <w:tc>
                <w:tcPr>
                  <w:tcW w:w="607" w:type="pct"/>
                  <w:vAlign w:val="center"/>
                </w:tcPr>
                <w:p>
                  <w:pPr>
                    <w:pStyle w:val="63"/>
                    <w:rPr>
                      <w:color w:val="auto"/>
                    </w:rPr>
                  </w:pPr>
                  <w:r>
                    <w:rPr>
                      <w:rFonts w:hint="eastAsia"/>
                      <w:color w:val="auto"/>
                      <w:lang w:eastAsia="zh-CN"/>
                    </w:rPr>
                    <w:t>符合</w:t>
                  </w:r>
                </w:p>
              </w:tc>
            </w:tr>
          </w:tbl>
          <w:p>
            <w:pPr>
              <w:ind w:firstLine="480"/>
              <w:rPr>
                <w:color w:val="auto"/>
              </w:rPr>
            </w:pPr>
            <w:r>
              <w:rPr>
                <w:rFonts w:hint="eastAsia"/>
                <w:color w:val="auto"/>
              </w:rPr>
              <w:t>综上，本项目建设符合</w:t>
            </w:r>
            <w:r>
              <w:rPr>
                <w:color w:val="auto"/>
              </w:rPr>
              <w:t>《关于加强高耗能、高排放建设项目生态环境源头防控的指导意见》（环环评〔2021〕45号）</w:t>
            </w:r>
            <w:r>
              <w:rPr>
                <w:rFonts w:hint="eastAsia"/>
                <w:color w:val="auto"/>
              </w:rPr>
              <w:t>有关要求。</w:t>
            </w:r>
          </w:p>
          <w:p>
            <w:pPr>
              <w:pStyle w:val="56"/>
              <w:spacing w:before="60" w:after="60"/>
              <w:rPr>
                <w:color w:val="auto"/>
              </w:rPr>
            </w:pPr>
            <w:r>
              <w:rPr>
                <w:rFonts w:hint="eastAsia"/>
                <w:color w:val="auto"/>
              </w:rPr>
              <w:t>1</w:t>
            </w:r>
            <w:r>
              <w:rPr>
                <w:color w:val="auto"/>
              </w:rPr>
              <w:t>.5.4与《关于促进钢铁工业高质量发展的指导意见》（工信部联原〔2022〕6号）的符合性分析</w:t>
            </w:r>
          </w:p>
          <w:p>
            <w:pPr>
              <w:ind w:firstLine="482"/>
              <w:rPr>
                <w:b/>
                <w:bCs/>
                <w:color w:val="auto"/>
              </w:rPr>
            </w:pPr>
            <w:r>
              <w:rPr>
                <w:rFonts w:hint="eastAsia"/>
                <w:b/>
                <w:bCs/>
                <w:color w:val="auto"/>
              </w:rPr>
              <w:t>1</w:t>
            </w:r>
            <w:r>
              <w:rPr>
                <w:b/>
                <w:bCs/>
                <w:color w:val="auto"/>
              </w:rPr>
              <w:t>.相关内容概述</w:t>
            </w:r>
          </w:p>
          <w:p>
            <w:pPr>
              <w:ind w:firstLine="482"/>
              <w:rPr>
                <w:b/>
                <w:bCs/>
                <w:color w:val="auto"/>
              </w:rPr>
            </w:pPr>
            <w:r>
              <w:rPr>
                <w:b/>
                <w:bCs/>
                <w:color w:val="auto"/>
              </w:rPr>
              <w:t>主要任务：</w:t>
            </w:r>
          </w:p>
          <w:p>
            <w:pPr>
              <w:ind w:firstLine="482"/>
              <w:rPr>
                <w:color w:val="auto"/>
              </w:rPr>
            </w:pPr>
            <w:r>
              <w:rPr>
                <w:b/>
                <w:bCs/>
                <w:color w:val="auto"/>
              </w:rPr>
              <w:t>严禁新增钢铁产能。</w:t>
            </w:r>
            <w:r>
              <w:rPr>
                <w:color w:val="auto"/>
              </w:rPr>
              <w:t>坚决遏制钢铁冶炼项目盲目建设，严格落实产能置换、项目备案、环评、排污许可、能评等法律法规、政策规定，不得以机械加工、铸造、铁合金等名义新增钢铁产能。严格执行环保、能耗、质量、安全、技术等法律法规，利用综合标准依法依规推动落后产能应去尽去，严防“地条钢”死灰复燃和已化解过剩产能复产。研究落实以碳排放、污染物排放、能耗总量、产能利用率等为依据的差别化调控政策。健全防范产能过剩长效机制，加大违法违规行为查处力度。</w:t>
            </w:r>
          </w:p>
          <w:p>
            <w:pPr>
              <w:ind w:firstLine="482"/>
              <w:rPr>
                <w:color w:val="auto"/>
              </w:rPr>
            </w:pPr>
            <w:r>
              <w:rPr>
                <w:b/>
                <w:bCs/>
                <w:color w:val="auto"/>
              </w:rPr>
              <w:t>有序发展电炉炼钢。</w:t>
            </w:r>
            <w:r>
              <w:rPr>
                <w:color w:val="auto"/>
              </w:rPr>
              <w:t>推进废钢资源高质高效利用，有序引导电炉炼钢发展。对全废钢电炉炼钢项目执行差别化产能置换、环保管理等政策。鼓励有条件的高炉—转炉长流程企业就地改造转型发展电炉短流程炼钢。鼓励在中心城市、城市集群周边布局符合节能环保和技术标准规范要求的中小型电炉钢企业，生产适应区域市场需求的产品，协同消纳城市及周边废弃物。积极发展新型电炉装备，加快完善电炉炼钢相关标准体系。</w:t>
            </w:r>
          </w:p>
          <w:p>
            <w:pPr>
              <w:ind w:firstLine="482"/>
              <w:rPr>
                <w:b/>
                <w:bCs/>
                <w:color w:val="auto"/>
              </w:rPr>
            </w:pPr>
            <w:r>
              <w:rPr>
                <w:rFonts w:hint="eastAsia"/>
                <w:b/>
                <w:bCs/>
                <w:color w:val="auto"/>
              </w:rPr>
              <w:t>2</w:t>
            </w:r>
            <w:r>
              <w:rPr>
                <w:b/>
                <w:bCs/>
                <w:color w:val="auto"/>
              </w:rPr>
              <w:t>.符合性分析</w:t>
            </w:r>
          </w:p>
          <w:p>
            <w:pPr>
              <w:ind w:firstLine="480"/>
              <w:rPr>
                <w:b/>
                <w:bCs/>
                <w:color w:val="auto"/>
              </w:rPr>
            </w:pPr>
            <w:r>
              <w:rPr>
                <w:rFonts w:hint="eastAsia"/>
                <w:color w:val="auto"/>
              </w:rPr>
              <w:t>本项目针对年产3</w:t>
            </w:r>
            <w:r>
              <w:rPr>
                <w:color w:val="auto"/>
              </w:rPr>
              <w:t>0</w:t>
            </w:r>
            <w:r>
              <w:rPr>
                <w:rFonts w:hint="eastAsia"/>
                <w:color w:val="auto"/>
              </w:rPr>
              <w:t>万吨热退火酸洗生产线建设项目进行技术改造，使用现有年产1</w:t>
            </w:r>
            <w:r>
              <w:rPr>
                <w:color w:val="auto"/>
              </w:rPr>
              <w:t>40</w:t>
            </w:r>
            <w:r>
              <w:rPr>
                <w:rFonts w:hint="eastAsia"/>
                <w:color w:val="auto"/>
              </w:rPr>
              <w:t>万吨热轧生产线建设项目不锈钢钢卷为原料进行热退火处理，不涉及炼钢，不新增炼钢产能。现有年产1</w:t>
            </w:r>
            <w:r>
              <w:rPr>
                <w:color w:val="auto"/>
              </w:rPr>
              <w:t>40</w:t>
            </w:r>
            <w:r>
              <w:rPr>
                <w:rFonts w:hint="eastAsia"/>
                <w:color w:val="auto"/>
              </w:rPr>
              <w:t>万吨热轧生产线建设项目使用的钢材来源于</w:t>
            </w:r>
            <w:r>
              <w:rPr>
                <w:color w:val="auto"/>
              </w:rPr>
              <w:t>云南天高镍业有限公司</w:t>
            </w:r>
            <w:r>
              <w:rPr>
                <w:rFonts w:hint="eastAsia"/>
                <w:color w:val="auto"/>
              </w:rPr>
              <w:t>，本项目全厂不涉及炼钢。</w:t>
            </w:r>
          </w:p>
          <w:p>
            <w:pPr>
              <w:ind w:firstLine="480"/>
              <w:rPr>
                <w:color w:val="auto"/>
              </w:rPr>
            </w:pPr>
            <w:r>
              <w:rPr>
                <w:color w:val="auto"/>
              </w:rPr>
              <w:t>云南天高镍业有限公司于2017年12月开展转型升级，根据2017年12月22日云南省工业和信息化委关于云南天高镍业有限公司转型升级改造项目产能置换方案的复函（云工信函</w:t>
            </w:r>
            <w:r>
              <w:rPr>
                <w:rFonts w:hint="eastAsia" w:ascii="宋体" w:hAnsi="宋体"/>
                <w:color w:val="auto"/>
              </w:rPr>
              <w:t>〔</w:t>
            </w:r>
            <w:r>
              <w:rPr>
                <w:color w:val="auto"/>
              </w:rPr>
              <w:t>2017</w:t>
            </w:r>
            <w:r>
              <w:rPr>
                <w:rFonts w:hint="eastAsia" w:ascii="宋体" w:hAnsi="宋体"/>
                <w:color w:val="auto"/>
              </w:rPr>
              <w:t>〕</w:t>
            </w:r>
            <w:r>
              <w:rPr>
                <w:color w:val="auto"/>
              </w:rPr>
              <w:t>135号），云南天高镍业有限公司淘汰1座110吨的转炉，置换出110万吨的特钢产能。110万吨的产能中的5万吨调整给云南曲靖钢铁集团，10万吨出让给云南曲靖钢铁集团凤凰钢铁有限公司；天高公司使用产能为140万吨。</w:t>
            </w:r>
          </w:p>
          <w:p>
            <w:pPr>
              <w:ind w:firstLine="480"/>
              <w:rPr>
                <w:color w:val="auto"/>
              </w:rPr>
            </w:pPr>
            <w:r>
              <w:rPr>
                <w:rFonts w:hint="eastAsia"/>
                <w:color w:val="auto"/>
              </w:rPr>
              <w:t>因此，本项目建设符合</w:t>
            </w:r>
            <w:r>
              <w:rPr>
                <w:color w:val="auto"/>
              </w:rPr>
              <w:t>《关于促进钢铁工业高质量发展的指导意见》（工信部联原〔2022〕6号）</w:t>
            </w:r>
            <w:r>
              <w:rPr>
                <w:rFonts w:hint="eastAsia"/>
                <w:color w:val="auto"/>
              </w:rPr>
              <w:t>有关要求。</w:t>
            </w:r>
          </w:p>
          <w:p>
            <w:pPr>
              <w:pStyle w:val="56"/>
              <w:spacing w:before="60" w:after="60"/>
              <w:rPr>
                <w:color w:val="auto"/>
              </w:rPr>
            </w:pPr>
            <w:r>
              <w:rPr>
                <w:rFonts w:hint="eastAsia"/>
                <w:color w:val="auto"/>
              </w:rPr>
              <w:t>1</w:t>
            </w:r>
            <w:r>
              <w:rPr>
                <w:color w:val="auto"/>
              </w:rPr>
              <w:t>.5.5</w:t>
            </w:r>
            <w:r>
              <w:rPr>
                <w:rFonts w:hint="eastAsia"/>
                <w:color w:val="auto"/>
              </w:rPr>
              <w:t>与中共云南省委、云南省人民政府关于深入打好污染防治攻坚战的实施意见符合性分析</w:t>
            </w:r>
          </w:p>
          <w:p>
            <w:pPr>
              <w:ind w:firstLine="480"/>
              <w:rPr>
                <w:color w:val="auto"/>
              </w:rPr>
            </w:pPr>
            <w:r>
              <w:rPr>
                <w:rFonts w:hint="eastAsia"/>
                <w:color w:val="auto"/>
              </w:rPr>
              <w:t>本项目与中共云南省委、云南省人民政府关于深入打好污染防治攻坚战的实施意见符合性分析见下表：</w:t>
            </w:r>
          </w:p>
          <w:p>
            <w:pPr>
              <w:pStyle w:val="66"/>
              <w:rPr>
                <w:color w:val="auto"/>
              </w:rPr>
            </w:pPr>
            <w:r>
              <w:rPr>
                <w:rFonts w:hint="eastAsia"/>
                <w:color w:val="auto"/>
              </w:rPr>
              <w:t>表1.</w:t>
            </w:r>
            <w:r>
              <w:rPr>
                <w:color w:val="auto"/>
              </w:rPr>
              <w:t>5</w:t>
            </w:r>
            <w:r>
              <w:rPr>
                <w:rFonts w:hint="eastAsia"/>
                <w:color w:val="auto"/>
              </w:rPr>
              <w:t>-</w:t>
            </w:r>
            <w:r>
              <w:rPr>
                <w:color w:val="auto"/>
              </w:rPr>
              <w:t>4</w:t>
            </w:r>
            <w:r>
              <w:rPr>
                <w:rFonts w:hint="eastAsia"/>
                <w:color w:val="auto"/>
              </w:rPr>
              <w:t xml:space="preserve"> 与实施意见符合性分析一览表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3754"/>
              <w:gridCol w:w="2739"/>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9" w:type="pct"/>
                  <w:gridSpan w:val="2"/>
                  <w:vAlign w:val="center"/>
                </w:tcPr>
                <w:p>
                  <w:pPr>
                    <w:pStyle w:val="63"/>
                    <w:rPr>
                      <w:color w:val="auto"/>
                    </w:rPr>
                  </w:pPr>
                  <w:r>
                    <w:rPr>
                      <w:rFonts w:hint="eastAsia"/>
                      <w:color w:val="auto"/>
                    </w:rPr>
                    <w:t>意见</w:t>
                  </w:r>
                  <w:r>
                    <w:rPr>
                      <w:color w:val="auto"/>
                    </w:rPr>
                    <w:t>具体要求</w:t>
                  </w:r>
                </w:p>
              </w:tc>
              <w:tc>
                <w:tcPr>
                  <w:tcW w:w="1760" w:type="pct"/>
                  <w:shd w:val="clear" w:color="auto" w:fill="auto"/>
                  <w:vAlign w:val="center"/>
                </w:tcPr>
                <w:p>
                  <w:pPr>
                    <w:pStyle w:val="63"/>
                    <w:rPr>
                      <w:color w:val="auto"/>
                    </w:rPr>
                  </w:pPr>
                  <w:r>
                    <w:rPr>
                      <w:rFonts w:hint="eastAsia"/>
                      <w:color w:val="auto"/>
                    </w:rPr>
                    <w:t>本项目情况</w:t>
                  </w:r>
                </w:p>
              </w:tc>
              <w:tc>
                <w:tcPr>
                  <w:tcW w:w="411" w:type="pct"/>
                  <w:vAlign w:val="center"/>
                </w:tcPr>
                <w:p>
                  <w:pPr>
                    <w:pStyle w:val="63"/>
                    <w:rPr>
                      <w:color w:val="auto"/>
                    </w:rPr>
                  </w:pPr>
                  <w:r>
                    <w:rPr>
                      <w:rFonts w:hint="eastAsia"/>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restart"/>
                  <w:vAlign w:val="center"/>
                </w:tcPr>
                <w:p>
                  <w:pPr>
                    <w:pStyle w:val="63"/>
                    <w:rPr>
                      <w:color w:val="auto"/>
                    </w:rPr>
                  </w:pPr>
                  <w:r>
                    <w:rPr>
                      <w:rFonts w:hint="eastAsia"/>
                      <w:color w:val="auto"/>
                    </w:rPr>
                    <w:t>三、深入打好蓝天保卫战</w:t>
                  </w:r>
                </w:p>
              </w:tc>
              <w:tc>
                <w:tcPr>
                  <w:tcW w:w="2412" w:type="pct"/>
                  <w:shd w:val="clear" w:color="auto" w:fill="auto"/>
                  <w:vAlign w:val="center"/>
                </w:tcPr>
                <w:p>
                  <w:pPr>
                    <w:pStyle w:val="63"/>
                    <w:rPr>
                      <w:color w:val="auto"/>
                    </w:rPr>
                  </w:pPr>
                  <w:r>
                    <w:rPr>
                      <w:rFonts w:hint="eastAsia"/>
                      <w:color w:val="auto"/>
                      <w:lang w:val="en-US"/>
                    </w:rPr>
                    <w:t>（一）持续打好柴油货车</w:t>
                  </w:r>
                  <w:r>
                    <w:rPr>
                      <w:rFonts w:hint="eastAsia"/>
                      <w:color w:val="auto"/>
                      <w:lang w:val="en-US" w:eastAsia="zh-CN"/>
                    </w:rPr>
                    <w:t>污染防治攻坚战</w:t>
                  </w:r>
                  <w:r>
                    <w:rPr>
                      <w:rFonts w:hint="eastAsia"/>
                      <w:color w:val="auto"/>
                      <w:lang w:val="en-US"/>
                    </w:rPr>
                    <w:t>。深入开展清洁柴油车（机）行动，基本淘汰国三及以下排放标准汽车。加大清洁能源汽车推广力度，推动氢燃料电池汽车示范应用。以大宗货物运输“公转铁”、“公转水”为重点推进运输结构调整。</w:t>
                  </w:r>
                </w:p>
              </w:tc>
              <w:tc>
                <w:tcPr>
                  <w:tcW w:w="1760" w:type="pct"/>
                  <w:shd w:val="clear" w:color="auto" w:fill="auto"/>
                  <w:vAlign w:val="center"/>
                </w:tcPr>
                <w:p>
                  <w:pPr>
                    <w:pStyle w:val="63"/>
                    <w:rPr>
                      <w:color w:val="auto"/>
                    </w:rPr>
                  </w:pPr>
                  <w:r>
                    <w:rPr>
                      <w:rFonts w:hint="eastAsia"/>
                      <w:color w:val="auto"/>
                      <w:lang w:eastAsia="zh-CN"/>
                    </w:rPr>
                    <w:t>本项目运营期使用符合国家排放要求的运输车辆，不使用</w:t>
                  </w:r>
                  <w:r>
                    <w:rPr>
                      <w:rFonts w:hint="eastAsia"/>
                      <w:color w:val="auto"/>
                      <w:lang w:val="en-US" w:eastAsia="zh-CN"/>
                    </w:rPr>
                    <w:t>国三及以下排放标准的淘汰车辆。</w:t>
                  </w:r>
                </w:p>
              </w:tc>
              <w:tc>
                <w:tcPr>
                  <w:tcW w:w="411" w:type="pct"/>
                  <w:vAlign w:val="center"/>
                </w:tcPr>
                <w:p>
                  <w:pPr>
                    <w:pStyle w:val="63"/>
                    <w:rPr>
                      <w:color w:val="auto"/>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vAlign w:val="center"/>
                </w:tcPr>
                <w:p>
                  <w:pPr>
                    <w:pStyle w:val="63"/>
                    <w:rPr>
                      <w:color w:val="auto"/>
                    </w:rPr>
                  </w:pPr>
                </w:p>
              </w:tc>
              <w:tc>
                <w:tcPr>
                  <w:tcW w:w="2412" w:type="pct"/>
                  <w:shd w:val="clear" w:color="auto" w:fill="auto"/>
                  <w:vAlign w:val="center"/>
                </w:tcPr>
                <w:p>
                  <w:pPr>
                    <w:pStyle w:val="63"/>
                    <w:rPr>
                      <w:color w:val="auto"/>
                      <w:lang w:eastAsia="zh-CN"/>
                    </w:rPr>
                  </w:pPr>
                  <w:r>
                    <w:rPr>
                      <w:rFonts w:hint="eastAsia"/>
                      <w:color w:val="auto"/>
                      <w:lang w:val="en-US"/>
                    </w:rPr>
                    <w:t>（二）深入打好建筑施工工地扬尘</w:t>
                  </w:r>
                  <w:r>
                    <w:rPr>
                      <w:rFonts w:hint="eastAsia"/>
                      <w:color w:val="auto"/>
                      <w:lang w:val="en-US" w:eastAsia="zh-CN"/>
                    </w:rPr>
                    <w:t>污染防治攻坚战</w:t>
                  </w:r>
                  <w:r>
                    <w:rPr>
                      <w:rFonts w:hint="eastAsia"/>
                      <w:color w:val="auto"/>
                      <w:lang w:val="en-US"/>
                    </w:rPr>
                    <w:t>。全面推行绿色施工，落实施工工地“六个百分之百”工作要求，推动扬尘精细化管控。加强建筑渣土运输管理，严格落实密闭运输措施。强化施工、道路、堆场、裸露地面等扬尘管控。</w:t>
                  </w:r>
                </w:p>
              </w:tc>
              <w:tc>
                <w:tcPr>
                  <w:tcW w:w="1760" w:type="pct"/>
                  <w:shd w:val="clear" w:color="auto" w:fill="auto"/>
                  <w:vAlign w:val="center"/>
                </w:tcPr>
                <w:p>
                  <w:pPr>
                    <w:pStyle w:val="63"/>
                    <w:rPr>
                      <w:color w:val="auto"/>
                      <w:highlight w:val="yellow"/>
                      <w:lang w:eastAsia="zh-CN"/>
                    </w:rPr>
                  </w:pPr>
                  <w:r>
                    <w:rPr>
                      <w:rFonts w:hint="eastAsia"/>
                      <w:color w:val="auto"/>
                      <w:lang w:eastAsia="zh-CN"/>
                    </w:rPr>
                    <w:t>本项目施工期间不涉及土地的平整和开挖，现有项目生产车间已经进行了地面硬化处理，施工期运输车辆采用</w:t>
                  </w:r>
                  <w:r>
                    <w:rPr>
                      <w:rFonts w:hint="eastAsia"/>
                      <w:color w:val="auto"/>
                      <w:lang w:val="en-US" w:eastAsia="zh-CN"/>
                    </w:rPr>
                    <w:t>密闭运输措施，施工场地定期洒水降尘。</w:t>
                  </w:r>
                </w:p>
              </w:tc>
              <w:tc>
                <w:tcPr>
                  <w:tcW w:w="411"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vAlign w:val="center"/>
                </w:tcPr>
                <w:p>
                  <w:pPr>
                    <w:pStyle w:val="63"/>
                    <w:rPr>
                      <w:color w:val="auto"/>
                    </w:rPr>
                  </w:pPr>
                </w:p>
              </w:tc>
              <w:tc>
                <w:tcPr>
                  <w:tcW w:w="2412" w:type="pct"/>
                  <w:shd w:val="clear" w:color="auto" w:fill="auto"/>
                  <w:vAlign w:val="center"/>
                </w:tcPr>
                <w:p>
                  <w:pPr>
                    <w:pStyle w:val="63"/>
                    <w:rPr>
                      <w:color w:val="auto"/>
                      <w:lang w:val="en-US"/>
                    </w:rPr>
                  </w:pPr>
                  <w:r>
                    <w:rPr>
                      <w:rFonts w:hint="eastAsia"/>
                      <w:color w:val="auto"/>
                      <w:lang w:val="en-US"/>
                    </w:rPr>
                    <w:t>（四）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1760" w:type="pct"/>
                  <w:shd w:val="clear" w:color="auto" w:fill="auto"/>
                  <w:vAlign w:val="center"/>
                </w:tcPr>
                <w:p>
                  <w:pPr>
                    <w:pStyle w:val="63"/>
                    <w:rPr>
                      <w:color w:val="auto"/>
                    </w:rPr>
                  </w:pPr>
                  <w:r>
                    <w:rPr>
                      <w:rFonts w:hint="eastAsia"/>
                      <w:color w:val="auto"/>
                      <w:lang w:val="en-US"/>
                    </w:rPr>
                    <w:t>本项目运营期噪声经过合理布局、隔声、减振等措施后，厂界噪声</w:t>
                  </w:r>
                  <w:r>
                    <w:rPr>
                      <w:rFonts w:hint="eastAsia"/>
                      <w:color w:val="auto"/>
                      <w:lang w:val="en-US" w:eastAsia="zh-CN"/>
                    </w:rPr>
                    <w:t>满足</w:t>
                  </w:r>
                  <w:r>
                    <w:rPr>
                      <w:rFonts w:hint="eastAsia"/>
                      <w:color w:val="auto"/>
                      <w:lang w:val="en-US"/>
                    </w:rPr>
                    <w:t>《工业企业厂界环境噪声排放标准》（GB12348-2008）中</w:t>
                  </w:r>
                  <w:r>
                    <w:rPr>
                      <w:color w:val="auto"/>
                      <w:lang w:val="en-US"/>
                    </w:rPr>
                    <w:t>3</w:t>
                  </w:r>
                  <w:r>
                    <w:rPr>
                      <w:rFonts w:hint="eastAsia"/>
                      <w:color w:val="auto"/>
                      <w:lang w:val="en-US"/>
                    </w:rPr>
                    <w:t>类标准，不会造成扰民现象</w:t>
                  </w:r>
                  <w:r>
                    <w:rPr>
                      <w:rFonts w:hint="eastAsia"/>
                      <w:color w:val="auto"/>
                      <w:lang w:val="en-US" w:eastAsia="zh-CN"/>
                    </w:rPr>
                    <w:t>；</w:t>
                  </w:r>
                  <w:r>
                    <w:rPr>
                      <w:rFonts w:hint="eastAsia"/>
                      <w:snapToGrid w:val="0"/>
                      <w:color w:val="auto"/>
                      <w:lang w:val="en-US" w:eastAsia="zh-CN"/>
                    </w:rPr>
                    <w:t>本项目热退火炉燃烧废气经现有项目D</w:t>
                  </w:r>
                  <w:r>
                    <w:rPr>
                      <w:snapToGrid w:val="0"/>
                      <w:color w:val="auto"/>
                      <w:lang w:val="en-US" w:eastAsia="zh-CN"/>
                    </w:rPr>
                    <w:t>A003</w:t>
                  </w:r>
                  <w:r>
                    <w:rPr>
                      <w:rFonts w:hint="eastAsia"/>
                      <w:snapToGrid w:val="0"/>
                      <w:color w:val="auto"/>
                      <w:lang w:val="en-US" w:eastAsia="zh-CN"/>
                    </w:rPr>
                    <w:t>废气排放口排放，进行预测分析，废气能达标排放</w:t>
                  </w:r>
                  <w:r>
                    <w:rPr>
                      <w:rFonts w:hint="eastAsia"/>
                      <w:color w:val="auto"/>
                      <w:lang w:val="en-US" w:eastAsia="zh-CN"/>
                    </w:rPr>
                    <w:t>。</w:t>
                  </w:r>
                </w:p>
              </w:tc>
              <w:tc>
                <w:tcPr>
                  <w:tcW w:w="411" w:type="pct"/>
                  <w:vAlign w:val="center"/>
                </w:tcPr>
                <w:p>
                  <w:pPr>
                    <w:pStyle w:val="63"/>
                    <w:rPr>
                      <w:color w:val="auto"/>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Align w:val="center"/>
                </w:tcPr>
                <w:p>
                  <w:pPr>
                    <w:pStyle w:val="63"/>
                    <w:rPr>
                      <w:color w:val="auto"/>
                    </w:rPr>
                  </w:pPr>
                  <w:r>
                    <w:rPr>
                      <w:rFonts w:hint="eastAsia"/>
                      <w:color w:val="auto"/>
                    </w:rPr>
                    <w:t>四、深入打好碧水保卫战</w:t>
                  </w:r>
                </w:p>
              </w:tc>
              <w:tc>
                <w:tcPr>
                  <w:tcW w:w="2412" w:type="pct"/>
                  <w:shd w:val="clear" w:color="auto" w:fill="auto"/>
                  <w:vAlign w:val="center"/>
                </w:tcPr>
                <w:p>
                  <w:pPr>
                    <w:pStyle w:val="63"/>
                    <w:rPr>
                      <w:color w:val="auto"/>
                    </w:rPr>
                  </w:pPr>
                  <w:r>
                    <w:rPr>
                      <w:rFonts w:hint="eastAsia"/>
                      <w:color w:val="auto"/>
                      <w:lang w:val="en-US"/>
                    </w:rPr>
                    <w:t>（三）深入打好珠江流域（云南段）保护治理攻坚战。强化南盘江总磷超标治理，持续推进重金属行业企业排查整治。加强南盘江干流及重要支流水生态环境综合治理。</w:t>
                  </w:r>
                </w:p>
              </w:tc>
              <w:tc>
                <w:tcPr>
                  <w:tcW w:w="1760" w:type="pct"/>
                  <w:shd w:val="clear" w:color="auto" w:fill="auto"/>
                  <w:vAlign w:val="center"/>
                </w:tcPr>
                <w:p>
                  <w:pPr>
                    <w:pStyle w:val="63"/>
                    <w:rPr>
                      <w:color w:val="auto"/>
                    </w:rPr>
                  </w:pPr>
                  <w:r>
                    <w:rPr>
                      <w:rFonts w:hint="eastAsia"/>
                      <w:color w:val="auto"/>
                      <w:lang w:eastAsia="zh-CN" w:bidi="en-US"/>
                    </w:rPr>
                    <w:t>本次技改项目不新增生产废水和生活污水，现有项目建设了完善的中水回用设施，运营期无废水外排</w:t>
                  </w:r>
                  <w:r>
                    <w:rPr>
                      <w:color w:val="auto"/>
                      <w:lang w:bidi="en-US"/>
                    </w:rPr>
                    <w:t>。</w:t>
                  </w:r>
                </w:p>
              </w:tc>
              <w:tc>
                <w:tcPr>
                  <w:tcW w:w="411" w:type="pct"/>
                  <w:vAlign w:val="center"/>
                </w:tcPr>
                <w:p>
                  <w:pPr>
                    <w:pStyle w:val="63"/>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Align w:val="center"/>
                </w:tcPr>
                <w:p>
                  <w:pPr>
                    <w:pStyle w:val="63"/>
                    <w:rPr>
                      <w:color w:val="auto"/>
                    </w:rPr>
                  </w:pPr>
                  <w:r>
                    <w:rPr>
                      <w:rFonts w:hint="eastAsia"/>
                      <w:color w:val="auto"/>
                    </w:rPr>
                    <w:t>五、深入打好净土保卫战</w:t>
                  </w:r>
                </w:p>
              </w:tc>
              <w:tc>
                <w:tcPr>
                  <w:tcW w:w="2412" w:type="pct"/>
                  <w:shd w:val="clear" w:color="auto" w:fill="auto"/>
                  <w:vAlign w:val="center"/>
                </w:tcPr>
                <w:p>
                  <w:pPr>
                    <w:pStyle w:val="63"/>
                    <w:rPr>
                      <w:color w:val="auto"/>
                    </w:rPr>
                  </w:pPr>
                  <w:r>
                    <w:rPr>
                      <w:rFonts w:hint="eastAsia"/>
                      <w:color w:val="auto"/>
                      <w:lang w:val="en-US"/>
                    </w:rPr>
                    <w:t>（三）有效管控建设用地土壤污染风险。严格建设用地土壤污染风险管控和修复名录内地块的准入管理，从严管控农药、化工等行业的重度污染地块规划用途。</w:t>
                  </w:r>
                </w:p>
              </w:tc>
              <w:tc>
                <w:tcPr>
                  <w:tcW w:w="1760" w:type="pct"/>
                  <w:shd w:val="clear" w:color="auto" w:fill="auto"/>
                  <w:vAlign w:val="center"/>
                </w:tcPr>
                <w:p>
                  <w:pPr>
                    <w:pStyle w:val="63"/>
                    <w:rPr>
                      <w:color w:val="auto"/>
                    </w:rPr>
                  </w:pPr>
                  <w:r>
                    <w:rPr>
                      <w:rFonts w:hint="eastAsia"/>
                      <w:color w:val="auto"/>
                      <w:lang w:eastAsia="zh-CN"/>
                    </w:rPr>
                    <w:t>项目使用的天然气正常情况下不会泄漏污染土壤环境，事故泄漏状况下天然气挥发进入大气环境，不存在渗漏进入土壤环境的情况</w:t>
                  </w:r>
                  <w:r>
                    <w:rPr>
                      <w:color w:val="auto"/>
                    </w:rPr>
                    <w:t>，</w:t>
                  </w:r>
                  <w:r>
                    <w:rPr>
                      <w:rFonts w:hint="eastAsia"/>
                      <w:color w:val="auto"/>
                      <w:lang w:eastAsia="zh-CN"/>
                    </w:rPr>
                    <w:t>因此本项目建设对</w:t>
                  </w:r>
                  <w:r>
                    <w:rPr>
                      <w:color w:val="auto"/>
                    </w:rPr>
                    <w:t>土壤环境</w:t>
                  </w:r>
                  <w:r>
                    <w:rPr>
                      <w:rFonts w:hint="eastAsia"/>
                      <w:color w:val="auto"/>
                      <w:lang w:eastAsia="zh-CN"/>
                    </w:rPr>
                    <w:t>影响较小，土壤环境</w:t>
                  </w:r>
                  <w:r>
                    <w:rPr>
                      <w:color w:val="auto"/>
                    </w:rPr>
                    <w:t>风险较低</w:t>
                  </w:r>
                  <w:r>
                    <w:rPr>
                      <w:rFonts w:hint="eastAsia"/>
                      <w:color w:val="auto"/>
                      <w:lang w:eastAsia="zh-CN"/>
                    </w:rPr>
                    <w:t>。</w:t>
                  </w:r>
                </w:p>
              </w:tc>
              <w:tc>
                <w:tcPr>
                  <w:tcW w:w="411" w:type="pct"/>
                  <w:vAlign w:val="center"/>
                </w:tcPr>
                <w:p>
                  <w:pPr>
                    <w:pStyle w:val="63"/>
                    <w:rPr>
                      <w:color w:val="auto"/>
                    </w:rPr>
                  </w:pPr>
                  <w:r>
                    <w:rPr>
                      <w:rFonts w:hint="eastAsia"/>
                      <w:color w:val="auto"/>
                      <w:lang w:eastAsia="zh-CN"/>
                    </w:rPr>
                    <w:t>符合</w:t>
                  </w:r>
                </w:p>
              </w:tc>
            </w:tr>
          </w:tbl>
          <w:p>
            <w:pPr>
              <w:ind w:firstLine="480"/>
              <w:rPr>
                <w:color w:val="auto"/>
              </w:rPr>
            </w:pPr>
            <w:r>
              <w:rPr>
                <w:rFonts w:hint="eastAsia"/>
                <w:color w:val="auto"/>
              </w:rPr>
              <w:t>综上，项目建设符合中共云南省委、云南省人民政府关于深入打好污染防治攻坚战的实施意见有关要求。</w:t>
            </w:r>
          </w:p>
          <w:p>
            <w:pPr>
              <w:pStyle w:val="56"/>
              <w:spacing w:before="60" w:after="60"/>
              <w:rPr>
                <w:color w:val="auto"/>
              </w:rPr>
            </w:pPr>
            <w:r>
              <w:rPr>
                <w:rFonts w:hint="eastAsia"/>
                <w:color w:val="auto"/>
              </w:rPr>
              <w:t>1</w:t>
            </w:r>
            <w:r>
              <w:rPr>
                <w:color w:val="auto"/>
              </w:rPr>
              <w:t>.5.6</w:t>
            </w:r>
            <w:r>
              <w:rPr>
                <w:rFonts w:hint="eastAsia"/>
                <w:color w:val="auto"/>
              </w:rPr>
              <w:t>与《云南省长江经济带发展负面清单指南实施细则（试行，</w:t>
            </w:r>
            <w:r>
              <w:rPr>
                <w:color w:val="auto"/>
              </w:rPr>
              <w:t>2022</w:t>
            </w:r>
            <w:r>
              <w:rPr>
                <w:rFonts w:hint="eastAsia"/>
                <w:color w:val="auto"/>
              </w:rPr>
              <w:t>年版）》相符性分析</w:t>
            </w:r>
          </w:p>
          <w:p>
            <w:pPr>
              <w:ind w:firstLine="480"/>
              <w:rPr>
                <w:color w:val="auto"/>
              </w:rPr>
            </w:pPr>
            <w:r>
              <w:rPr>
                <w:color w:val="auto"/>
              </w:rPr>
              <w:t>为深入贯彻落实习近平总书记关于推动长江经济带发展的重要讲话和指示批示精神，认真落实长江保护法，根据《长江经济带发展负面清单指南（试行，2022年版）》</w:t>
            </w:r>
            <w:r>
              <w:rPr>
                <w:rFonts w:hint="eastAsia"/>
                <w:color w:val="auto"/>
              </w:rPr>
              <w:t>(长江办〔2022〕7号)</w:t>
            </w:r>
            <w:r>
              <w:rPr>
                <w:color w:val="auto"/>
              </w:rPr>
              <w:t>，结合云南实际，制定</w:t>
            </w:r>
            <w:r>
              <w:rPr>
                <w:rFonts w:hint="eastAsia"/>
                <w:color w:val="auto"/>
              </w:rPr>
              <w:t>云南省长江经济带发展负面清单指南实施细则</w:t>
            </w:r>
            <w:r>
              <w:rPr>
                <w:color w:val="auto"/>
              </w:rPr>
              <w:t>。</w:t>
            </w:r>
            <w:r>
              <w:rPr>
                <w:rFonts w:hint="eastAsia"/>
                <w:color w:val="auto"/>
              </w:rPr>
              <w:t>本项目与《云南省长江经济带发展负面清单指南实施细则（试行，</w:t>
            </w:r>
            <w:r>
              <w:rPr>
                <w:color w:val="auto"/>
              </w:rPr>
              <w:t>2022</w:t>
            </w:r>
            <w:r>
              <w:rPr>
                <w:rFonts w:hint="eastAsia"/>
                <w:color w:val="auto"/>
              </w:rPr>
              <w:t>年版）》（</w:t>
            </w:r>
            <w:r>
              <w:rPr>
                <w:color w:val="auto"/>
              </w:rPr>
              <w:t>云发改基础〔</w:t>
            </w:r>
            <w:r>
              <w:rPr>
                <w:rFonts w:hint="eastAsia"/>
                <w:color w:val="auto"/>
              </w:rPr>
              <w:t>2022</w:t>
            </w:r>
            <w:r>
              <w:rPr>
                <w:color w:val="auto"/>
              </w:rPr>
              <w:t>〕</w:t>
            </w:r>
            <w:r>
              <w:rPr>
                <w:rFonts w:hint="eastAsia"/>
                <w:color w:val="auto"/>
              </w:rPr>
              <w:t>894</w:t>
            </w:r>
            <w:r>
              <w:rPr>
                <w:color w:val="auto"/>
              </w:rPr>
              <w:t>号</w:t>
            </w:r>
            <w:r>
              <w:rPr>
                <w:rFonts w:hint="eastAsia"/>
                <w:color w:val="auto"/>
              </w:rPr>
              <w:t>）相符性分析见下表。</w:t>
            </w:r>
          </w:p>
          <w:p>
            <w:pPr>
              <w:pStyle w:val="66"/>
              <w:rPr>
                <w:color w:val="auto"/>
              </w:rPr>
            </w:pPr>
            <w:r>
              <w:rPr>
                <w:rFonts w:hint="eastAsia"/>
                <w:color w:val="auto"/>
              </w:rPr>
              <w:t>表1</w:t>
            </w:r>
            <w:r>
              <w:rPr>
                <w:color w:val="auto"/>
              </w:rPr>
              <w:t xml:space="preserve">.5-5 </w:t>
            </w:r>
            <w:r>
              <w:rPr>
                <w:rFonts w:hint="eastAsia"/>
                <w:color w:val="auto"/>
              </w:rPr>
              <w:t>本项目与实施细则（与项目有关的）相符性分析一览表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3"/>
              <w:gridCol w:w="2574"/>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rPr>
                  </w:pPr>
                  <w:r>
                    <w:rPr>
                      <w:rFonts w:hint="eastAsia"/>
                      <w:color w:val="auto"/>
                    </w:rPr>
                    <w:t>实施细则要求</w:t>
                  </w:r>
                </w:p>
              </w:tc>
              <w:tc>
                <w:tcPr>
                  <w:tcW w:w="1654" w:type="pct"/>
                  <w:vAlign w:val="center"/>
                </w:tcPr>
                <w:p>
                  <w:pPr>
                    <w:pStyle w:val="63"/>
                    <w:rPr>
                      <w:color w:val="auto"/>
                    </w:rPr>
                  </w:pPr>
                  <w:r>
                    <w:rPr>
                      <w:rFonts w:hint="eastAsia"/>
                      <w:color w:val="auto"/>
                    </w:rPr>
                    <w:t>本项目情况</w:t>
                  </w:r>
                </w:p>
              </w:tc>
              <w:tc>
                <w:tcPr>
                  <w:tcW w:w="517" w:type="pct"/>
                  <w:vAlign w:val="center"/>
                </w:tcPr>
                <w:p>
                  <w:pPr>
                    <w:pStyle w:val="63"/>
                    <w:rPr>
                      <w:color w:val="auto"/>
                    </w:rPr>
                  </w:pPr>
                  <w:r>
                    <w:rPr>
                      <w:rFonts w:hint="eastAsia"/>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rPr>
                  </w:pPr>
                  <w:r>
                    <w:rPr>
                      <w:rFonts w:hint="eastAsia"/>
                      <w:color w:val="auto"/>
                      <w:lang w:val="en-US"/>
                    </w:rPr>
                    <w:t>第一</w:t>
                  </w:r>
                  <w:r>
                    <w:rPr>
                      <w:color w:val="auto"/>
                      <w:lang w:val="en-US"/>
                    </w:rPr>
                    <w:t>条 禁止新建、改建和扩建不符合《全国内河航道与港口布局规划》等全国港口规划和《昭通市港口码头岸线规划（金沙江段</w:t>
                  </w:r>
                  <w:r>
                    <w:rPr>
                      <w:rFonts w:hint="eastAsia"/>
                      <w:color w:val="auto"/>
                      <w:lang w:val="en-US"/>
                    </w:rPr>
                    <w:t>2019</w:t>
                  </w:r>
                  <w:r>
                    <w:rPr>
                      <w:color w:val="auto"/>
                      <w:lang w:val="en-US"/>
                    </w:rPr>
                    <w:t>年-</w:t>
                  </w:r>
                  <w:r>
                    <w:rPr>
                      <w:rFonts w:hint="eastAsia"/>
                      <w:color w:val="auto"/>
                      <w:lang w:val="en-US"/>
                    </w:rPr>
                    <w:t>2035</w:t>
                  </w:r>
                  <w:r>
                    <w:rPr>
                      <w:color w:val="auto"/>
                      <w:lang w:val="en-US"/>
                    </w:rPr>
                    <w:t>年）》、《景洪港总体规划（</w:t>
                  </w:r>
                  <w:r>
                    <w:rPr>
                      <w:rFonts w:hint="eastAsia"/>
                      <w:color w:val="auto"/>
                      <w:lang w:val="en-US"/>
                    </w:rPr>
                    <w:t>2019</w:t>
                  </w:r>
                  <w:r>
                    <w:rPr>
                      <w:color w:val="auto"/>
                      <w:lang w:val="en-US"/>
                    </w:rPr>
                    <w:t>-</w:t>
                  </w:r>
                  <w:r>
                    <w:rPr>
                      <w:rFonts w:hint="eastAsia"/>
                      <w:color w:val="auto"/>
                      <w:lang w:val="en-US"/>
                    </w:rPr>
                    <w:t>2035</w:t>
                  </w:r>
                  <w:r>
                    <w:rPr>
                      <w:color w:val="auto"/>
                      <w:lang w:val="en-US"/>
                    </w:rPr>
                    <w:t>年）》等州（市）级以上港口布局规划以及港口总体规划的码头项目。</w:t>
                  </w:r>
                </w:p>
              </w:tc>
              <w:tc>
                <w:tcPr>
                  <w:tcW w:w="1654" w:type="pct"/>
                  <w:vAlign w:val="center"/>
                </w:tcPr>
                <w:p>
                  <w:pPr>
                    <w:pStyle w:val="63"/>
                    <w:rPr>
                      <w:color w:val="auto"/>
                    </w:rPr>
                  </w:pPr>
                  <w:r>
                    <w:rPr>
                      <w:rFonts w:hint="eastAsia"/>
                      <w:color w:val="auto"/>
                      <w:lang w:val="en-US"/>
                    </w:rPr>
                    <w:t>本项目不属于码头项目。</w:t>
                  </w:r>
                </w:p>
              </w:tc>
              <w:tc>
                <w:tcPr>
                  <w:tcW w:w="5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lang w:val="en-US"/>
                    </w:rPr>
                  </w:pPr>
                  <w:r>
                    <w:rPr>
                      <w:rFonts w:hint="eastAsia"/>
                      <w:color w:val="auto"/>
                      <w:lang w:val="en-US"/>
                    </w:rPr>
                    <w:t xml:space="preserve">第二条 </w:t>
                  </w:r>
                  <w:r>
                    <w:rPr>
                      <w:color w:val="auto"/>
                      <w:lang w:val="en-US"/>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r>
                    <w:rPr>
                      <w:rFonts w:hint="eastAsia"/>
                      <w:color w:val="auto"/>
                      <w:lang w:val="en-US"/>
                    </w:rPr>
                    <w:t>。</w:t>
                  </w:r>
                </w:p>
              </w:tc>
              <w:tc>
                <w:tcPr>
                  <w:tcW w:w="1654" w:type="pct"/>
                  <w:vAlign w:val="center"/>
                </w:tcPr>
                <w:p>
                  <w:pPr>
                    <w:pStyle w:val="63"/>
                    <w:rPr>
                      <w:color w:val="auto"/>
                      <w:lang w:val="en-US"/>
                    </w:rPr>
                  </w:pPr>
                  <w:r>
                    <w:rPr>
                      <w:color w:val="auto"/>
                      <w:lang w:val="en-US"/>
                    </w:rPr>
                    <w:t>本项目</w:t>
                  </w:r>
                  <w:r>
                    <w:rPr>
                      <w:color w:val="auto"/>
                    </w:rPr>
                    <w:t>位于</w:t>
                  </w:r>
                  <w:r>
                    <w:rPr>
                      <w:rFonts w:hint="eastAsia"/>
                      <w:color w:val="auto"/>
                    </w:rPr>
                    <w:t>云南师宗产业园区大同片区（云南天高镍业有限公司内）</w:t>
                  </w:r>
                  <w:r>
                    <w:rPr>
                      <w:rFonts w:hint="eastAsia"/>
                      <w:color w:val="auto"/>
                      <w:lang w:val="en-US"/>
                    </w:rPr>
                    <w:t>，</w:t>
                  </w:r>
                  <w:r>
                    <w:rPr>
                      <w:rFonts w:hint="eastAsia"/>
                      <w:color w:val="auto"/>
                      <w:lang w:val="en-US" w:eastAsia="zh-CN"/>
                    </w:rPr>
                    <w:t>不涉及曲靖市、师宗县</w:t>
                  </w:r>
                  <w:r>
                    <w:rPr>
                      <w:color w:val="auto"/>
                      <w:lang w:val="en-US"/>
                    </w:rPr>
                    <w:t>自然保护区</w:t>
                  </w:r>
                  <w:r>
                    <w:rPr>
                      <w:rFonts w:hint="eastAsia"/>
                      <w:color w:val="auto"/>
                      <w:lang w:val="en-US"/>
                    </w:rPr>
                    <w:t>。</w:t>
                  </w:r>
                </w:p>
              </w:tc>
              <w:tc>
                <w:tcPr>
                  <w:tcW w:w="517" w:type="pct"/>
                  <w:vAlign w:val="center"/>
                </w:tcPr>
                <w:p>
                  <w:pPr>
                    <w:pStyle w:val="63"/>
                    <w:rPr>
                      <w:color w:val="auto"/>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lang w:val="en-US"/>
                    </w:rPr>
                  </w:pPr>
                  <w:r>
                    <w:rPr>
                      <w:rFonts w:hint="eastAsia"/>
                      <w:color w:val="auto"/>
                      <w:lang w:val="en-US"/>
                    </w:rPr>
                    <w:t xml:space="preserve">第三条 </w:t>
                  </w:r>
                  <w:r>
                    <w:rPr>
                      <w:color w:val="auto"/>
                      <w:lang w:val="en-US"/>
                    </w:rPr>
                    <w:t>禁止在风景名胜区核心景区的岸线和河段范围内 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r>
                    <w:rPr>
                      <w:rFonts w:hint="eastAsia"/>
                      <w:color w:val="auto"/>
                      <w:lang w:val="en-US"/>
                    </w:rPr>
                    <w:t>。</w:t>
                  </w:r>
                </w:p>
              </w:tc>
              <w:tc>
                <w:tcPr>
                  <w:tcW w:w="1654" w:type="pct"/>
                  <w:vAlign w:val="center"/>
                </w:tcPr>
                <w:p>
                  <w:pPr>
                    <w:pStyle w:val="63"/>
                    <w:rPr>
                      <w:color w:val="auto"/>
                      <w:lang w:val="en-US"/>
                    </w:rPr>
                  </w:pPr>
                  <w:r>
                    <w:rPr>
                      <w:color w:val="auto"/>
                      <w:lang w:val="en-US"/>
                    </w:rPr>
                    <w:t>本项目</w:t>
                  </w:r>
                  <w:r>
                    <w:rPr>
                      <w:color w:val="auto"/>
                    </w:rPr>
                    <w:t>位于</w:t>
                  </w:r>
                  <w:r>
                    <w:rPr>
                      <w:rFonts w:hint="eastAsia"/>
                      <w:color w:val="auto"/>
                    </w:rPr>
                    <w:t>云南师宗产业园区大同片区（云南天高镍业有限公司内）</w:t>
                  </w:r>
                  <w:r>
                    <w:rPr>
                      <w:rFonts w:hint="eastAsia"/>
                      <w:color w:val="auto"/>
                      <w:lang w:val="en-US"/>
                    </w:rPr>
                    <w:t>，</w:t>
                  </w:r>
                  <w:r>
                    <w:rPr>
                      <w:rFonts w:hint="eastAsia"/>
                      <w:color w:val="auto"/>
                      <w:lang w:val="en-US" w:eastAsia="zh-CN"/>
                    </w:rPr>
                    <w:t>不涉及曲靖市、师宗县</w:t>
                  </w:r>
                  <w:r>
                    <w:rPr>
                      <w:color w:val="auto"/>
                      <w:lang w:val="en-US"/>
                    </w:rPr>
                    <w:t>风景名胜区</w:t>
                  </w:r>
                  <w:r>
                    <w:rPr>
                      <w:rFonts w:hint="eastAsia"/>
                      <w:color w:val="auto"/>
                      <w:lang w:val="en-US"/>
                    </w:rPr>
                    <w:t>。</w:t>
                  </w:r>
                </w:p>
              </w:tc>
              <w:tc>
                <w:tcPr>
                  <w:tcW w:w="517"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lang w:val="en-US"/>
                    </w:rPr>
                  </w:pPr>
                  <w:r>
                    <w:rPr>
                      <w:rFonts w:hint="eastAsia"/>
                      <w:color w:val="auto"/>
                      <w:lang w:val="en-US"/>
                    </w:rPr>
                    <w:t xml:space="preserve">第四条 </w:t>
                  </w:r>
                  <w:r>
                    <w:rPr>
                      <w:color w:val="auto"/>
                      <w:lang w:val="en-US"/>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r>
                    <w:rPr>
                      <w:rFonts w:hint="eastAsia"/>
                      <w:color w:val="auto"/>
                      <w:lang w:val="en-US"/>
                    </w:rPr>
                    <w:t>。</w:t>
                  </w:r>
                </w:p>
              </w:tc>
              <w:tc>
                <w:tcPr>
                  <w:tcW w:w="1654" w:type="pct"/>
                  <w:vAlign w:val="center"/>
                </w:tcPr>
                <w:p>
                  <w:pPr>
                    <w:pStyle w:val="63"/>
                    <w:rPr>
                      <w:color w:val="auto"/>
                      <w:lang w:val="en-US"/>
                    </w:rPr>
                  </w:pPr>
                  <w:r>
                    <w:rPr>
                      <w:color w:val="auto"/>
                      <w:lang w:val="en-US"/>
                    </w:rPr>
                    <w:t>本项目</w:t>
                  </w:r>
                  <w:r>
                    <w:rPr>
                      <w:color w:val="auto"/>
                    </w:rPr>
                    <w:t>位于</w:t>
                  </w:r>
                  <w:r>
                    <w:rPr>
                      <w:rFonts w:hint="eastAsia"/>
                      <w:color w:val="auto"/>
                    </w:rPr>
                    <w:t>云南师宗产业园区大同片区（云南天高镍业有限公司内）</w:t>
                  </w:r>
                  <w:r>
                    <w:rPr>
                      <w:rFonts w:hint="eastAsia"/>
                      <w:color w:val="auto"/>
                      <w:lang w:val="en-US"/>
                    </w:rPr>
                    <w:t>，</w:t>
                  </w:r>
                  <w:r>
                    <w:rPr>
                      <w:rFonts w:hint="eastAsia"/>
                      <w:color w:val="auto"/>
                      <w:lang w:val="en-US" w:eastAsia="zh-CN"/>
                    </w:rPr>
                    <w:t>不涉及曲靖市、师宗县</w:t>
                  </w:r>
                  <w:r>
                    <w:rPr>
                      <w:color w:val="auto"/>
                      <w:lang w:val="en-US"/>
                    </w:rPr>
                    <w:t>饮用水水源一级保护区</w:t>
                  </w:r>
                  <w:r>
                    <w:rPr>
                      <w:rFonts w:hint="eastAsia"/>
                      <w:color w:val="auto"/>
                      <w:lang w:val="en-US"/>
                    </w:rPr>
                    <w:t>、二级保护区。</w:t>
                  </w:r>
                </w:p>
              </w:tc>
              <w:tc>
                <w:tcPr>
                  <w:tcW w:w="517"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lang w:val="en-US"/>
                    </w:rPr>
                  </w:pPr>
                  <w:r>
                    <w:rPr>
                      <w:rFonts w:hint="eastAsia"/>
                      <w:color w:val="auto"/>
                      <w:lang w:val="en-US"/>
                    </w:rPr>
                    <w:t xml:space="preserve">第五条 </w:t>
                  </w:r>
                  <w:r>
                    <w:rPr>
                      <w:color w:val="auto"/>
                      <w:lang w:bidi="zh-CN"/>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654" w:type="pct"/>
                  <w:vAlign w:val="center"/>
                </w:tcPr>
                <w:p>
                  <w:pPr>
                    <w:pStyle w:val="63"/>
                    <w:rPr>
                      <w:color w:val="auto"/>
                      <w:lang w:val="en-US"/>
                    </w:rPr>
                  </w:pPr>
                  <w:r>
                    <w:rPr>
                      <w:rFonts w:hint="eastAsia"/>
                      <w:color w:val="auto"/>
                      <w:lang w:val="en-US"/>
                    </w:rPr>
                    <w:t>本项目</w:t>
                  </w:r>
                  <w:r>
                    <w:rPr>
                      <w:color w:val="auto"/>
                    </w:rPr>
                    <w:t>位于</w:t>
                  </w:r>
                  <w:r>
                    <w:rPr>
                      <w:rFonts w:hint="eastAsia"/>
                      <w:color w:val="auto"/>
                    </w:rPr>
                    <w:t>云南师宗产业园区大同片区（云南天高镍业有限公司内）</w:t>
                  </w:r>
                  <w:r>
                    <w:rPr>
                      <w:rFonts w:hint="eastAsia"/>
                      <w:color w:val="auto"/>
                      <w:lang w:val="en-US"/>
                    </w:rPr>
                    <w:t>，不涉及国家湿地公园，不属于</w:t>
                  </w:r>
                  <w:r>
                    <w:rPr>
                      <w:color w:val="auto"/>
                      <w:lang w:val="en-US"/>
                    </w:rPr>
                    <w:t>围湖造田、围湖造地或围填海等投资建设项目</w:t>
                  </w:r>
                  <w:r>
                    <w:rPr>
                      <w:rFonts w:hint="eastAsia"/>
                      <w:color w:val="auto"/>
                      <w:lang w:val="en-US"/>
                    </w:rPr>
                    <w:t>，也不属于</w:t>
                  </w:r>
                  <w:r>
                    <w:rPr>
                      <w:color w:val="auto"/>
                      <w:lang w:val="en-US"/>
                    </w:rPr>
                    <w:t>建设度假村、高尔夫球场等任何不符合主体功能定位的建设项目</w:t>
                  </w:r>
                  <w:r>
                    <w:rPr>
                      <w:rFonts w:hint="eastAsia"/>
                      <w:color w:val="auto"/>
                      <w:lang w:val="en-US"/>
                    </w:rPr>
                    <w:t>。</w:t>
                  </w:r>
                </w:p>
              </w:tc>
              <w:tc>
                <w:tcPr>
                  <w:tcW w:w="517"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lang w:val="en-US"/>
                    </w:rPr>
                  </w:pPr>
                  <w:r>
                    <w:rPr>
                      <w:color w:val="auto"/>
                      <w:lang w:val="en-US"/>
                    </w:rPr>
                    <w:t>第六条</w:t>
                  </w:r>
                  <w:r>
                    <w:rPr>
                      <w:rFonts w:hint="eastAsia"/>
                      <w:color w:val="auto"/>
                      <w:lang w:val="en-US"/>
                    </w:rPr>
                    <w:t xml:space="preserve"> </w:t>
                  </w:r>
                  <w:r>
                    <w:rPr>
                      <w:color w:val="auto"/>
                      <w:lang w:val="en-US"/>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654" w:type="pct"/>
                  <w:vAlign w:val="center"/>
                </w:tcPr>
                <w:p>
                  <w:pPr>
                    <w:pStyle w:val="63"/>
                    <w:rPr>
                      <w:color w:val="auto"/>
                      <w:lang w:val="en-US"/>
                    </w:rPr>
                  </w:pPr>
                  <w:r>
                    <w:rPr>
                      <w:rFonts w:hint="eastAsia"/>
                      <w:color w:val="auto"/>
                      <w:lang w:val="en-US"/>
                    </w:rPr>
                    <w:t>本项目</w:t>
                  </w:r>
                  <w:r>
                    <w:rPr>
                      <w:rFonts w:hint="eastAsia"/>
                      <w:color w:val="auto"/>
                      <w:lang w:val="en-US" w:eastAsia="zh-CN"/>
                    </w:rPr>
                    <w:t>周边地表水体子午河属于南盘江流域，不在</w:t>
                  </w:r>
                  <w:r>
                    <w:rPr>
                      <w:color w:val="auto"/>
                      <w:lang w:val="en-US"/>
                    </w:rPr>
                    <w:t>金沙江</w:t>
                  </w:r>
                  <w:r>
                    <w:rPr>
                      <w:rFonts w:hint="eastAsia"/>
                      <w:color w:val="auto"/>
                      <w:lang w:val="en-US" w:eastAsia="zh-CN"/>
                    </w:rPr>
                    <w:t>流域内</w:t>
                  </w:r>
                  <w:r>
                    <w:rPr>
                      <w:rFonts w:hint="eastAsia"/>
                      <w:color w:val="auto"/>
                      <w:lang w:val="en-US"/>
                    </w:rPr>
                    <w:t>。</w:t>
                  </w:r>
                </w:p>
              </w:tc>
              <w:tc>
                <w:tcPr>
                  <w:tcW w:w="517"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lang w:val="en-US"/>
                    </w:rPr>
                  </w:pPr>
                  <w:r>
                    <w:rPr>
                      <w:rFonts w:hint="eastAsia"/>
                      <w:color w:val="auto"/>
                      <w:lang w:val="en-US"/>
                    </w:rPr>
                    <w:t xml:space="preserve">第七条 </w:t>
                  </w:r>
                  <w:r>
                    <w:rPr>
                      <w:color w:val="auto"/>
                      <w:lang w:val="en-US"/>
                    </w:rPr>
                    <w:t>禁止在金沙江干流、长江一级支流建设除党中央、国务院、国家投资主管部门、省级有关部门批复同意以外的过江基础设施项目；禁止未经许可在金沙江干流、长江一级支流、九大高原湖泊流域新设、改设或扩大排污口</w:t>
                  </w:r>
                  <w:r>
                    <w:rPr>
                      <w:rFonts w:hint="eastAsia"/>
                      <w:color w:val="auto"/>
                      <w:lang w:val="en-US"/>
                    </w:rPr>
                    <w:t>。</w:t>
                  </w:r>
                </w:p>
              </w:tc>
              <w:tc>
                <w:tcPr>
                  <w:tcW w:w="1654" w:type="pct"/>
                  <w:vAlign w:val="center"/>
                </w:tcPr>
                <w:p>
                  <w:pPr>
                    <w:pStyle w:val="63"/>
                    <w:rPr>
                      <w:color w:val="auto"/>
                      <w:lang w:val="en-US"/>
                    </w:rPr>
                  </w:pPr>
                  <w:r>
                    <w:rPr>
                      <w:rFonts w:hint="eastAsia"/>
                      <w:color w:val="auto"/>
                      <w:lang w:val="en-US"/>
                    </w:rPr>
                    <w:t>本项目</w:t>
                  </w:r>
                  <w:r>
                    <w:rPr>
                      <w:color w:val="auto"/>
                      <w:lang w:val="en-US"/>
                    </w:rPr>
                    <w:t>在</w:t>
                  </w:r>
                  <w:r>
                    <w:rPr>
                      <w:rFonts w:hint="eastAsia"/>
                      <w:color w:val="auto"/>
                      <w:lang w:val="en-US" w:eastAsia="zh-CN"/>
                    </w:rPr>
                    <w:t>周边地表水体子午河属于南盘江流域，不在</w:t>
                  </w:r>
                  <w:r>
                    <w:rPr>
                      <w:color w:val="auto"/>
                      <w:lang w:val="en-US"/>
                    </w:rPr>
                    <w:t>金沙江</w:t>
                  </w:r>
                  <w:r>
                    <w:rPr>
                      <w:rFonts w:hint="eastAsia"/>
                      <w:color w:val="auto"/>
                      <w:lang w:val="en-US" w:eastAsia="zh-CN"/>
                    </w:rPr>
                    <w:t>流域内</w:t>
                  </w:r>
                  <w:r>
                    <w:rPr>
                      <w:rFonts w:hint="eastAsia"/>
                      <w:color w:val="auto"/>
                      <w:lang w:val="en-US"/>
                    </w:rPr>
                    <w:t>。</w:t>
                  </w:r>
                </w:p>
              </w:tc>
              <w:tc>
                <w:tcPr>
                  <w:tcW w:w="517" w:type="pct"/>
                  <w:vAlign w:val="center"/>
                </w:tcPr>
                <w:p>
                  <w:pPr>
                    <w:pStyle w:val="63"/>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lang w:val="en-US"/>
                    </w:rPr>
                  </w:pPr>
                  <w:r>
                    <w:rPr>
                      <w:rFonts w:hint="eastAsia"/>
                      <w:color w:val="auto"/>
                      <w:lang w:val="en-US"/>
                    </w:rPr>
                    <w:t xml:space="preserve">第八条 </w:t>
                  </w:r>
                  <w:r>
                    <w:rPr>
                      <w:color w:val="auto"/>
                      <w:lang w:val="en-US"/>
                    </w:rPr>
                    <w:t>禁止在金沙江干流、长江一级支流、水生生物保护区和长江流域禁捕水域开展天然渔业资源生产性捕捞。</w:t>
                  </w:r>
                </w:p>
              </w:tc>
              <w:tc>
                <w:tcPr>
                  <w:tcW w:w="1654" w:type="pct"/>
                  <w:vAlign w:val="center"/>
                </w:tcPr>
                <w:p>
                  <w:pPr>
                    <w:pStyle w:val="63"/>
                    <w:rPr>
                      <w:color w:val="auto"/>
                    </w:rPr>
                  </w:pPr>
                  <w:r>
                    <w:rPr>
                      <w:rFonts w:hint="eastAsia"/>
                      <w:color w:val="auto"/>
                      <w:lang w:val="en-US"/>
                    </w:rPr>
                    <w:t>本项目不涉及在</w:t>
                  </w:r>
                  <w:r>
                    <w:rPr>
                      <w:color w:val="auto"/>
                      <w:lang w:val="en-US"/>
                    </w:rPr>
                    <w:t>金沙江干流、长江一级支流、水生生物保护区和长江流域禁捕水域开展天然渔业资源生产性捕捞</w:t>
                  </w:r>
                  <w:r>
                    <w:rPr>
                      <w:rFonts w:hint="eastAsia"/>
                      <w:color w:val="auto"/>
                      <w:lang w:val="en-US"/>
                    </w:rPr>
                    <w:t>。</w:t>
                  </w:r>
                </w:p>
              </w:tc>
              <w:tc>
                <w:tcPr>
                  <w:tcW w:w="517" w:type="pct"/>
                  <w:vAlign w:val="center"/>
                </w:tcPr>
                <w:p>
                  <w:pPr>
                    <w:pStyle w:val="63"/>
                    <w:rPr>
                      <w:color w:val="auto"/>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lang w:val="en-US"/>
                    </w:rPr>
                  </w:pPr>
                  <w:r>
                    <w:rPr>
                      <w:color w:val="auto"/>
                      <w:lang w:val="en-US"/>
                    </w:rPr>
                    <w:t>第九条 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654" w:type="pct"/>
                  <w:vAlign w:val="center"/>
                </w:tcPr>
                <w:p>
                  <w:pPr>
                    <w:pStyle w:val="63"/>
                    <w:rPr>
                      <w:color w:val="auto"/>
                    </w:rPr>
                  </w:pPr>
                  <w:r>
                    <w:rPr>
                      <w:rFonts w:hint="eastAsia"/>
                      <w:color w:val="auto"/>
                      <w:lang w:val="en-US"/>
                    </w:rPr>
                    <w:t>本项目不属于</w:t>
                  </w:r>
                  <w:r>
                    <w:rPr>
                      <w:color w:val="auto"/>
                      <w:lang w:val="en-US"/>
                    </w:rPr>
                    <w:t>尾矿库</w:t>
                  </w:r>
                  <w:r>
                    <w:rPr>
                      <w:rFonts w:hint="eastAsia"/>
                      <w:color w:val="auto"/>
                      <w:lang w:val="en-US"/>
                    </w:rPr>
                    <w:t>、冶炼渣库和磷石膏库类建设项目，项目</w:t>
                  </w:r>
                  <w:r>
                    <w:rPr>
                      <w:rFonts w:hint="eastAsia"/>
                      <w:color w:val="auto"/>
                      <w:lang w:bidi="en-US"/>
                    </w:rPr>
                    <w:t>不在</w:t>
                  </w:r>
                  <w:r>
                    <w:rPr>
                      <w:color w:val="auto"/>
                      <w:lang w:bidi="en-US"/>
                    </w:rPr>
                    <w:t>金沙江干流，长江一级支流和九大高原湖泊岸线一公里范围内</w:t>
                  </w:r>
                  <w:r>
                    <w:rPr>
                      <w:rFonts w:hint="eastAsia"/>
                      <w:color w:val="auto"/>
                      <w:lang w:bidi="en-US"/>
                    </w:rPr>
                    <w:t>。</w:t>
                  </w:r>
                </w:p>
              </w:tc>
              <w:tc>
                <w:tcPr>
                  <w:tcW w:w="517" w:type="pct"/>
                  <w:vAlign w:val="center"/>
                </w:tcPr>
                <w:p>
                  <w:pPr>
                    <w:pStyle w:val="63"/>
                    <w:rPr>
                      <w:color w:val="auto"/>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lang w:val="en-US"/>
                    </w:rPr>
                  </w:pPr>
                  <w:r>
                    <w:rPr>
                      <w:color w:val="auto"/>
                      <w:lang w:val="en-US"/>
                    </w:rPr>
                    <w:t>第十条</w:t>
                  </w:r>
                  <w:r>
                    <w:rPr>
                      <w:rFonts w:hint="eastAsia"/>
                      <w:color w:val="auto"/>
                      <w:lang w:val="en-US"/>
                    </w:rPr>
                    <w:t xml:space="preserve"> </w:t>
                  </w:r>
                  <w:r>
                    <w:rPr>
                      <w:color w:val="auto"/>
                      <w:lang w:val="en-US"/>
                    </w:rPr>
                    <w:t>禁止在合规园区外新建、扩建钢铁、石化、化工、焦化、建材、有色、制浆造纸行业中的高污染项目</w:t>
                  </w:r>
                  <w:r>
                    <w:rPr>
                      <w:rFonts w:hint="eastAsia"/>
                      <w:color w:val="auto"/>
                      <w:lang w:val="en-US"/>
                    </w:rPr>
                    <w:t>。</w:t>
                  </w:r>
                </w:p>
              </w:tc>
              <w:tc>
                <w:tcPr>
                  <w:tcW w:w="1654" w:type="pct"/>
                  <w:vAlign w:val="center"/>
                </w:tcPr>
                <w:p>
                  <w:pPr>
                    <w:pStyle w:val="63"/>
                    <w:rPr>
                      <w:color w:val="auto"/>
                    </w:rPr>
                  </w:pPr>
                  <w:r>
                    <w:rPr>
                      <w:rFonts w:hint="eastAsia"/>
                      <w:color w:val="auto"/>
                      <w:lang w:val="en-US"/>
                    </w:rPr>
                    <w:t>本项目</w:t>
                  </w:r>
                  <w:r>
                    <w:rPr>
                      <w:rFonts w:hint="eastAsia"/>
                      <w:color w:val="auto"/>
                      <w:lang w:val="en-US" w:eastAsia="zh-CN"/>
                    </w:rPr>
                    <w:t>不新增钢铁产能，不涉及</w:t>
                  </w:r>
                  <w:r>
                    <w:rPr>
                      <w:color w:val="auto"/>
                      <w:lang w:val="en-US"/>
                    </w:rPr>
                    <w:t>新建、扩建钢铁、石化、化工、焦化、建材、有色、制浆造纸行业中的高污染项目</w:t>
                  </w:r>
                  <w:r>
                    <w:rPr>
                      <w:rFonts w:hint="eastAsia"/>
                      <w:color w:val="auto"/>
                      <w:lang w:val="en-US"/>
                    </w:rPr>
                    <w:t>。</w:t>
                  </w:r>
                </w:p>
              </w:tc>
              <w:tc>
                <w:tcPr>
                  <w:tcW w:w="5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lang w:val="en-US"/>
                    </w:rPr>
                  </w:pPr>
                  <w:r>
                    <w:rPr>
                      <w:color w:val="auto"/>
                      <w:lang w:val="en-US"/>
                    </w:rPr>
                    <w:t>第十一条</w:t>
                  </w:r>
                  <w:r>
                    <w:rPr>
                      <w:rFonts w:hint="eastAsia"/>
                      <w:color w:val="auto"/>
                      <w:lang w:val="en-US"/>
                    </w:rPr>
                    <w:t xml:space="preserve"> </w:t>
                  </w:r>
                  <w:r>
                    <w:rPr>
                      <w:color w:val="auto"/>
                      <w:lang w:val="en-US"/>
                    </w:rPr>
                    <w:t>禁止新建、扩建不符合国家石化、现代煤化工等产业布局规划的项目。禁止列入《云南省城镇人口密集区危险化学品生产企业搬迁改造名单》的搬迁改造企业在原址新建、扩建危险化学品生产项目。</w:t>
                  </w:r>
                </w:p>
              </w:tc>
              <w:tc>
                <w:tcPr>
                  <w:tcW w:w="1654" w:type="pct"/>
                  <w:vAlign w:val="center"/>
                </w:tcPr>
                <w:p>
                  <w:pPr>
                    <w:pStyle w:val="63"/>
                    <w:rPr>
                      <w:color w:val="auto"/>
                      <w:lang w:eastAsia="zh-CN"/>
                    </w:rPr>
                  </w:pPr>
                  <w:r>
                    <w:rPr>
                      <w:rFonts w:hint="eastAsia"/>
                      <w:color w:val="auto"/>
                    </w:rPr>
                    <w:t>本项目</w:t>
                  </w:r>
                  <w:r>
                    <w:rPr>
                      <w:rFonts w:hint="eastAsia"/>
                      <w:color w:val="auto"/>
                      <w:lang w:eastAsia="zh-CN"/>
                    </w:rPr>
                    <w:t>不属于</w:t>
                  </w:r>
                  <w:r>
                    <w:rPr>
                      <w:color w:val="auto"/>
                      <w:lang w:val="en-US"/>
                    </w:rPr>
                    <w:t>国家石化、现代煤化工等产业布局规划的项目</w:t>
                  </w:r>
                  <w:r>
                    <w:rPr>
                      <w:rFonts w:hint="eastAsia"/>
                      <w:color w:val="auto"/>
                      <w:lang w:val="en-US" w:eastAsia="zh-CN"/>
                    </w:rPr>
                    <w:t>，也不在</w:t>
                  </w:r>
                  <w:r>
                    <w:rPr>
                      <w:color w:val="auto"/>
                      <w:lang w:val="en-US"/>
                    </w:rPr>
                    <w:t>《云南省城镇人口密集区危险化学品生产企业搬迁改造名单》的搬迁改造企业</w:t>
                  </w:r>
                  <w:r>
                    <w:rPr>
                      <w:rFonts w:hint="eastAsia"/>
                      <w:color w:val="auto"/>
                      <w:lang w:val="en-US" w:eastAsia="zh-CN"/>
                    </w:rPr>
                    <w:t>中。</w:t>
                  </w:r>
                </w:p>
              </w:tc>
              <w:tc>
                <w:tcPr>
                  <w:tcW w:w="517"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3"/>
                    <w:rPr>
                      <w:color w:val="auto"/>
                      <w:lang w:val="en-US"/>
                    </w:rPr>
                  </w:pPr>
                  <w:r>
                    <w:rPr>
                      <w:color w:val="auto"/>
                      <w:lang w:val="en-US"/>
                    </w:rPr>
                    <w:t>第十二条</w:t>
                  </w:r>
                  <w:r>
                    <w:rPr>
                      <w:rFonts w:hint="eastAsia"/>
                      <w:color w:val="auto"/>
                      <w:lang w:val="en-US"/>
                    </w:rPr>
                    <w:t xml:space="preserve"> </w:t>
                  </w:r>
                  <w:r>
                    <w:rPr>
                      <w:color w:val="auto"/>
                      <w:lang w:val="en-US"/>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654" w:type="pct"/>
                  <w:vAlign w:val="center"/>
                </w:tcPr>
                <w:p>
                  <w:pPr>
                    <w:pStyle w:val="63"/>
                    <w:rPr>
                      <w:color w:val="auto"/>
                    </w:rPr>
                  </w:pPr>
                  <w:r>
                    <w:rPr>
                      <w:rFonts w:hint="eastAsia"/>
                      <w:color w:val="auto"/>
                    </w:rPr>
                    <w:t>本项目不涉及</w:t>
                  </w:r>
                  <w:r>
                    <w:rPr>
                      <w:color w:val="auto"/>
                      <w:lang w:val="en-US"/>
                    </w:rPr>
                    <w:t>新建、扩建法律法规和相关政策明令禁止的落后产能项目</w:t>
                  </w:r>
                  <w:r>
                    <w:rPr>
                      <w:rFonts w:hint="eastAsia"/>
                      <w:color w:val="auto"/>
                      <w:lang w:val="en-US" w:eastAsia="zh-CN"/>
                    </w:rPr>
                    <w:t>，不涉及</w:t>
                  </w:r>
                  <w:r>
                    <w:rPr>
                      <w:color w:val="auto"/>
                      <w:lang w:val="en-US"/>
                    </w:rPr>
                    <w:t>高毒高残留以及对环境影响大的农药原药生产装置，</w:t>
                  </w:r>
                  <w:r>
                    <w:rPr>
                      <w:rFonts w:hint="eastAsia"/>
                      <w:color w:val="auto"/>
                      <w:lang w:val="en-US" w:eastAsia="zh-CN"/>
                    </w:rPr>
                    <w:t>不属于</w:t>
                  </w:r>
                  <w:r>
                    <w:rPr>
                      <w:color w:val="auto"/>
                      <w:lang w:val="en-US"/>
                    </w:rPr>
                    <w:t>尿素、磷铵、电石、焦炭、黄磷、烧碱、纯碱、聚氯乙烯等行业</w:t>
                  </w:r>
                  <w:r>
                    <w:rPr>
                      <w:rFonts w:hint="eastAsia"/>
                      <w:color w:val="auto"/>
                    </w:rPr>
                    <w:t>。</w:t>
                  </w:r>
                </w:p>
              </w:tc>
              <w:tc>
                <w:tcPr>
                  <w:tcW w:w="517" w:type="pct"/>
                  <w:vAlign w:val="center"/>
                </w:tcPr>
                <w:p>
                  <w:pPr>
                    <w:pStyle w:val="63"/>
                    <w:rPr>
                      <w:color w:val="auto"/>
                    </w:rPr>
                  </w:pPr>
                  <w:r>
                    <w:rPr>
                      <w:rFonts w:hint="eastAsia"/>
                      <w:color w:val="auto"/>
                    </w:rPr>
                    <w:t>符合</w:t>
                  </w:r>
                </w:p>
              </w:tc>
            </w:tr>
          </w:tbl>
          <w:p>
            <w:pPr>
              <w:ind w:firstLine="480"/>
              <w:rPr>
                <w:color w:val="auto"/>
              </w:rPr>
            </w:pPr>
            <w:r>
              <w:rPr>
                <w:rFonts w:hint="eastAsia"/>
                <w:color w:val="auto"/>
              </w:rPr>
              <w:t>综上，项目符合《云南省长江经济带发展负面清单指南实施细则（试行，</w:t>
            </w:r>
            <w:r>
              <w:rPr>
                <w:color w:val="auto"/>
              </w:rPr>
              <w:t>2022</w:t>
            </w:r>
            <w:r>
              <w:rPr>
                <w:rFonts w:hint="eastAsia"/>
                <w:color w:val="auto"/>
              </w:rPr>
              <w:t>年版）》（</w:t>
            </w:r>
            <w:r>
              <w:rPr>
                <w:color w:val="auto"/>
              </w:rPr>
              <w:t>云发改基础〔</w:t>
            </w:r>
            <w:r>
              <w:rPr>
                <w:rFonts w:hint="eastAsia"/>
                <w:color w:val="auto"/>
              </w:rPr>
              <w:t>2022</w:t>
            </w:r>
            <w:r>
              <w:rPr>
                <w:color w:val="auto"/>
              </w:rPr>
              <w:t>〕</w:t>
            </w:r>
            <w:r>
              <w:rPr>
                <w:rFonts w:hint="eastAsia"/>
                <w:color w:val="auto"/>
              </w:rPr>
              <w:t>894</w:t>
            </w:r>
            <w:r>
              <w:rPr>
                <w:color w:val="auto"/>
              </w:rPr>
              <w:t>号</w:t>
            </w:r>
            <w:r>
              <w:rPr>
                <w:rFonts w:hint="eastAsia"/>
                <w:color w:val="auto"/>
              </w:rPr>
              <w:t>）相关要求。</w:t>
            </w:r>
          </w:p>
          <w:p>
            <w:pPr>
              <w:pStyle w:val="56"/>
              <w:spacing w:before="60" w:after="60"/>
              <w:rPr>
                <w:color w:val="auto"/>
              </w:rPr>
            </w:pPr>
            <w:r>
              <w:rPr>
                <w:rFonts w:hint="eastAsia"/>
                <w:color w:val="auto"/>
              </w:rPr>
              <w:t>1</w:t>
            </w:r>
            <w:r>
              <w:rPr>
                <w:color w:val="auto"/>
              </w:rPr>
              <w:t>.5.7</w:t>
            </w:r>
            <w:r>
              <w:rPr>
                <w:rFonts w:hint="eastAsia"/>
                <w:bCs/>
                <w:color w:val="auto"/>
              </w:rPr>
              <w:t>与《工业炉窑大气污染综合治理方案》（环大气</w:t>
            </w:r>
            <w:r>
              <w:rPr>
                <w:rFonts w:hint="eastAsia" w:ascii="宋体" w:hAnsi="宋体"/>
                <w:bCs/>
                <w:color w:val="auto"/>
              </w:rPr>
              <w:t>〔</w:t>
            </w:r>
            <w:r>
              <w:rPr>
                <w:rFonts w:hint="eastAsia"/>
                <w:bCs/>
                <w:color w:val="auto"/>
              </w:rPr>
              <w:t>2019</w:t>
            </w:r>
            <w:r>
              <w:rPr>
                <w:rFonts w:hint="eastAsia" w:ascii="宋体" w:hAnsi="宋体"/>
                <w:bCs/>
                <w:color w:val="auto"/>
              </w:rPr>
              <w:t>〕</w:t>
            </w:r>
            <w:r>
              <w:rPr>
                <w:rFonts w:hint="eastAsia"/>
                <w:bCs/>
                <w:color w:val="auto"/>
              </w:rPr>
              <w:t>56号）</w:t>
            </w:r>
            <w:r>
              <w:rPr>
                <w:rFonts w:hint="eastAsia"/>
                <w:color w:val="auto"/>
              </w:rPr>
              <w:t>符合性分析</w:t>
            </w:r>
          </w:p>
          <w:p>
            <w:pPr>
              <w:pStyle w:val="66"/>
              <w:rPr>
                <w:color w:val="auto"/>
              </w:rPr>
            </w:pPr>
            <w:r>
              <w:rPr>
                <w:rFonts w:hint="eastAsia"/>
                <w:color w:val="auto"/>
              </w:rPr>
              <w:t>表1</w:t>
            </w:r>
            <w:r>
              <w:rPr>
                <w:color w:val="auto"/>
              </w:rPr>
              <w:t>.5-6</w:t>
            </w:r>
            <w:r>
              <w:rPr>
                <w:rFonts w:hint="eastAsia"/>
                <w:color w:val="auto"/>
              </w:rPr>
              <w:t xml:space="preserve"> 项目与</w:t>
            </w:r>
            <w:r>
              <w:rPr>
                <w:color w:val="auto"/>
              </w:rPr>
              <w:t>《工业炉窑大气污染综合治理方案》符合性分析</w:t>
            </w:r>
            <w:r>
              <w:rPr>
                <w:rFonts w:hint="eastAsia"/>
                <w:color w:val="auto"/>
              </w:rPr>
              <w:t>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4285"/>
              <w:gridCol w:w="1869"/>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Align w:val="center"/>
                </w:tcPr>
                <w:p>
                  <w:pPr>
                    <w:pStyle w:val="63"/>
                    <w:rPr>
                      <w:color w:val="auto"/>
                    </w:rPr>
                  </w:pPr>
                  <w:r>
                    <w:rPr>
                      <w:rFonts w:hint="eastAsia"/>
                      <w:color w:val="auto"/>
                    </w:rPr>
                    <w:t>序号</w:t>
                  </w:r>
                </w:p>
              </w:tc>
              <w:tc>
                <w:tcPr>
                  <w:tcW w:w="2753" w:type="pct"/>
                  <w:vAlign w:val="center"/>
                </w:tcPr>
                <w:p>
                  <w:pPr>
                    <w:pStyle w:val="63"/>
                    <w:rPr>
                      <w:color w:val="auto"/>
                    </w:rPr>
                  </w:pPr>
                  <w:r>
                    <w:rPr>
                      <w:rFonts w:hint="eastAsia"/>
                      <w:color w:val="auto"/>
                      <w:lang w:eastAsia="zh-CN"/>
                    </w:rPr>
                    <w:t>方案要求</w:t>
                  </w:r>
                </w:p>
              </w:tc>
              <w:tc>
                <w:tcPr>
                  <w:tcW w:w="1201" w:type="pct"/>
                  <w:vAlign w:val="center"/>
                </w:tcPr>
                <w:p>
                  <w:pPr>
                    <w:pStyle w:val="63"/>
                    <w:rPr>
                      <w:color w:val="auto"/>
                    </w:rPr>
                  </w:pPr>
                  <w:r>
                    <w:rPr>
                      <w:rFonts w:hint="eastAsia"/>
                      <w:color w:val="auto"/>
                    </w:rPr>
                    <w:t>项目情况</w:t>
                  </w:r>
                </w:p>
              </w:tc>
              <w:tc>
                <w:tcPr>
                  <w:tcW w:w="591" w:type="pct"/>
                  <w:vAlign w:val="center"/>
                </w:tcPr>
                <w:p>
                  <w:pPr>
                    <w:pStyle w:val="63"/>
                    <w:rPr>
                      <w:color w:val="auto"/>
                    </w:rPr>
                  </w:pPr>
                  <w:r>
                    <w:rPr>
                      <w:rFonts w:hint="eastAsia"/>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Align w:val="center"/>
                </w:tcPr>
                <w:p>
                  <w:pPr>
                    <w:pStyle w:val="63"/>
                    <w:rPr>
                      <w:color w:val="auto"/>
                    </w:rPr>
                  </w:pPr>
                  <w:r>
                    <w:rPr>
                      <w:rFonts w:hint="eastAsia"/>
                      <w:color w:val="auto"/>
                    </w:rPr>
                    <w:t>1</w:t>
                  </w:r>
                </w:p>
              </w:tc>
              <w:tc>
                <w:tcPr>
                  <w:tcW w:w="2753" w:type="pct"/>
                  <w:vAlign w:val="center"/>
                </w:tcPr>
                <w:p>
                  <w:pPr>
                    <w:pStyle w:val="63"/>
                    <w:rPr>
                      <w:color w:val="auto"/>
                    </w:rPr>
                  </w:pPr>
                  <w:r>
                    <w:rPr>
                      <w:rFonts w:hint="eastAsia"/>
                      <w:color w:val="auto"/>
                    </w:rPr>
                    <w:t>加大产业结构调整力度。严格建设项目环境准入。新建设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加大落后产能和不达标工业炉窑淘汰力度。分行业清理《产业结构调整指导目录》淘汰类工业炉窑。天津、河北、山西、江苏、山东等地要按时完成各地已出台的钢铁、焦化、化工等行业产业结构调整任务。鼓励各地制定更加严格的环保标准，进一步促进产业结构调整。对热效率低下、敞开未封闭，装备简易落后、自动化程度低，无组织排放突出，以及无治理设施或治理设施工艺落后等严重污染环境的工业炉窑，依法责令停业关闭。</w:t>
                  </w:r>
                </w:p>
              </w:tc>
              <w:tc>
                <w:tcPr>
                  <w:tcW w:w="1201" w:type="pct"/>
                  <w:vAlign w:val="center"/>
                </w:tcPr>
                <w:p>
                  <w:pPr>
                    <w:pStyle w:val="63"/>
                    <w:rPr>
                      <w:color w:val="auto"/>
                    </w:rPr>
                  </w:pPr>
                  <w:r>
                    <w:rPr>
                      <w:rFonts w:hint="eastAsia"/>
                      <w:color w:val="auto"/>
                    </w:rPr>
                    <w:t>本项目位于云南师宗产业园区大同片区内，不属于重点区域，使用清洁能源天然气，</w:t>
                  </w:r>
                  <w:r>
                    <w:rPr>
                      <w:rFonts w:hint="eastAsia"/>
                      <w:color w:val="auto"/>
                      <w:lang w:eastAsia="zh-CN"/>
                    </w:rPr>
                    <w:t>现有项目热</w:t>
                  </w:r>
                  <w:r>
                    <w:rPr>
                      <w:rFonts w:hint="eastAsia"/>
                      <w:color w:val="auto"/>
                    </w:rPr>
                    <w:t>退火炉不属于《产业结构调整指导目录》淘汰类工业炉窑。</w:t>
                  </w:r>
                </w:p>
              </w:tc>
              <w:tc>
                <w:tcPr>
                  <w:tcW w:w="591"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Align w:val="center"/>
                </w:tcPr>
                <w:p>
                  <w:pPr>
                    <w:pStyle w:val="63"/>
                    <w:rPr>
                      <w:color w:val="auto"/>
                    </w:rPr>
                  </w:pPr>
                  <w:r>
                    <w:rPr>
                      <w:rFonts w:hint="eastAsia"/>
                      <w:color w:val="auto"/>
                    </w:rPr>
                    <w:t>2</w:t>
                  </w:r>
                </w:p>
              </w:tc>
              <w:tc>
                <w:tcPr>
                  <w:tcW w:w="2753" w:type="pct"/>
                  <w:vAlign w:val="center"/>
                </w:tcPr>
                <w:p>
                  <w:pPr>
                    <w:pStyle w:val="63"/>
                    <w:rPr>
                      <w:color w:val="auto"/>
                    </w:rPr>
                  </w:pPr>
                  <w:r>
                    <w:rPr>
                      <w:rFonts w:hint="eastAsia"/>
                      <w:color w:val="auto"/>
                    </w:rPr>
                    <w:t>加快燃料清洁低碳化替代。对以煤、石油焦、渣油、重油等为燃料的工业炉窑，加快使用清洁低碳能源以及利用工厂余热、电厂热力等进行替代。重点区域禁止掺烧高硫石油焦（硫含量大于3%）。玻璃行业全面禁止掺烧高硫石油焦。加大煤气发生炉淘汰力度。2020年年底前，重点区域淘汰炉膛直径3米以下燃料类煤气发生炉；集中使用煤气发生炉的工业园区，暂不具备改用天然气条件的，原则上应建设统一的清洁煤制气中心。加快淘汰燃煤工业炉窑。重点区域取缔燃煤热风炉，基本淘汰热电联产供热管网覆盖范围内的燃煤加热、烘干炉（窑）。加快推动铸造（10吨/小时及以下）、岩棉等行业冲天炉改为电炉。</w:t>
                  </w:r>
                </w:p>
              </w:tc>
              <w:tc>
                <w:tcPr>
                  <w:tcW w:w="1201" w:type="pct"/>
                  <w:vAlign w:val="center"/>
                </w:tcPr>
                <w:p>
                  <w:pPr>
                    <w:pStyle w:val="63"/>
                    <w:rPr>
                      <w:color w:val="auto"/>
                    </w:rPr>
                  </w:pPr>
                  <w:r>
                    <w:rPr>
                      <w:rFonts w:hint="eastAsia"/>
                      <w:color w:val="auto"/>
                    </w:rPr>
                    <w:t>本项目不</w:t>
                  </w:r>
                  <w:r>
                    <w:rPr>
                      <w:rFonts w:hint="eastAsia"/>
                      <w:color w:val="auto"/>
                      <w:lang w:eastAsia="zh-CN"/>
                    </w:rPr>
                    <w:t>在</w:t>
                  </w:r>
                  <w:r>
                    <w:rPr>
                      <w:rFonts w:hint="eastAsia"/>
                      <w:color w:val="auto"/>
                    </w:rPr>
                    <w:t>重点区域，且</w:t>
                  </w:r>
                  <w:r>
                    <w:rPr>
                      <w:rFonts w:hint="eastAsia"/>
                      <w:color w:val="auto"/>
                      <w:lang w:eastAsia="zh-CN"/>
                    </w:rPr>
                    <w:t>热</w:t>
                  </w:r>
                  <w:r>
                    <w:rPr>
                      <w:rFonts w:hint="eastAsia"/>
                      <w:color w:val="auto"/>
                    </w:rPr>
                    <w:t>退火炉使用清洁能源天然气</w:t>
                  </w:r>
                  <w:r>
                    <w:rPr>
                      <w:rFonts w:hint="eastAsia"/>
                      <w:color w:val="auto"/>
                      <w:lang w:eastAsia="zh-CN"/>
                    </w:rPr>
                    <w:t>。</w:t>
                  </w:r>
                </w:p>
              </w:tc>
              <w:tc>
                <w:tcPr>
                  <w:tcW w:w="591"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Align w:val="center"/>
                </w:tcPr>
                <w:p>
                  <w:pPr>
                    <w:pStyle w:val="63"/>
                    <w:rPr>
                      <w:color w:val="auto"/>
                    </w:rPr>
                  </w:pPr>
                  <w:r>
                    <w:rPr>
                      <w:rFonts w:hint="eastAsia"/>
                      <w:color w:val="auto"/>
                    </w:rPr>
                    <w:t>3</w:t>
                  </w:r>
                </w:p>
              </w:tc>
              <w:tc>
                <w:tcPr>
                  <w:tcW w:w="2753" w:type="pct"/>
                  <w:vAlign w:val="center"/>
                </w:tcPr>
                <w:p>
                  <w:pPr>
                    <w:pStyle w:val="63"/>
                    <w:rPr>
                      <w:color w:val="auto"/>
                    </w:rPr>
                  </w:pPr>
                  <w:r>
                    <w:rPr>
                      <w:rFonts w:hint="eastAsia"/>
                      <w:color w:val="auto"/>
                    </w:rPr>
                    <w:t>实施污染深度治理。推进工业炉窑全面达标排放。已有行业排放标准的工业炉窑（见附件3），严格执行行业排放标准相关规定，配套建设高效脱硫脱硝除尘设施（见附件4），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推进重点行业污染深度治理。落实《关于推进实施钢铁行业超低排放的意见》，加快推进钢铁行业超低排放改造。积极推进电解铝、平板玻璃、水泥、焦化等行业污染治理升级改造。重点区域内电解铝企业全面推进烟气脱硫设施建设；全面加大热残极冷却过程无组织排放治理力度，建设封闭高效的烟气收集系统，实现残极冷却烟气有效处理。重点区域内平板玻璃、建筑陶瓷企业应逐步取消脱硫脱硝烟气旁路或设置备用脱硫脱硝等设施，鼓励水泥企业实施全流程污染深度治理。推进具备条件的焦化企业实施干熄焦改造，在保证安全生产前提下，重点区域城市建成区内焦炉实施炉体加罩封闭，并对废气进行收集处理</w:t>
                  </w:r>
                </w:p>
              </w:tc>
              <w:tc>
                <w:tcPr>
                  <w:tcW w:w="1201" w:type="pct"/>
                  <w:vAlign w:val="center"/>
                </w:tcPr>
                <w:p>
                  <w:pPr>
                    <w:pStyle w:val="63"/>
                    <w:rPr>
                      <w:color w:val="auto"/>
                    </w:rPr>
                  </w:pPr>
                  <w:r>
                    <w:rPr>
                      <w:rFonts w:hint="eastAsia"/>
                      <w:color w:val="auto"/>
                    </w:rPr>
                    <w:t>本项目</w:t>
                  </w:r>
                  <w:r>
                    <w:rPr>
                      <w:rFonts w:hint="eastAsia"/>
                      <w:color w:val="auto"/>
                      <w:lang w:eastAsia="zh-CN"/>
                    </w:rPr>
                    <w:t>废气</w:t>
                  </w:r>
                  <w:r>
                    <w:rPr>
                      <w:rFonts w:hint="eastAsia"/>
                      <w:color w:val="auto"/>
                    </w:rPr>
                    <w:t>排放标准执行《轧钢工业大气污染物排放标准》（GB28665-2012）及其修改单表2中其他热处理炉排放标准，本项目</w:t>
                  </w:r>
                  <w:r>
                    <w:rPr>
                      <w:rFonts w:hint="eastAsia"/>
                      <w:color w:val="auto"/>
                      <w:lang w:eastAsia="zh-CN"/>
                    </w:rPr>
                    <w:t>热</w:t>
                  </w:r>
                  <w:r>
                    <w:rPr>
                      <w:rFonts w:hint="eastAsia"/>
                      <w:color w:val="auto"/>
                    </w:rPr>
                    <w:t>退火炉排放的</w:t>
                  </w:r>
                  <w:r>
                    <w:rPr>
                      <w:rFonts w:hint="eastAsia"/>
                      <w:color w:val="auto"/>
                      <w:lang w:eastAsia="zh-CN"/>
                    </w:rPr>
                    <w:t>颗粒物</w:t>
                  </w:r>
                  <w:r>
                    <w:rPr>
                      <w:rFonts w:hint="eastAsia"/>
                      <w:color w:val="auto"/>
                    </w:rPr>
                    <w:t>、SO</w:t>
                  </w:r>
                  <w:r>
                    <w:rPr>
                      <w:rFonts w:hint="eastAsia"/>
                      <w:color w:val="auto"/>
                      <w:vertAlign w:val="subscript"/>
                    </w:rPr>
                    <w:t>2</w:t>
                  </w:r>
                  <w:r>
                    <w:rPr>
                      <w:rFonts w:hint="eastAsia"/>
                      <w:color w:val="auto"/>
                    </w:rPr>
                    <w:t>、NOx均能满足排放标准要求限制。本项目</w:t>
                  </w:r>
                  <w:r>
                    <w:rPr>
                      <w:rFonts w:hint="eastAsia"/>
                      <w:color w:val="auto"/>
                      <w:lang w:eastAsia="zh-CN"/>
                    </w:rPr>
                    <w:t>不在</w:t>
                  </w:r>
                  <w:r>
                    <w:rPr>
                      <w:rFonts w:hint="eastAsia"/>
                      <w:color w:val="auto"/>
                    </w:rPr>
                    <w:t>重点区域。</w:t>
                  </w:r>
                </w:p>
              </w:tc>
              <w:tc>
                <w:tcPr>
                  <w:tcW w:w="591" w:type="pct"/>
                  <w:vAlign w:val="center"/>
                </w:tcPr>
                <w:p>
                  <w:pPr>
                    <w:pStyle w:val="63"/>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Align w:val="center"/>
                </w:tcPr>
                <w:p>
                  <w:pPr>
                    <w:pStyle w:val="63"/>
                    <w:rPr>
                      <w:color w:val="auto"/>
                    </w:rPr>
                  </w:pPr>
                  <w:r>
                    <w:rPr>
                      <w:rFonts w:hint="eastAsia"/>
                      <w:color w:val="auto"/>
                    </w:rPr>
                    <w:t>4</w:t>
                  </w:r>
                </w:p>
              </w:tc>
              <w:tc>
                <w:tcPr>
                  <w:tcW w:w="2753" w:type="pct"/>
                  <w:vAlign w:val="center"/>
                </w:tcPr>
                <w:p>
                  <w:pPr>
                    <w:pStyle w:val="63"/>
                    <w:rPr>
                      <w:color w:val="auto"/>
                    </w:rPr>
                  </w:pPr>
                  <w:r>
                    <w:rPr>
                      <w:rFonts w:hint="eastAsia"/>
                      <w:color w:val="auto"/>
                    </w:rPr>
                    <w:t>开展工业园区和产业集群综合整治。各地要加大涉工业炉窑类工业园区和产业集群的综合整治力度，结合“三线一单”（生态保护红线、环境质量底线、资源利用上线和生态环境准入清单）、规划环评等要求，进一步梳理确定园区和产业发展定位、规模及结构等。制定综合整治方案，对标先进企业，从生产工艺、产能规模、燃料类型、污染治理等方面提出明确要求，提升产业发展质量和环保治理水平。按照统一标准、统一时间表的要求，同步推进区域环境综合整治和企业升级改造。加强工业园区能源替代利用与资源共享，积极推广集中供汽供热或建设清洁低碳能源中心等，替代工业炉窑燃料用煤；充分利用园区内工厂余热、焦炉煤气等清洁低碳能源，加强分质与梯级利用，提高能源利用效率，促进形成清洁低碳高效产业链。加强涉工业炉窑企业运输结构调整，京津冀及周边地区大宗货物年货运量150万吨及以上的，原则上全部修建铁路专用线；具有铁路专用线的，大宗货物铁路运输比例应达到80%以上。涉工业炉窑类产业集群主要包括陶瓷、玻璃、砖瓦、耐火材料、石灰、矿物棉、铸造、独立轧钢、铁合金、再生有色金属、</w:t>
                  </w:r>
                  <w:r>
                    <w:rPr>
                      <w:rFonts w:hint="eastAsia"/>
                      <w:color w:val="auto"/>
                      <w:lang w:eastAsia="zh-CN"/>
                    </w:rPr>
                    <w:t>碳素</w:t>
                  </w:r>
                  <w:r>
                    <w:rPr>
                      <w:rFonts w:hint="eastAsia"/>
                      <w:color w:val="auto"/>
                    </w:rPr>
                    <w:t>、化工等行业。各地应结合当地产业发展特征等自行确定。</w:t>
                  </w:r>
                </w:p>
              </w:tc>
              <w:tc>
                <w:tcPr>
                  <w:tcW w:w="1201" w:type="pct"/>
                  <w:vAlign w:val="center"/>
                </w:tcPr>
                <w:p>
                  <w:pPr>
                    <w:pStyle w:val="63"/>
                    <w:rPr>
                      <w:color w:val="auto"/>
                    </w:rPr>
                  </w:pPr>
                  <w:r>
                    <w:rPr>
                      <w:rFonts w:hint="eastAsia"/>
                      <w:color w:val="auto"/>
                    </w:rPr>
                    <w:t>本项目位于云南师宗产业园区大同片区，</w:t>
                  </w:r>
                  <w:r>
                    <w:rPr>
                      <w:rFonts w:hint="eastAsia"/>
                      <w:color w:val="auto"/>
                      <w:lang w:eastAsia="zh-CN"/>
                    </w:rPr>
                    <w:t>热</w:t>
                  </w:r>
                  <w:r>
                    <w:rPr>
                      <w:rFonts w:hint="eastAsia"/>
                      <w:color w:val="auto"/>
                    </w:rPr>
                    <w:t>退火炉使用清洁能源天然气，项目产生的高温烟气通过</w:t>
                  </w:r>
                  <w:r>
                    <w:rPr>
                      <w:rFonts w:hint="eastAsia"/>
                      <w:color w:val="auto"/>
                      <w:lang w:eastAsia="zh-CN"/>
                    </w:rPr>
                    <w:t>高压风机引入后续干燥烘干</w:t>
                  </w:r>
                  <w:r>
                    <w:rPr>
                      <w:rFonts w:hint="eastAsia"/>
                      <w:color w:val="auto"/>
                    </w:rPr>
                    <w:t>，提高了能源利用效率。</w:t>
                  </w:r>
                </w:p>
              </w:tc>
              <w:tc>
                <w:tcPr>
                  <w:tcW w:w="591" w:type="pct"/>
                  <w:vAlign w:val="center"/>
                </w:tcPr>
                <w:p>
                  <w:pPr>
                    <w:pStyle w:val="63"/>
                    <w:rPr>
                      <w:color w:val="auto"/>
                    </w:rPr>
                  </w:pPr>
                  <w:r>
                    <w:rPr>
                      <w:rFonts w:hint="eastAsia"/>
                      <w:color w:val="auto"/>
                    </w:rPr>
                    <w:t>符合</w:t>
                  </w:r>
                </w:p>
              </w:tc>
            </w:tr>
          </w:tbl>
          <w:p>
            <w:pPr>
              <w:ind w:firstLine="480"/>
              <w:rPr>
                <w:color w:val="auto"/>
              </w:rPr>
            </w:pPr>
            <w:r>
              <w:rPr>
                <w:rFonts w:hint="eastAsia"/>
                <w:color w:val="auto"/>
              </w:rPr>
              <w:t>对照上表，本项目的建设与</w:t>
            </w:r>
            <w:r>
              <w:rPr>
                <w:color w:val="auto"/>
              </w:rPr>
              <w:t>《工业炉窑大气污染综合治理方案》（环大气</w:t>
            </w:r>
            <w:r>
              <w:rPr>
                <w:rFonts w:hint="eastAsia" w:ascii="宋体" w:hAnsi="宋体"/>
                <w:bCs/>
                <w:color w:val="auto"/>
              </w:rPr>
              <w:t>〔</w:t>
            </w:r>
            <w:r>
              <w:rPr>
                <w:rFonts w:hint="eastAsia"/>
                <w:bCs/>
                <w:color w:val="auto"/>
              </w:rPr>
              <w:t>2019</w:t>
            </w:r>
            <w:r>
              <w:rPr>
                <w:rFonts w:hint="eastAsia" w:ascii="宋体" w:hAnsi="宋体"/>
                <w:bCs/>
                <w:color w:val="auto"/>
              </w:rPr>
              <w:t>〕</w:t>
            </w:r>
            <w:r>
              <w:rPr>
                <w:color w:val="auto"/>
              </w:rPr>
              <w:t>56号）</w:t>
            </w:r>
            <w:r>
              <w:rPr>
                <w:rFonts w:hint="eastAsia"/>
                <w:color w:val="auto"/>
              </w:rPr>
              <w:t>相符。</w:t>
            </w:r>
          </w:p>
          <w:p>
            <w:pPr>
              <w:pStyle w:val="51"/>
              <w:spacing w:before="120" w:after="120"/>
              <w:rPr>
                <w:color w:val="auto"/>
              </w:rPr>
            </w:pPr>
            <w:r>
              <w:rPr>
                <w:rFonts w:hint="eastAsia"/>
                <w:color w:val="auto"/>
              </w:rPr>
              <w:t>1.</w:t>
            </w:r>
            <w:r>
              <w:rPr>
                <w:color w:val="auto"/>
              </w:rPr>
              <w:t>6</w:t>
            </w:r>
            <w:r>
              <w:rPr>
                <w:rFonts w:hint="eastAsia"/>
                <w:color w:val="auto"/>
              </w:rPr>
              <w:t>选址合理性及周边环境相容性分析</w:t>
            </w:r>
          </w:p>
          <w:p>
            <w:pPr>
              <w:pStyle w:val="56"/>
              <w:spacing w:before="60" w:after="60"/>
              <w:rPr>
                <w:color w:val="auto"/>
              </w:rPr>
            </w:pPr>
            <w:r>
              <w:rPr>
                <w:rFonts w:hint="eastAsia"/>
                <w:color w:val="auto"/>
              </w:rPr>
              <w:t>1</w:t>
            </w:r>
            <w:r>
              <w:rPr>
                <w:color w:val="auto"/>
              </w:rPr>
              <w:t>.6.1选址合理性分析</w:t>
            </w:r>
          </w:p>
          <w:p>
            <w:pPr>
              <w:pStyle w:val="80"/>
              <w:ind w:firstLine="482"/>
              <w:rPr>
                <w:color w:val="auto"/>
              </w:rPr>
            </w:pPr>
            <w:r>
              <w:rPr>
                <w:color w:val="auto"/>
              </w:rPr>
              <w:t>1.</w:t>
            </w:r>
            <w:r>
              <w:rPr>
                <w:rFonts w:hint="eastAsia"/>
                <w:color w:val="auto"/>
              </w:rPr>
              <w:t>用地情况</w:t>
            </w:r>
          </w:p>
          <w:p>
            <w:pPr>
              <w:pStyle w:val="8"/>
              <w:ind w:firstLine="480"/>
              <w:rPr>
                <w:rFonts w:hAnsiTheme="minorEastAsia" w:eastAsiaTheme="minorEastAsia"/>
                <w:color w:val="auto"/>
              </w:rPr>
            </w:pPr>
            <w:r>
              <w:rPr>
                <w:rFonts w:hint="eastAsia" w:hAnsiTheme="minorEastAsia" w:eastAsiaTheme="minorEastAsia"/>
                <w:color w:val="auto"/>
              </w:rPr>
              <w:t>本项目在现有年产3</w:t>
            </w:r>
            <w:r>
              <w:rPr>
                <w:rFonts w:hAnsiTheme="minorEastAsia" w:eastAsiaTheme="minorEastAsia"/>
                <w:color w:val="auto"/>
              </w:rPr>
              <w:t>0</w:t>
            </w:r>
            <w:r>
              <w:rPr>
                <w:rFonts w:hint="eastAsia" w:hAnsiTheme="minorEastAsia" w:eastAsiaTheme="minorEastAsia"/>
                <w:color w:val="auto"/>
              </w:rPr>
              <w:t>万吨热退火酸洗生产线建设项目生产车间内进行技改，土地用地性质为工业用地。</w:t>
            </w:r>
          </w:p>
          <w:p>
            <w:pPr>
              <w:pStyle w:val="80"/>
              <w:ind w:firstLine="482"/>
              <w:rPr>
                <w:color w:val="auto"/>
              </w:rPr>
            </w:pPr>
            <w:r>
              <w:rPr>
                <w:color w:val="auto"/>
              </w:rPr>
              <w:t>2.</w:t>
            </w:r>
            <w:r>
              <w:rPr>
                <w:rFonts w:hint="eastAsia"/>
                <w:color w:val="auto"/>
              </w:rPr>
              <w:t>厂址建设条件</w:t>
            </w:r>
          </w:p>
          <w:p>
            <w:pPr>
              <w:ind w:firstLine="480"/>
              <w:rPr>
                <w:color w:val="auto"/>
              </w:rPr>
            </w:pPr>
            <w:r>
              <w:rPr>
                <w:rFonts w:hint="eastAsia"/>
                <w:color w:val="auto"/>
              </w:rPr>
              <w:t>项目所在区域无不良地质因素影响，符合工程建设地质要求，项目周边5</w:t>
            </w:r>
            <w:r>
              <w:rPr>
                <w:color w:val="auto"/>
              </w:rPr>
              <w:t>00</w:t>
            </w:r>
            <w:r>
              <w:rPr>
                <w:rFonts w:hint="eastAsia"/>
                <w:color w:val="auto"/>
              </w:rPr>
              <w:t>m范围内分布的企业主要为云南天高镍业有限公司和建设单位年产1</w:t>
            </w:r>
            <w:r>
              <w:rPr>
                <w:color w:val="auto"/>
              </w:rPr>
              <w:t>40</w:t>
            </w:r>
            <w:r>
              <w:rPr>
                <w:rFonts w:hint="eastAsia"/>
                <w:color w:val="auto"/>
              </w:rPr>
              <w:t>万吨热轧生产线建设项目、</w:t>
            </w:r>
            <w:r>
              <w:rPr>
                <w:color w:val="auto"/>
              </w:rPr>
              <w:t>不锈钢卷隧道式退火炉</w:t>
            </w:r>
            <w:r>
              <w:rPr>
                <w:rFonts w:hint="eastAsia"/>
                <w:color w:val="auto"/>
              </w:rPr>
              <w:t>建设项目等，本项目建成后对其影响很小。</w:t>
            </w:r>
          </w:p>
          <w:p>
            <w:pPr>
              <w:pStyle w:val="80"/>
              <w:ind w:firstLine="482"/>
              <w:rPr>
                <w:color w:val="auto"/>
              </w:rPr>
            </w:pPr>
            <w:r>
              <w:rPr>
                <w:color w:val="auto"/>
              </w:rPr>
              <w:t>3.</w:t>
            </w:r>
            <w:r>
              <w:rPr>
                <w:rFonts w:hint="eastAsia"/>
                <w:color w:val="auto"/>
              </w:rPr>
              <w:t>市政基础设施</w:t>
            </w:r>
          </w:p>
          <w:p>
            <w:pPr>
              <w:autoSpaceDE w:val="0"/>
              <w:adjustRightInd w:val="0"/>
              <w:snapToGrid w:val="0"/>
              <w:ind w:firstLine="480"/>
              <w:rPr>
                <w:rFonts w:hAnsiTheme="minorEastAsia" w:eastAsiaTheme="minorEastAsia"/>
                <w:color w:val="auto"/>
              </w:rPr>
            </w:pPr>
            <w:r>
              <w:rPr>
                <w:rFonts w:hint="eastAsia" w:hAnsiTheme="minorEastAsia" w:eastAsiaTheme="minorEastAsia"/>
                <w:color w:val="auto"/>
              </w:rPr>
              <w:t>项目所在区域市政基础设施齐全，交通方便。</w:t>
            </w:r>
          </w:p>
          <w:p>
            <w:pPr>
              <w:pStyle w:val="80"/>
              <w:ind w:firstLine="482"/>
              <w:rPr>
                <w:color w:val="auto"/>
              </w:rPr>
            </w:pPr>
            <w:r>
              <w:rPr>
                <w:rFonts w:hint="eastAsia"/>
                <w:color w:val="auto"/>
              </w:rPr>
              <w:t>4.环境影响分析</w:t>
            </w:r>
          </w:p>
          <w:p>
            <w:pPr>
              <w:ind w:firstLine="480"/>
              <w:rPr>
                <w:color w:val="auto"/>
              </w:rPr>
            </w:pPr>
            <w:r>
              <w:rPr>
                <w:rFonts w:hint="eastAsia"/>
                <w:color w:val="auto"/>
              </w:rPr>
              <w:t>项目运营期热退火炉燃烧废气通过现有项目D</w:t>
            </w:r>
            <w:r>
              <w:rPr>
                <w:color w:val="auto"/>
              </w:rPr>
              <w:t>A003</w:t>
            </w:r>
            <w:r>
              <w:rPr>
                <w:rFonts w:hint="eastAsia"/>
                <w:color w:val="auto"/>
              </w:rPr>
              <w:t>废气排放口排放，根据预测分析，本项目废气排放能满足</w:t>
            </w:r>
            <w:r>
              <w:rPr>
                <w:color w:val="auto"/>
              </w:rPr>
              <w:t>《轧钢工业大气污染物排放标准》（GB28665-2012）</w:t>
            </w:r>
            <w:r>
              <w:rPr>
                <w:rFonts w:hint="eastAsia"/>
                <w:color w:val="auto"/>
              </w:rPr>
              <w:t>及其修改单</w:t>
            </w:r>
            <w:r>
              <w:rPr>
                <w:color w:val="auto"/>
              </w:rPr>
              <w:t>表2中热处理炉排放标准</w:t>
            </w:r>
            <w:r>
              <w:rPr>
                <w:rFonts w:hint="eastAsia"/>
                <w:color w:val="auto"/>
              </w:rPr>
              <w:t>限值要求。本项目运营期不新增生产废水和生活污水，现有项目配套有完善的中水回用设施，运营期无废水外排，对周边地表水环境影响较小。项目运营后针对不同事故修编全厂突发环境事件应急预案，在风险防范措施和事故应急措施到位的前提下，本项目的环境风险是可防控的。</w:t>
            </w:r>
          </w:p>
          <w:p>
            <w:pPr>
              <w:autoSpaceDE w:val="0"/>
              <w:adjustRightInd w:val="0"/>
              <w:snapToGrid w:val="0"/>
              <w:ind w:firstLine="480"/>
              <w:rPr>
                <w:rFonts w:hAnsiTheme="minorEastAsia" w:eastAsiaTheme="minorEastAsia"/>
                <w:color w:val="auto"/>
              </w:rPr>
            </w:pPr>
            <w:r>
              <w:rPr>
                <w:rFonts w:hint="eastAsia" w:hAnsiTheme="minorEastAsia" w:eastAsiaTheme="minorEastAsia"/>
                <w:color w:val="auto"/>
              </w:rPr>
              <w:t>综上所述，评价认为从环境保护的角度，项目的选址合理。</w:t>
            </w:r>
          </w:p>
          <w:p>
            <w:pPr>
              <w:pStyle w:val="56"/>
              <w:spacing w:before="60" w:after="60"/>
              <w:rPr>
                <w:color w:val="auto"/>
              </w:rPr>
            </w:pPr>
            <w:r>
              <w:rPr>
                <w:rFonts w:hint="eastAsia"/>
                <w:color w:val="auto"/>
              </w:rPr>
              <w:t>1</w:t>
            </w:r>
            <w:r>
              <w:rPr>
                <w:color w:val="auto"/>
              </w:rPr>
              <w:t>.6.2环境相容性分析</w:t>
            </w:r>
          </w:p>
          <w:p>
            <w:pPr>
              <w:ind w:firstLine="480"/>
              <w:rPr>
                <w:color w:val="auto"/>
                <w:lang w:bidi="ar"/>
              </w:rPr>
            </w:pPr>
            <w:r>
              <w:rPr>
                <w:rFonts w:hint="eastAsia"/>
                <w:color w:val="auto"/>
                <w:lang w:bidi="ar"/>
              </w:rPr>
              <w:t>项目位于</w:t>
            </w:r>
            <w:r>
              <w:rPr>
                <w:rFonts w:hint="eastAsia"/>
                <w:color w:val="auto"/>
              </w:rPr>
              <w:t>云南师宗产业园区大同片区（云南天高镍业有限公司内）</w:t>
            </w:r>
            <w:r>
              <w:rPr>
                <w:rFonts w:hint="eastAsia"/>
                <w:color w:val="auto"/>
                <w:lang w:bidi="ar"/>
              </w:rPr>
              <w:t>，根据实地调查，项目周边分布的企业和项目主要为</w:t>
            </w:r>
            <w:r>
              <w:rPr>
                <w:rFonts w:hint="eastAsia"/>
                <w:color w:val="auto"/>
              </w:rPr>
              <w:t>云南天高镍业有限公司和建设单位年产1</w:t>
            </w:r>
            <w:r>
              <w:rPr>
                <w:color w:val="auto"/>
              </w:rPr>
              <w:t>40</w:t>
            </w:r>
            <w:r>
              <w:rPr>
                <w:rFonts w:hint="eastAsia"/>
                <w:color w:val="auto"/>
              </w:rPr>
              <w:t>万吨热轧生产线建设项目、</w:t>
            </w:r>
            <w:r>
              <w:rPr>
                <w:color w:val="auto"/>
              </w:rPr>
              <w:t>不锈钢卷隧道式退火炉</w:t>
            </w:r>
            <w:r>
              <w:rPr>
                <w:rFonts w:hint="eastAsia"/>
                <w:color w:val="auto"/>
              </w:rPr>
              <w:t>建设项目</w:t>
            </w:r>
            <w:r>
              <w:rPr>
                <w:rFonts w:hint="eastAsia"/>
                <w:color w:val="auto"/>
                <w:lang w:bidi="ar"/>
              </w:rPr>
              <w:t>，与本项目排放的污染物基本一致，本项目对周边企业和环境影响有限，项目与周边环境相容。</w:t>
            </w:r>
          </w:p>
          <w:p>
            <w:pPr>
              <w:ind w:firstLine="480"/>
              <w:rPr>
                <w:color w:val="auto"/>
                <w:lang w:bidi="en-US"/>
              </w:rPr>
            </w:pPr>
            <w:r>
              <w:rPr>
                <w:rFonts w:hint="eastAsia"/>
                <w:color w:val="auto"/>
                <w:lang w:bidi="ar"/>
              </w:rPr>
              <w:t>项目评价范围内无国家、省、县划定的自然保护区、风景名胜区、饮用水源保护区以及区域生态保护红线，项目与周边环境相容。因此本项目所从事的生产活动能与周围环境功能相容，项目的建设不会改变当地环境功能。</w:t>
            </w:r>
          </w:p>
          <w:p>
            <w:pPr>
              <w:pStyle w:val="51"/>
              <w:spacing w:before="120" w:after="120"/>
              <w:rPr>
                <w:color w:val="auto"/>
                <w:lang w:bidi="en-US"/>
              </w:rPr>
            </w:pPr>
            <w:r>
              <w:rPr>
                <w:rFonts w:hint="eastAsia"/>
                <w:color w:val="auto"/>
                <w:lang w:bidi="en-US"/>
              </w:rPr>
              <w:t>1.</w:t>
            </w:r>
            <w:r>
              <w:rPr>
                <w:color w:val="auto"/>
                <w:lang w:bidi="en-US"/>
              </w:rPr>
              <w:t>7</w:t>
            </w:r>
            <w:r>
              <w:rPr>
                <w:rFonts w:hint="eastAsia"/>
                <w:color w:val="auto"/>
                <w:lang w:bidi="en-US"/>
              </w:rPr>
              <w:t>总平面布置合理性</w:t>
            </w:r>
          </w:p>
          <w:p>
            <w:pPr>
              <w:ind w:firstLine="480"/>
              <w:rPr>
                <w:color w:val="auto"/>
              </w:rPr>
            </w:pPr>
            <w:r>
              <w:rPr>
                <w:rFonts w:hint="eastAsia"/>
                <w:color w:val="auto"/>
              </w:rPr>
              <w:t>根据项目设计图纸资料，本项目对</w:t>
            </w:r>
            <w:r>
              <w:rPr>
                <w:rFonts w:hint="eastAsia"/>
                <w:bCs/>
                <w:color w:val="auto"/>
              </w:rPr>
              <w:t>年产30万吨热退火酸洗生产线</w:t>
            </w:r>
            <w:r>
              <w:rPr>
                <w:rFonts w:hint="eastAsia"/>
                <w:color w:val="auto"/>
              </w:rPr>
              <w:t>焦炉煤气管线进行拆除，从现有热轧生产线预留天然气阀门新建1</w:t>
            </w:r>
            <w:r>
              <w:rPr>
                <w:color w:val="auto"/>
              </w:rPr>
              <w:t>54</w:t>
            </w:r>
            <w:r>
              <w:rPr>
                <w:rFonts w:hint="eastAsia"/>
                <w:color w:val="auto"/>
              </w:rPr>
              <w:t>m</w:t>
            </w:r>
            <w:r>
              <w:rPr>
                <w:color w:val="auto"/>
              </w:rPr>
              <w:t>DN100</w:t>
            </w:r>
            <w:r>
              <w:rPr>
                <w:rFonts w:hint="eastAsia"/>
                <w:color w:val="auto"/>
              </w:rPr>
              <w:t>天然气管线接入退火炉，热退火炉位于全封闭式车间内，所有生产设备置于车间内，设备沿车间从西北向东南布设。本项目生产车间和公辅工程完全独立，满足生产功能需求</w:t>
            </w:r>
            <w:r>
              <w:rPr>
                <w:color w:val="auto"/>
              </w:rPr>
              <w:t>。</w:t>
            </w:r>
            <w:r>
              <w:rPr>
                <w:rFonts w:hint="eastAsia"/>
                <w:color w:val="auto"/>
              </w:rPr>
              <w:t>厂区构筑物的布局有利于加工生产过程中产生的废气、噪声的收集处理，尽可能降低污染物对周边环境的影响。厂区物流车辆流线不交叉，场区内车流清晰明确，物流顺畅，最大</w:t>
            </w:r>
            <w:r>
              <w:rPr>
                <w:rFonts w:hint="eastAsia"/>
                <w:color w:val="auto"/>
                <w:lang w:eastAsia="zh-CN"/>
              </w:rPr>
              <w:t>限度地降低了</w:t>
            </w:r>
            <w:r>
              <w:rPr>
                <w:rFonts w:hint="eastAsia"/>
                <w:color w:val="auto"/>
              </w:rPr>
              <w:t>车辆运行噪声、设备噪声对周边环境的影响。</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r>
              <w:rPr>
                <w:rFonts w:hint="eastAsia"/>
                <w:color w:val="auto"/>
              </w:rPr>
              <w:t xml:space="preserve"> </w:t>
            </w:r>
            <w:r>
              <w:rPr>
                <w:color w:val="auto"/>
              </w:rPr>
              <w:t xml:space="preserve"> </w:t>
            </w:r>
          </w:p>
        </w:tc>
      </w:tr>
    </w:tbl>
    <w:p>
      <w:pPr>
        <w:ind w:firstLine="600"/>
        <w:jc w:val="center"/>
        <w:rPr>
          <w:rFonts w:eastAsia="黑体"/>
          <w:color w:val="auto"/>
          <w:sz w:val="30"/>
        </w:rPr>
      </w:pPr>
      <w:r>
        <w:rPr>
          <w:rFonts w:eastAsia="黑体"/>
          <w:color w:val="auto"/>
          <w:sz w:val="30"/>
        </w:rPr>
        <w:br w:type="page"/>
      </w:r>
    </w:p>
    <w:p>
      <w:pPr>
        <w:ind w:firstLine="600"/>
        <w:rPr>
          <w:rFonts w:eastAsia="黑体"/>
          <w:color w:val="auto"/>
          <w:sz w:val="30"/>
        </w:rPr>
        <w:sectPr>
          <w:footerReference r:id="rId11" w:type="default"/>
          <w:pgSz w:w="11906" w:h="16838"/>
          <w:pgMar w:top="1701" w:right="1531" w:bottom="1701" w:left="1531" w:header="850" w:footer="850" w:gutter="0"/>
          <w:pgNumType w:start="1"/>
          <w:cols w:space="720" w:num="1"/>
          <w:docGrid w:linePitch="326" w:charSpace="0"/>
        </w:sectPr>
      </w:pPr>
    </w:p>
    <w:p>
      <w:pPr>
        <w:pStyle w:val="118"/>
        <w:rPr>
          <w:color w:val="auto"/>
        </w:rPr>
      </w:pPr>
      <w:bookmarkStart w:id="2" w:name="_Toc103860794"/>
      <w:r>
        <w:rPr>
          <w:rFonts w:hint="eastAsia"/>
          <w:color w:val="auto"/>
        </w:rPr>
        <w:t>二、建设项目工程分析</w:t>
      </w:r>
      <w:bookmarkEnd w:id="2"/>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0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68" w:type="pct"/>
            <w:vAlign w:val="center"/>
          </w:tcPr>
          <w:p>
            <w:pPr>
              <w:pStyle w:val="54"/>
              <w:rPr>
                <w:color w:val="auto"/>
              </w:rPr>
            </w:pPr>
            <w:r>
              <w:rPr>
                <w:rFonts w:hint="eastAsia"/>
                <w:color w:val="auto"/>
              </w:rPr>
              <w:t>建设内容</w:t>
            </w:r>
          </w:p>
        </w:tc>
        <w:tc>
          <w:tcPr>
            <w:tcW w:w="4732" w:type="pct"/>
          </w:tcPr>
          <w:p>
            <w:pPr>
              <w:pStyle w:val="51"/>
              <w:spacing w:before="120" w:after="120"/>
              <w:rPr>
                <w:color w:val="auto"/>
              </w:rPr>
            </w:pPr>
            <w:r>
              <w:rPr>
                <w:rFonts w:hint="eastAsia"/>
                <w:color w:val="auto"/>
              </w:rPr>
              <w:t>2.1建设内容</w:t>
            </w:r>
          </w:p>
          <w:p>
            <w:pPr>
              <w:pStyle w:val="56"/>
              <w:spacing w:before="60" w:after="60"/>
              <w:rPr>
                <w:color w:val="auto"/>
              </w:rPr>
            </w:pPr>
            <w:r>
              <w:rPr>
                <w:rFonts w:hint="eastAsia"/>
                <w:color w:val="auto"/>
              </w:rPr>
              <w:t>2.1.1项目由来</w:t>
            </w:r>
          </w:p>
          <w:p>
            <w:pPr>
              <w:ind w:firstLine="480"/>
              <w:rPr>
                <w:color w:val="auto"/>
              </w:rPr>
            </w:pPr>
            <w:r>
              <w:rPr>
                <w:rFonts w:hint="eastAsia"/>
                <w:bCs/>
                <w:color w:val="auto"/>
              </w:rPr>
              <w:t>师宗县沃莱迪金属材料有限公司（以下简称建设单位）</w:t>
            </w:r>
            <w:r>
              <w:rPr>
                <w:rFonts w:hint="eastAsia"/>
                <w:color w:val="auto"/>
              </w:rPr>
              <w:t>年产30万吨热退火酸洗生产线于</w:t>
            </w:r>
            <w:r>
              <w:rPr>
                <w:rFonts w:hint="eastAsia"/>
                <w:bCs/>
                <w:color w:val="auto"/>
              </w:rPr>
              <w:t>2019年7月19日取得《曲靖市生态环境局师宗分局关于对年产30万吨热退火酸洗生产线建设项目的批复》（曲师环审〔2</w:t>
            </w:r>
            <w:r>
              <w:rPr>
                <w:bCs/>
                <w:color w:val="auto"/>
              </w:rPr>
              <w:t>019</w:t>
            </w:r>
            <w:r>
              <w:rPr>
                <w:rFonts w:hint="eastAsia"/>
                <w:bCs/>
                <w:color w:val="auto"/>
              </w:rPr>
              <w:t>〕</w:t>
            </w:r>
            <w:r>
              <w:rPr>
                <w:bCs/>
                <w:color w:val="auto"/>
              </w:rPr>
              <w:t>14</w:t>
            </w:r>
            <w:r>
              <w:rPr>
                <w:rFonts w:hint="eastAsia"/>
                <w:bCs/>
                <w:color w:val="auto"/>
              </w:rPr>
              <w:t>号），2</w:t>
            </w:r>
            <w:r>
              <w:rPr>
                <w:bCs/>
                <w:color w:val="auto"/>
              </w:rPr>
              <w:t>021</w:t>
            </w:r>
            <w:r>
              <w:rPr>
                <w:rFonts w:hint="eastAsia"/>
                <w:bCs/>
                <w:color w:val="auto"/>
              </w:rPr>
              <w:t>年5月，建设单位开展了</w:t>
            </w:r>
            <w:r>
              <w:rPr>
                <w:rFonts w:hint="eastAsia"/>
                <w:color w:val="auto"/>
              </w:rPr>
              <w:t>年产30万吨热退火酸洗生产线竣工环境保护自主验收工作</w:t>
            </w:r>
            <w:r>
              <w:rPr>
                <w:rFonts w:hint="eastAsia"/>
                <w:bCs/>
                <w:color w:val="auto"/>
              </w:rPr>
              <w:t>。</w:t>
            </w:r>
            <w:r>
              <w:rPr>
                <w:rFonts w:hint="eastAsia"/>
                <w:color w:val="auto"/>
              </w:rPr>
              <w:t>年产30万吨热退火酸洗生产线运营期使用云南师宗焦化有限责任公司产生的焦炉煤气为燃料，利用现有管道引入云南天高镍业有限公司现有煤气储罐，通过DN600管道输送至热退火炉作为燃料使用。</w:t>
            </w:r>
          </w:p>
          <w:p>
            <w:pPr>
              <w:ind w:firstLine="480"/>
              <w:rPr>
                <w:bCs/>
                <w:color w:val="auto"/>
              </w:rPr>
            </w:pPr>
            <w:r>
              <w:rPr>
                <w:rFonts w:hint="eastAsia"/>
                <w:color w:val="auto"/>
              </w:rPr>
              <w:t>由于云南师宗焦化有限责任公司产能置换等原因于2023年12月停</w:t>
            </w:r>
            <w:r>
              <w:rPr>
                <w:rFonts w:hint="eastAsia"/>
                <w:bCs/>
                <w:color w:val="auto"/>
              </w:rPr>
              <w:t>产，后期不再组织生产，无法继续提供焦炉煤气供</w:t>
            </w:r>
            <w:r>
              <w:rPr>
                <w:rFonts w:hint="eastAsia"/>
                <w:color w:val="auto"/>
              </w:rPr>
              <w:t>年产30万吨热退火酸洗生产线使用。经建设单位商议，决定拆除</w:t>
            </w:r>
            <w:r>
              <w:rPr>
                <w:rFonts w:hint="eastAsia"/>
                <w:bCs/>
                <w:color w:val="auto"/>
              </w:rPr>
              <w:t>30万吨热退火酸洗生产线焦炉煤气管线，</w:t>
            </w:r>
            <w:r>
              <w:rPr>
                <w:rFonts w:hint="eastAsia"/>
                <w:color w:val="auto"/>
              </w:rPr>
              <w:t>从现有热轧生产线预留天然气阀门新建天然气管线接入年产30万吨热退火酸洗生产线热退火炉进行生产</w:t>
            </w:r>
            <w:r>
              <w:rPr>
                <w:rFonts w:hint="eastAsia"/>
                <w:bCs/>
                <w:color w:val="auto"/>
              </w:rPr>
              <w:t>。为此，建设单位2</w:t>
            </w:r>
            <w:r>
              <w:rPr>
                <w:bCs/>
                <w:color w:val="auto"/>
              </w:rPr>
              <w:t>024</w:t>
            </w:r>
            <w:r>
              <w:rPr>
                <w:rFonts w:hint="eastAsia"/>
                <w:bCs/>
                <w:color w:val="auto"/>
              </w:rPr>
              <w:t>年4月向师宗县发展和改革局申请立项备案，对30万吨热退火酸洗生产线燃烧系统进行技术改造。</w:t>
            </w:r>
          </w:p>
          <w:p>
            <w:pPr>
              <w:ind w:firstLine="480"/>
              <w:rPr>
                <w:color w:val="auto"/>
              </w:rPr>
            </w:pPr>
            <w:r>
              <w:rPr>
                <w:color w:val="auto"/>
              </w:rPr>
              <w:t>本</w:t>
            </w:r>
            <w:r>
              <w:rPr>
                <w:rFonts w:hint="eastAsia"/>
                <w:color w:val="auto"/>
              </w:rPr>
              <w:t>技改</w:t>
            </w:r>
            <w:r>
              <w:rPr>
                <w:color w:val="auto"/>
              </w:rPr>
              <w:t>项目主要工程内容属于现行《建设项目环境影响评价分类管理名录》（20</w:t>
            </w:r>
            <w:r>
              <w:rPr>
                <w:rFonts w:hint="eastAsia"/>
                <w:color w:val="auto"/>
              </w:rPr>
              <w:t>21</w:t>
            </w:r>
            <w:r>
              <w:rPr>
                <w:color w:val="auto"/>
              </w:rPr>
              <w:t>年</w:t>
            </w:r>
            <w:r>
              <w:rPr>
                <w:rFonts w:hint="eastAsia"/>
                <w:color w:val="auto"/>
              </w:rPr>
              <w:t>1</w:t>
            </w:r>
            <w:r>
              <w:rPr>
                <w:color w:val="auto"/>
              </w:rPr>
              <w:t>月</w:t>
            </w:r>
            <w:r>
              <w:rPr>
                <w:rFonts w:hint="eastAsia"/>
                <w:color w:val="auto"/>
              </w:rPr>
              <w:t>1</w:t>
            </w:r>
            <w:r>
              <w:rPr>
                <w:color w:val="auto"/>
              </w:rPr>
              <w:t>日起施行）中</w:t>
            </w:r>
            <w:r>
              <w:rPr>
                <w:rFonts w:hint="eastAsia"/>
                <w:color w:val="auto"/>
              </w:rPr>
              <w:t>：二十八、黑色金属冶炼和压延加工业-63钢压延加工313</w:t>
            </w:r>
            <w:r>
              <w:rPr>
                <w:color w:val="auto"/>
              </w:rPr>
              <w:t>-</w:t>
            </w:r>
            <w:r>
              <w:rPr>
                <w:rFonts w:hint="eastAsia"/>
                <w:color w:val="auto"/>
              </w:rPr>
              <w:t>其他，应</w:t>
            </w:r>
            <w:r>
              <w:rPr>
                <w:color w:val="auto"/>
              </w:rPr>
              <w:t>编制环境影响报告</w:t>
            </w:r>
            <w:r>
              <w:rPr>
                <w:rFonts w:hint="eastAsia"/>
                <w:color w:val="auto"/>
              </w:rPr>
              <w:t>表</w:t>
            </w:r>
            <w:r>
              <w:rPr>
                <w:color w:val="auto"/>
              </w:rPr>
              <w:t>。根据《中华人民共和国环境影响评价法》、《建设项目环境影响评价分类管理名录》（</w:t>
            </w:r>
            <w:r>
              <w:rPr>
                <w:rFonts w:hint="eastAsia"/>
                <w:color w:val="auto"/>
              </w:rPr>
              <w:t>生态</w:t>
            </w:r>
            <w:r>
              <w:rPr>
                <w:color w:val="auto"/>
              </w:rPr>
              <w:t>环境部部令第</w:t>
            </w:r>
            <w:r>
              <w:rPr>
                <w:rFonts w:hint="eastAsia"/>
                <w:color w:val="auto"/>
              </w:rPr>
              <w:t>16</w:t>
            </w:r>
            <w:r>
              <w:rPr>
                <w:color w:val="auto"/>
              </w:rPr>
              <w:t>号）等的相关规定，项目实施前应编制项目环境影响评价文件。</w:t>
            </w:r>
            <w:r>
              <w:rPr>
                <w:rFonts w:hint="eastAsia"/>
                <w:color w:val="auto"/>
              </w:rPr>
              <w:t>为此，建设单位委托云南联创环境工程有限公司开展项目环境影响评价工作，</w:t>
            </w:r>
            <w:r>
              <w:rPr>
                <w:color w:val="auto"/>
              </w:rPr>
              <w:t>接受委托后，</w:t>
            </w:r>
            <w:r>
              <w:rPr>
                <w:rFonts w:hint="eastAsia"/>
                <w:color w:val="auto"/>
              </w:rPr>
              <w:t>云南联创环境工程有限公司</w:t>
            </w:r>
            <w:r>
              <w:rPr>
                <w:color w:val="auto"/>
              </w:rPr>
              <w:t>收集有关资料并对现场进行了踏勘，编制完成了《</w:t>
            </w:r>
            <w:r>
              <w:rPr>
                <w:rFonts w:hint="eastAsia"/>
                <w:color w:val="auto"/>
              </w:rPr>
              <w:t>年产30万吨热退酸洗生产线煤气改天然气技改项目</w:t>
            </w:r>
            <w:r>
              <w:rPr>
                <w:color w:val="auto"/>
              </w:rPr>
              <w:t>环境影响报告表》，供建设单位上报生态环境主管部门审批，作为项目环境管理的依据。</w:t>
            </w:r>
          </w:p>
          <w:p>
            <w:pPr>
              <w:ind w:firstLine="480"/>
              <w:rPr>
                <w:color w:val="auto"/>
              </w:rPr>
            </w:pPr>
          </w:p>
          <w:p>
            <w:pPr>
              <w:pStyle w:val="63"/>
              <w:rPr>
                <w:color w:val="auto"/>
              </w:rPr>
            </w:pPr>
          </w:p>
          <w:p>
            <w:pPr>
              <w:pStyle w:val="63"/>
              <w:rPr>
                <w:color w:val="auto"/>
                <w:lang w:eastAsia="zh-CN"/>
              </w:rPr>
            </w:pPr>
            <w:r>
              <w:rPr>
                <w:rFonts w:hint="eastAsia"/>
                <w:color w:val="auto"/>
                <w:lang w:eastAsia="zh-CN"/>
              </w:rPr>
              <w:t xml:space="preserve"> </w:t>
            </w:r>
            <w:r>
              <w:rPr>
                <w:color w:val="auto"/>
                <w:lang w:eastAsia="zh-CN"/>
              </w:rPr>
              <w:t xml:space="preserve"> </w:t>
            </w:r>
          </w:p>
          <w:p>
            <w:pPr>
              <w:pStyle w:val="56"/>
              <w:spacing w:before="60" w:after="60"/>
              <w:rPr>
                <w:color w:val="auto"/>
              </w:rPr>
            </w:pPr>
            <w:r>
              <w:rPr>
                <w:rFonts w:hint="eastAsia"/>
                <w:color w:val="auto"/>
              </w:rPr>
              <w:t>2.1.2项目概况</w:t>
            </w:r>
          </w:p>
          <w:p>
            <w:pPr>
              <w:ind w:firstLine="482"/>
              <w:rPr>
                <w:color w:val="auto"/>
              </w:rPr>
            </w:pPr>
            <w:r>
              <w:rPr>
                <w:b/>
                <w:bCs/>
                <w:color w:val="auto"/>
              </w:rPr>
              <w:t>项目名称：</w:t>
            </w:r>
            <w:r>
              <w:rPr>
                <w:rFonts w:hint="eastAsia"/>
                <w:color w:val="auto"/>
              </w:rPr>
              <w:t>年产30万吨热退酸洗生产线煤气改天然气技改项目</w:t>
            </w:r>
          </w:p>
          <w:p>
            <w:pPr>
              <w:ind w:firstLine="482"/>
              <w:rPr>
                <w:snapToGrid w:val="0"/>
                <w:color w:val="auto"/>
              </w:rPr>
            </w:pPr>
            <w:r>
              <w:rPr>
                <w:b/>
                <w:color w:val="auto"/>
              </w:rPr>
              <w:t>建设地点：</w:t>
            </w:r>
            <w:r>
              <w:rPr>
                <w:rFonts w:hint="eastAsia"/>
                <w:color w:val="auto"/>
              </w:rPr>
              <w:t>云南师宗产业园区大同片区（云南天高镍业有限公司内）</w:t>
            </w:r>
          </w:p>
          <w:p>
            <w:pPr>
              <w:ind w:firstLine="482"/>
              <w:rPr>
                <w:color w:val="auto"/>
              </w:rPr>
            </w:pPr>
            <w:r>
              <w:rPr>
                <w:b/>
                <w:bCs/>
                <w:color w:val="auto"/>
              </w:rPr>
              <w:t>建设单位：</w:t>
            </w:r>
            <w:r>
              <w:rPr>
                <w:rFonts w:hint="eastAsia"/>
                <w:bCs/>
                <w:color w:val="auto"/>
              </w:rPr>
              <w:t>师宗县沃莱迪金属材料有限公司</w:t>
            </w:r>
          </w:p>
          <w:p>
            <w:pPr>
              <w:ind w:firstLine="482"/>
              <w:rPr>
                <w:rFonts w:ascii="宋体" w:hAnsi="宋体"/>
                <w:color w:val="auto"/>
              </w:rPr>
            </w:pPr>
            <w:r>
              <w:rPr>
                <w:b/>
                <w:color w:val="auto"/>
              </w:rPr>
              <w:t>建设性质：</w:t>
            </w:r>
            <w:r>
              <w:rPr>
                <w:rFonts w:hint="eastAsia"/>
                <w:color w:val="auto"/>
              </w:rPr>
              <w:t>技术改造</w:t>
            </w:r>
          </w:p>
          <w:p>
            <w:pPr>
              <w:ind w:firstLine="482"/>
              <w:rPr>
                <w:b/>
                <w:color w:val="auto"/>
              </w:rPr>
            </w:pPr>
            <w:r>
              <w:rPr>
                <w:rFonts w:hint="eastAsia"/>
                <w:b/>
                <w:bCs/>
                <w:color w:val="auto"/>
              </w:rPr>
              <w:t>建设规模：</w:t>
            </w:r>
            <w:r>
              <w:rPr>
                <w:rFonts w:hint="eastAsia"/>
                <w:bCs/>
                <w:color w:val="auto"/>
              </w:rPr>
              <w:t>对年产30万吨热退火酸洗生产线退火炉燃烧系统进行技术升级改造，热源由焦炉煤气改为天然气，技改后天然气使用量1080万m</w:t>
            </w:r>
            <w:r>
              <w:rPr>
                <w:rFonts w:hint="eastAsia"/>
                <w:bCs/>
                <w:color w:val="auto"/>
                <w:vertAlign w:val="superscript"/>
              </w:rPr>
              <w:t>3</w:t>
            </w:r>
            <w:r>
              <w:rPr>
                <w:rFonts w:hint="eastAsia"/>
                <w:bCs/>
                <w:color w:val="auto"/>
              </w:rPr>
              <w:t>/年</w:t>
            </w:r>
          </w:p>
          <w:p>
            <w:pPr>
              <w:ind w:firstLine="482"/>
              <w:rPr>
                <w:color w:val="auto"/>
              </w:rPr>
            </w:pPr>
            <w:r>
              <w:rPr>
                <w:b/>
                <w:color w:val="auto"/>
              </w:rPr>
              <w:t>工作制度</w:t>
            </w:r>
            <w:r>
              <w:rPr>
                <w:rFonts w:hint="eastAsia"/>
                <w:b/>
                <w:color w:val="auto"/>
              </w:rPr>
              <w:t>及劳动定员</w:t>
            </w:r>
            <w:r>
              <w:rPr>
                <w:b/>
                <w:color w:val="auto"/>
              </w:rPr>
              <w:t>：</w:t>
            </w:r>
            <w:r>
              <w:rPr>
                <w:rFonts w:hint="eastAsia"/>
                <w:color w:val="auto"/>
              </w:rPr>
              <w:t>年工作</w:t>
            </w:r>
            <w:r>
              <w:rPr>
                <w:color w:val="auto"/>
              </w:rPr>
              <w:t>270</w:t>
            </w:r>
            <w:r>
              <w:rPr>
                <w:rFonts w:hint="eastAsia"/>
                <w:color w:val="auto"/>
              </w:rPr>
              <w:t>天，</w:t>
            </w:r>
            <w:r>
              <w:rPr>
                <w:color w:val="auto"/>
              </w:rPr>
              <w:t>3</w:t>
            </w:r>
            <w:r>
              <w:rPr>
                <w:rFonts w:hint="eastAsia"/>
                <w:color w:val="auto"/>
              </w:rPr>
              <w:t>班制，8小时/班，本项目不新增劳动定员</w:t>
            </w:r>
          </w:p>
          <w:p>
            <w:pPr>
              <w:ind w:firstLine="482"/>
              <w:rPr>
                <w:color w:val="auto"/>
              </w:rPr>
            </w:pPr>
            <w:r>
              <w:rPr>
                <w:b/>
                <w:color w:val="auto"/>
              </w:rPr>
              <w:t>用地面积：</w:t>
            </w:r>
            <w:r>
              <w:rPr>
                <w:rFonts w:hint="eastAsia"/>
                <w:color w:val="auto"/>
              </w:rPr>
              <w:t>本</w:t>
            </w:r>
            <w:r>
              <w:rPr>
                <w:color w:val="auto"/>
              </w:rPr>
              <w:t>项目</w:t>
            </w:r>
            <w:r>
              <w:rPr>
                <w:rFonts w:hint="eastAsia"/>
                <w:color w:val="auto"/>
              </w:rPr>
              <w:t>不新增占地，仅对热退火炉燃烧系统进行改造，不新增建筑面积</w:t>
            </w:r>
          </w:p>
          <w:p>
            <w:pPr>
              <w:ind w:firstLine="482"/>
              <w:rPr>
                <w:color w:val="auto"/>
              </w:rPr>
            </w:pPr>
            <w:r>
              <w:rPr>
                <w:b/>
                <w:color w:val="auto"/>
              </w:rPr>
              <w:t>建设时间：</w:t>
            </w:r>
            <w:r>
              <w:rPr>
                <w:color w:val="auto"/>
              </w:rPr>
              <w:t>8</w:t>
            </w:r>
            <w:r>
              <w:rPr>
                <w:rFonts w:hint="eastAsia"/>
                <w:color w:val="auto"/>
              </w:rPr>
              <w:t>个月</w:t>
            </w:r>
          </w:p>
          <w:p>
            <w:pPr>
              <w:ind w:firstLine="482"/>
              <w:rPr>
                <w:color w:val="auto"/>
              </w:rPr>
            </w:pPr>
            <w:r>
              <w:rPr>
                <w:b/>
                <w:bCs/>
                <w:color w:val="auto"/>
              </w:rPr>
              <w:t>项目总投资：</w:t>
            </w:r>
            <w:r>
              <w:rPr>
                <w:rFonts w:hint="eastAsia"/>
                <w:bCs/>
                <w:color w:val="auto"/>
              </w:rPr>
              <w:t>总投资</w:t>
            </w:r>
            <w:r>
              <w:rPr>
                <w:color w:val="auto"/>
              </w:rPr>
              <w:t>150</w:t>
            </w:r>
            <w:r>
              <w:rPr>
                <w:rFonts w:hint="eastAsia"/>
                <w:color w:val="auto"/>
              </w:rPr>
              <w:t>万元，其中</w:t>
            </w:r>
            <w:r>
              <w:rPr>
                <w:color w:val="auto"/>
              </w:rPr>
              <w:t>环境保护投资9万元</w:t>
            </w:r>
            <w:r>
              <w:rPr>
                <w:rFonts w:hint="eastAsia"/>
                <w:color w:val="auto"/>
              </w:rPr>
              <w:t>，</w:t>
            </w:r>
            <w:r>
              <w:rPr>
                <w:color w:val="auto"/>
              </w:rPr>
              <w:t>环保投资占</w:t>
            </w:r>
            <w:r>
              <w:rPr>
                <w:rFonts w:hint="eastAsia"/>
                <w:color w:val="auto"/>
              </w:rPr>
              <w:t>总投资</w:t>
            </w:r>
            <w:r>
              <w:rPr>
                <w:rFonts w:hint="eastAsia"/>
                <w:bCs/>
                <w:color w:val="auto"/>
              </w:rPr>
              <w:t>的</w:t>
            </w:r>
            <w:r>
              <w:rPr>
                <w:color w:val="auto"/>
              </w:rPr>
              <w:t>6</w:t>
            </w:r>
            <w:r>
              <w:rPr>
                <w:rFonts w:hint="eastAsia"/>
                <w:color w:val="auto"/>
              </w:rPr>
              <w:t>%</w:t>
            </w:r>
          </w:p>
          <w:p>
            <w:pPr>
              <w:pStyle w:val="56"/>
              <w:spacing w:before="60" w:after="60"/>
              <w:rPr>
                <w:color w:val="auto"/>
              </w:rPr>
            </w:pPr>
            <w:r>
              <w:rPr>
                <w:rFonts w:hint="eastAsia"/>
                <w:color w:val="auto"/>
              </w:rPr>
              <w:t>2.1.3主要建设内容</w:t>
            </w:r>
          </w:p>
          <w:p>
            <w:pPr>
              <w:pStyle w:val="80"/>
              <w:ind w:firstLine="482"/>
              <w:rPr>
                <w:color w:val="auto"/>
              </w:rPr>
            </w:pPr>
            <w:r>
              <w:rPr>
                <w:rFonts w:hint="eastAsia"/>
                <w:color w:val="auto"/>
              </w:rPr>
              <w:t>1.工程内容</w:t>
            </w:r>
          </w:p>
          <w:p>
            <w:pPr>
              <w:ind w:firstLine="480"/>
              <w:rPr>
                <w:color w:val="auto"/>
              </w:rPr>
            </w:pPr>
            <w:r>
              <w:rPr>
                <w:color w:val="auto"/>
              </w:rPr>
              <w:t>本项目主要建设内容见下表</w:t>
            </w:r>
            <w:r>
              <w:rPr>
                <w:rFonts w:hint="eastAsia"/>
                <w:color w:val="auto"/>
              </w:rPr>
              <w:t>。</w:t>
            </w:r>
          </w:p>
          <w:p>
            <w:pPr>
              <w:pStyle w:val="66"/>
              <w:rPr>
                <w:color w:val="auto"/>
              </w:rPr>
            </w:pPr>
            <w:r>
              <w:rPr>
                <w:color w:val="auto"/>
              </w:rPr>
              <w:t>表2.1-1</w:t>
            </w:r>
            <w:r>
              <w:rPr>
                <w:rFonts w:hint="eastAsia"/>
                <w:color w:val="auto"/>
              </w:rPr>
              <w:t xml:space="preserve"> 建设项目工程组成表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662"/>
              <w:gridCol w:w="427"/>
              <w:gridCol w:w="765"/>
              <w:gridCol w:w="4924"/>
              <w:gridCol w:w="1065"/>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shd w:val="clear" w:color="auto" w:fill="auto"/>
                  <w:vAlign w:val="center"/>
                </w:tcPr>
                <w:p>
                  <w:pPr>
                    <w:pStyle w:val="63"/>
                    <w:rPr>
                      <w:color w:val="auto"/>
                    </w:rPr>
                  </w:pPr>
                  <w:r>
                    <w:rPr>
                      <w:color w:val="auto"/>
                    </w:rPr>
                    <w:t>类别</w:t>
                  </w:r>
                </w:p>
              </w:tc>
              <w:tc>
                <w:tcPr>
                  <w:tcW w:w="760" w:type="pct"/>
                  <w:gridSpan w:val="2"/>
                  <w:shd w:val="clear" w:color="auto" w:fill="auto"/>
                  <w:vAlign w:val="center"/>
                </w:tcPr>
                <w:p>
                  <w:pPr>
                    <w:pStyle w:val="63"/>
                    <w:rPr>
                      <w:color w:val="auto"/>
                    </w:rPr>
                  </w:pPr>
                  <w:r>
                    <w:rPr>
                      <w:color w:val="auto"/>
                    </w:rPr>
                    <w:t>项目</w:t>
                  </w:r>
                </w:p>
              </w:tc>
              <w:tc>
                <w:tcPr>
                  <w:tcW w:w="3139" w:type="pct"/>
                  <w:tcBorders>
                    <w:right w:val="single" w:color="auto" w:sz="4" w:space="0"/>
                  </w:tcBorders>
                  <w:shd w:val="clear" w:color="auto" w:fill="auto"/>
                  <w:vAlign w:val="center"/>
                </w:tcPr>
                <w:p>
                  <w:pPr>
                    <w:pStyle w:val="63"/>
                    <w:rPr>
                      <w:color w:val="auto"/>
                    </w:rPr>
                  </w:pPr>
                  <w:r>
                    <w:rPr>
                      <w:color w:val="auto"/>
                    </w:rPr>
                    <w:t>建设内容及规模</w:t>
                  </w:r>
                </w:p>
              </w:tc>
              <w:tc>
                <w:tcPr>
                  <w:tcW w:w="679" w:type="pct"/>
                  <w:tcBorders>
                    <w:left w:val="single" w:color="auto" w:sz="4" w:space="0"/>
                  </w:tcBorders>
                  <w:shd w:val="clear" w:color="auto" w:fill="auto"/>
                  <w:vAlign w:val="center"/>
                </w:tcPr>
                <w:p>
                  <w:pPr>
                    <w:pStyle w:val="63"/>
                    <w:rPr>
                      <w:color w:val="auto"/>
                    </w:rPr>
                  </w:pPr>
                  <w:r>
                    <w:rPr>
                      <w:color w:val="auto"/>
                    </w:rPr>
                    <w:t>备注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shd w:val="clear" w:color="auto" w:fill="auto"/>
                  <w:vAlign w:val="center"/>
                </w:tcPr>
                <w:p>
                  <w:pPr>
                    <w:pStyle w:val="63"/>
                    <w:rPr>
                      <w:color w:val="auto"/>
                    </w:rPr>
                  </w:pPr>
                  <w:r>
                    <w:rPr>
                      <w:rFonts w:hint="eastAsia"/>
                      <w:color w:val="auto"/>
                    </w:rPr>
                    <w:t>主体工程</w:t>
                  </w:r>
                </w:p>
              </w:tc>
              <w:tc>
                <w:tcPr>
                  <w:tcW w:w="760" w:type="pct"/>
                  <w:gridSpan w:val="2"/>
                  <w:shd w:val="clear" w:color="auto" w:fill="auto"/>
                  <w:vAlign w:val="center"/>
                </w:tcPr>
                <w:p>
                  <w:pPr>
                    <w:pStyle w:val="63"/>
                    <w:rPr>
                      <w:color w:val="auto"/>
                      <w:lang w:eastAsia="zh-CN"/>
                    </w:rPr>
                  </w:pPr>
                  <w:r>
                    <w:rPr>
                      <w:rFonts w:hint="eastAsia"/>
                      <w:color w:val="auto"/>
                      <w:lang w:eastAsia="zh-CN"/>
                    </w:rPr>
                    <w:t>燃烧系统改造</w:t>
                  </w:r>
                </w:p>
              </w:tc>
              <w:tc>
                <w:tcPr>
                  <w:tcW w:w="3139" w:type="pct"/>
                  <w:tcBorders>
                    <w:right w:val="single" w:color="auto" w:sz="4" w:space="0"/>
                  </w:tcBorders>
                  <w:shd w:val="clear" w:color="auto" w:fill="auto"/>
                  <w:vAlign w:val="center"/>
                </w:tcPr>
                <w:p>
                  <w:pPr>
                    <w:pStyle w:val="63"/>
                    <w:rPr>
                      <w:color w:val="auto"/>
                    </w:rPr>
                  </w:pPr>
                  <w:r>
                    <w:rPr>
                      <w:rFonts w:hint="eastAsia"/>
                      <w:color w:val="auto"/>
                      <w:lang w:eastAsia="zh-CN"/>
                    </w:rPr>
                    <w:t>对</w:t>
                  </w:r>
                  <w:r>
                    <w:rPr>
                      <w:rFonts w:hint="eastAsia"/>
                      <w:bCs/>
                      <w:color w:val="auto"/>
                    </w:rPr>
                    <w:t>年产30万吨热退火酸洗生产线</w:t>
                  </w:r>
                  <w:r>
                    <w:rPr>
                      <w:rFonts w:hint="eastAsia"/>
                      <w:color w:val="auto"/>
                      <w:lang w:eastAsia="zh-CN"/>
                    </w:rPr>
                    <w:t>焦炉煤气管线进行拆除，从现有热轧生产线预留天然气阀门新建1</w:t>
                  </w:r>
                  <w:r>
                    <w:rPr>
                      <w:color w:val="auto"/>
                      <w:lang w:eastAsia="zh-CN"/>
                    </w:rPr>
                    <w:t>54</w:t>
                  </w:r>
                  <w:r>
                    <w:rPr>
                      <w:rFonts w:hint="eastAsia"/>
                      <w:color w:val="auto"/>
                      <w:lang w:eastAsia="zh-CN"/>
                    </w:rPr>
                    <w:t>m</w:t>
                  </w:r>
                  <w:r>
                    <w:rPr>
                      <w:color w:val="auto"/>
                      <w:lang w:eastAsia="zh-CN"/>
                    </w:rPr>
                    <w:t>DN100</w:t>
                  </w:r>
                  <w:r>
                    <w:rPr>
                      <w:rFonts w:hint="eastAsia"/>
                      <w:color w:val="auto"/>
                      <w:lang w:eastAsia="zh-CN"/>
                    </w:rPr>
                    <w:t>天然气管线接入热退火炉</w:t>
                  </w:r>
                </w:p>
              </w:tc>
              <w:tc>
                <w:tcPr>
                  <w:tcW w:w="679" w:type="pct"/>
                  <w:tcBorders>
                    <w:left w:val="single" w:color="auto" w:sz="4" w:space="0"/>
                  </w:tcBorders>
                  <w:shd w:val="clear" w:color="auto" w:fill="auto"/>
                  <w:vAlign w:val="center"/>
                </w:tcPr>
                <w:p>
                  <w:pPr>
                    <w:pStyle w:val="63"/>
                    <w:rPr>
                      <w:color w:val="auto"/>
                    </w:rPr>
                  </w:pPr>
                  <w:r>
                    <w:rPr>
                      <w:rFonts w:hint="eastAsia"/>
                      <w:color w:val="auto"/>
                      <w:lang w:eastAsia="zh-CN"/>
                    </w:rPr>
                    <w:t>技改</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restart"/>
                  <w:shd w:val="clear" w:color="auto" w:fill="auto"/>
                  <w:vAlign w:val="center"/>
                </w:tcPr>
                <w:p>
                  <w:pPr>
                    <w:pStyle w:val="63"/>
                    <w:rPr>
                      <w:color w:val="auto"/>
                      <w:lang w:eastAsia="zh-CN"/>
                    </w:rPr>
                  </w:pPr>
                  <w:r>
                    <w:rPr>
                      <w:rFonts w:hint="eastAsia"/>
                      <w:color w:val="auto"/>
                      <w:lang w:eastAsia="zh-CN"/>
                    </w:rPr>
                    <w:t>依托工程</w:t>
                  </w:r>
                </w:p>
              </w:tc>
              <w:tc>
                <w:tcPr>
                  <w:tcW w:w="3899" w:type="pct"/>
                  <w:gridSpan w:val="3"/>
                  <w:tcBorders>
                    <w:right w:val="single" w:color="auto" w:sz="4" w:space="0"/>
                  </w:tcBorders>
                  <w:shd w:val="clear" w:color="auto" w:fill="auto"/>
                  <w:vAlign w:val="center"/>
                </w:tcPr>
                <w:p>
                  <w:pPr>
                    <w:pStyle w:val="63"/>
                    <w:rPr>
                      <w:color w:val="auto"/>
                      <w:lang w:eastAsia="zh-CN"/>
                    </w:rPr>
                  </w:pPr>
                  <w:r>
                    <w:rPr>
                      <w:rFonts w:hint="eastAsia"/>
                      <w:color w:val="auto"/>
                      <w:lang w:eastAsia="zh-CN"/>
                    </w:rPr>
                    <w:t>1条热轧带钢退火酸洗机组处理线（21m×315m）</w:t>
                  </w:r>
                </w:p>
              </w:tc>
              <w:tc>
                <w:tcPr>
                  <w:tcW w:w="679" w:type="pct"/>
                  <w:tcBorders>
                    <w:left w:val="single" w:color="auto" w:sz="4" w:space="0"/>
                  </w:tcBorders>
                  <w:shd w:val="clear" w:color="auto" w:fill="auto"/>
                  <w:vAlign w:val="center"/>
                </w:tcPr>
                <w:p>
                  <w:pPr>
                    <w:pStyle w:val="63"/>
                    <w:rPr>
                      <w:color w:val="auto"/>
                      <w:lang w:eastAsia="zh-CN"/>
                    </w:rPr>
                  </w:pPr>
                  <w:r>
                    <w:rPr>
                      <w:rFonts w:hint="eastAsia"/>
                      <w:color w:val="auto"/>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3"/>
                    <w:rPr>
                      <w:color w:val="auto"/>
                      <w:lang w:eastAsia="zh-CN"/>
                    </w:rPr>
                  </w:pPr>
                </w:p>
              </w:tc>
              <w:tc>
                <w:tcPr>
                  <w:tcW w:w="3899" w:type="pct"/>
                  <w:gridSpan w:val="3"/>
                  <w:tcBorders>
                    <w:right w:val="single" w:color="auto" w:sz="4" w:space="0"/>
                  </w:tcBorders>
                  <w:shd w:val="clear" w:color="auto" w:fill="auto"/>
                  <w:vAlign w:val="center"/>
                </w:tcPr>
                <w:p>
                  <w:pPr>
                    <w:pStyle w:val="63"/>
                    <w:rPr>
                      <w:color w:val="auto"/>
                      <w:lang w:eastAsia="zh-CN"/>
                    </w:rPr>
                  </w:pPr>
                  <w:r>
                    <w:rPr>
                      <w:rFonts w:hint="eastAsia"/>
                      <w:color w:val="auto"/>
                      <w:lang w:eastAsia="zh-CN"/>
                    </w:rPr>
                    <w:t>1座燃气连续卧式退火炉、1套抛丸机、1套酸洗槽等设施</w:t>
                  </w:r>
                </w:p>
              </w:tc>
              <w:tc>
                <w:tcPr>
                  <w:tcW w:w="679" w:type="pct"/>
                  <w:tcBorders>
                    <w:left w:val="single" w:color="auto" w:sz="4" w:space="0"/>
                  </w:tcBorders>
                  <w:shd w:val="clear" w:color="auto" w:fill="auto"/>
                  <w:vAlign w:val="center"/>
                </w:tcPr>
                <w:p>
                  <w:pPr>
                    <w:pStyle w:val="63"/>
                    <w:rPr>
                      <w:color w:val="auto"/>
                      <w:lang w:eastAsia="zh-CN"/>
                    </w:rPr>
                  </w:pPr>
                  <w:r>
                    <w:rPr>
                      <w:rFonts w:hint="eastAsia"/>
                      <w:color w:val="auto"/>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restart"/>
                  <w:shd w:val="clear" w:color="auto" w:fill="auto"/>
                  <w:vAlign w:val="center"/>
                </w:tcPr>
                <w:p>
                  <w:pPr>
                    <w:pStyle w:val="63"/>
                    <w:rPr>
                      <w:color w:val="auto"/>
                      <w:lang w:eastAsia="zh-CN"/>
                    </w:rPr>
                  </w:pPr>
                  <w:r>
                    <w:rPr>
                      <w:color w:val="auto"/>
                    </w:rPr>
                    <w:t>辅助工程</w:t>
                  </w:r>
                </w:p>
              </w:tc>
              <w:tc>
                <w:tcPr>
                  <w:tcW w:w="3899" w:type="pct"/>
                  <w:gridSpan w:val="3"/>
                  <w:tcBorders>
                    <w:right w:val="single" w:color="auto" w:sz="4" w:space="0"/>
                  </w:tcBorders>
                  <w:shd w:val="clear" w:color="auto" w:fill="auto"/>
                  <w:vAlign w:val="center"/>
                </w:tcPr>
                <w:p>
                  <w:pPr>
                    <w:pStyle w:val="63"/>
                    <w:rPr>
                      <w:color w:val="auto"/>
                      <w:lang w:eastAsia="zh-CN"/>
                    </w:rPr>
                  </w:pPr>
                  <w:r>
                    <w:rPr>
                      <w:rFonts w:hint="eastAsia"/>
                      <w:color w:val="auto"/>
                      <w:lang w:eastAsia="zh-CN"/>
                    </w:rPr>
                    <w:t>云南天高镍业有限公司炼钢车间建设的空压站1处</w:t>
                  </w:r>
                </w:p>
              </w:tc>
              <w:tc>
                <w:tcPr>
                  <w:tcW w:w="679" w:type="pct"/>
                  <w:tcBorders>
                    <w:left w:val="single" w:color="auto" w:sz="4" w:space="0"/>
                  </w:tcBorders>
                  <w:shd w:val="clear" w:color="auto" w:fill="auto"/>
                  <w:vAlign w:val="center"/>
                </w:tcPr>
                <w:p>
                  <w:pPr>
                    <w:pStyle w:val="63"/>
                    <w:rPr>
                      <w:color w:val="auto"/>
                      <w:lang w:eastAsia="zh-CN"/>
                    </w:rPr>
                  </w:pPr>
                  <w:r>
                    <w:rPr>
                      <w:rFonts w:hint="eastAsia"/>
                      <w:color w:val="auto"/>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3"/>
                    <w:rPr>
                      <w:color w:val="auto"/>
                      <w:lang w:eastAsia="zh-CN"/>
                    </w:rPr>
                  </w:pPr>
                </w:p>
              </w:tc>
              <w:tc>
                <w:tcPr>
                  <w:tcW w:w="3899" w:type="pct"/>
                  <w:gridSpan w:val="3"/>
                  <w:tcBorders>
                    <w:right w:val="single" w:color="auto" w:sz="4" w:space="0"/>
                  </w:tcBorders>
                  <w:shd w:val="clear" w:color="auto" w:fill="auto"/>
                  <w:vAlign w:val="center"/>
                </w:tcPr>
                <w:p>
                  <w:pPr>
                    <w:pStyle w:val="63"/>
                    <w:rPr>
                      <w:color w:val="auto"/>
                      <w:lang w:eastAsia="zh-CN"/>
                    </w:rPr>
                  </w:pPr>
                  <w:r>
                    <w:rPr>
                      <w:rFonts w:hint="eastAsia"/>
                      <w:color w:val="auto"/>
                      <w:lang w:val="en-US" w:eastAsia="zh-CN"/>
                    </w:rPr>
                    <w:t>年产1</w:t>
                  </w:r>
                  <w:r>
                    <w:rPr>
                      <w:color w:val="auto"/>
                      <w:lang w:val="en-US" w:eastAsia="zh-CN"/>
                    </w:rPr>
                    <w:t>40</w:t>
                  </w:r>
                  <w:r>
                    <w:rPr>
                      <w:rFonts w:hint="eastAsia"/>
                      <w:color w:val="auto"/>
                      <w:lang w:val="en-US" w:eastAsia="zh-CN"/>
                    </w:rPr>
                    <w:t>万吨热轧生产线建设项目天然气站1处</w:t>
                  </w:r>
                </w:p>
              </w:tc>
              <w:tc>
                <w:tcPr>
                  <w:tcW w:w="679" w:type="pct"/>
                  <w:tcBorders>
                    <w:left w:val="single" w:color="auto" w:sz="4" w:space="0"/>
                  </w:tcBorders>
                  <w:shd w:val="clear" w:color="auto" w:fill="auto"/>
                  <w:vAlign w:val="center"/>
                </w:tcPr>
                <w:p>
                  <w:pPr>
                    <w:pStyle w:val="63"/>
                    <w:rPr>
                      <w:color w:val="auto"/>
                      <w:lang w:eastAsia="zh-CN"/>
                    </w:rPr>
                  </w:pPr>
                  <w:r>
                    <w:rPr>
                      <w:rFonts w:hint="eastAsia"/>
                      <w:color w:val="auto"/>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restart"/>
                  <w:shd w:val="clear" w:color="auto" w:fill="auto"/>
                  <w:vAlign w:val="center"/>
                </w:tcPr>
                <w:p>
                  <w:pPr>
                    <w:pStyle w:val="63"/>
                    <w:rPr>
                      <w:color w:val="auto"/>
                    </w:rPr>
                  </w:pPr>
                  <w:r>
                    <w:rPr>
                      <w:color w:val="auto"/>
                    </w:rPr>
                    <w:t>公用工程</w:t>
                  </w:r>
                </w:p>
              </w:tc>
              <w:tc>
                <w:tcPr>
                  <w:tcW w:w="760" w:type="pct"/>
                  <w:gridSpan w:val="2"/>
                  <w:shd w:val="clear" w:color="auto" w:fill="auto"/>
                  <w:vAlign w:val="center"/>
                </w:tcPr>
                <w:p>
                  <w:pPr>
                    <w:pStyle w:val="63"/>
                    <w:rPr>
                      <w:color w:val="auto"/>
                    </w:rPr>
                  </w:pPr>
                  <w:r>
                    <w:rPr>
                      <w:color w:val="auto"/>
                    </w:rPr>
                    <w:t>供电</w:t>
                  </w:r>
                </w:p>
              </w:tc>
              <w:tc>
                <w:tcPr>
                  <w:tcW w:w="3139" w:type="pct"/>
                  <w:tcBorders>
                    <w:right w:val="single" w:color="auto" w:sz="4" w:space="0"/>
                  </w:tcBorders>
                  <w:shd w:val="clear" w:color="auto" w:fill="auto"/>
                  <w:vAlign w:val="center"/>
                </w:tcPr>
                <w:p>
                  <w:pPr>
                    <w:pStyle w:val="63"/>
                    <w:rPr>
                      <w:color w:val="auto"/>
                    </w:rPr>
                  </w:pPr>
                  <w:r>
                    <w:rPr>
                      <w:rFonts w:hint="eastAsia"/>
                      <w:color w:val="auto"/>
                    </w:rPr>
                    <w:t>由云南天高镍业有限公司现有1座20kv变电站接入</w:t>
                  </w:r>
                </w:p>
              </w:tc>
              <w:tc>
                <w:tcPr>
                  <w:tcW w:w="679" w:type="pct"/>
                  <w:tcBorders>
                    <w:left w:val="single" w:color="auto" w:sz="4" w:space="0"/>
                  </w:tcBorders>
                  <w:shd w:val="clear" w:color="auto" w:fill="auto"/>
                  <w:vAlign w:val="center"/>
                </w:tcPr>
                <w:p>
                  <w:pPr>
                    <w:pStyle w:val="63"/>
                    <w:rPr>
                      <w:color w:val="auto"/>
                    </w:rPr>
                  </w:pPr>
                  <w:r>
                    <w:rPr>
                      <w:rFonts w:hint="eastAsia"/>
                      <w:color w:val="auto"/>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3"/>
                    <w:rPr>
                      <w:color w:val="auto"/>
                    </w:rPr>
                  </w:pPr>
                </w:p>
              </w:tc>
              <w:tc>
                <w:tcPr>
                  <w:tcW w:w="760" w:type="pct"/>
                  <w:gridSpan w:val="2"/>
                  <w:shd w:val="clear" w:color="auto" w:fill="auto"/>
                  <w:vAlign w:val="center"/>
                </w:tcPr>
                <w:p>
                  <w:pPr>
                    <w:pStyle w:val="63"/>
                    <w:rPr>
                      <w:color w:val="auto"/>
                    </w:rPr>
                  </w:pPr>
                  <w:r>
                    <w:rPr>
                      <w:color w:val="auto"/>
                    </w:rPr>
                    <w:t>供水</w:t>
                  </w:r>
                </w:p>
              </w:tc>
              <w:tc>
                <w:tcPr>
                  <w:tcW w:w="3139" w:type="pct"/>
                  <w:tcBorders>
                    <w:right w:val="single" w:color="auto" w:sz="4" w:space="0"/>
                  </w:tcBorders>
                  <w:shd w:val="clear" w:color="auto" w:fill="auto"/>
                  <w:vAlign w:val="center"/>
                </w:tcPr>
                <w:p>
                  <w:pPr>
                    <w:pStyle w:val="63"/>
                    <w:rPr>
                      <w:color w:val="auto"/>
                    </w:rPr>
                  </w:pPr>
                  <w:r>
                    <w:rPr>
                      <w:rFonts w:hint="eastAsia"/>
                      <w:color w:val="auto"/>
                    </w:rPr>
                    <w:t>由</w:t>
                  </w:r>
                  <w:r>
                    <w:rPr>
                      <w:rFonts w:hint="eastAsia"/>
                      <w:color w:val="auto"/>
                      <w:lang w:eastAsia="zh-CN"/>
                    </w:rPr>
                    <w:t>现有给水管网接入</w:t>
                  </w:r>
                </w:p>
              </w:tc>
              <w:tc>
                <w:tcPr>
                  <w:tcW w:w="679" w:type="pct"/>
                  <w:tcBorders>
                    <w:left w:val="single" w:color="auto" w:sz="4" w:space="0"/>
                  </w:tcBorders>
                  <w:shd w:val="clear" w:color="auto" w:fill="auto"/>
                  <w:vAlign w:val="center"/>
                </w:tcPr>
                <w:p>
                  <w:pPr>
                    <w:pStyle w:val="63"/>
                    <w:rPr>
                      <w:color w:val="auto"/>
                    </w:rPr>
                  </w:pPr>
                  <w:r>
                    <w:rPr>
                      <w:rFonts w:hint="eastAsia"/>
                      <w:color w:val="auto"/>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3"/>
                    <w:rPr>
                      <w:color w:val="auto"/>
                    </w:rPr>
                  </w:pPr>
                </w:p>
              </w:tc>
              <w:tc>
                <w:tcPr>
                  <w:tcW w:w="760" w:type="pct"/>
                  <w:gridSpan w:val="2"/>
                  <w:vMerge w:val="restart"/>
                  <w:shd w:val="clear" w:color="auto" w:fill="auto"/>
                  <w:vAlign w:val="center"/>
                </w:tcPr>
                <w:p>
                  <w:pPr>
                    <w:pStyle w:val="63"/>
                    <w:rPr>
                      <w:color w:val="auto"/>
                    </w:rPr>
                  </w:pPr>
                  <w:r>
                    <w:rPr>
                      <w:color w:val="auto"/>
                    </w:rPr>
                    <w:t>排水</w:t>
                  </w:r>
                </w:p>
              </w:tc>
              <w:tc>
                <w:tcPr>
                  <w:tcW w:w="3139" w:type="pct"/>
                  <w:tcBorders>
                    <w:right w:val="single" w:color="auto" w:sz="4" w:space="0"/>
                  </w:tcBorders>
                  <w:shd w:val="clear" w:color="auto" w:fill="auto"/>
                  <w:vAlign w:val="center"/>
                </w:tcPr>
                <w:p>
                  <w:pPr>
                    <w:pStyle w:val="63"/>
                    <w:rPr>
                      <w:color w:val="auto"/>
                    </w:rPr>
                  </w:pPr>
                  <w:r>
                    <w:rPr>
                      <w:color w:val="auto"/>
                    </w:rPr>
                    <w:t>项目区采用“雨污分流制”</w:t>
                  </w:r>
                  <w:r>
                    <w:rPr>
                      <w:rFonts w:hint="eastAsia"/>
                      <w:color w:val="auto"/>
                      <w:lang w:eastAsia="zh-CN"/>
                    </w:rPr>
                    <w:t>，全厂雨水通过雨水沟收集后进入园区雨水管网</w:t>
                  </w:r>
                </w:p>
              </w:tc>
              <w:tc>
                <w:tcPr>
                  <w:tcW w:w="679" w:type="pct"/>
                  <w:tcBorders>
                    <w:left w:val="single" w:color="auto" w:sz="4" w:space="0"/>
                  </w:tcBorders>
                  <w:shd w:val="clear" w:color="auto" w:fill="auto"/>
                  <w:vAlign w:val="center"/>
                </w:tcPr>
                <w:p>
                  <w:pPr>
                    <w:pStyle w:val="63"/>
                    <w:rPr>
                      <w:color w:val="auto"/>
                    </w:rPr>
                  </w:pPr>
                  <w:r>
                    <w:rPr>
                      <w:rFonts w:hint="eastAsia"/>
                      <w:color w:val="auto"/>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3"/>
                    <w:rPr>
                      <w:color w:val="auto"/>
                    </w:rPr>
                  </w:pPr>
                </w:p>
              </w:tc>
              <w:tc>
                <w:tcPr>
                  <w:tcW w:w="760" w:type="pct"/>
                  <w:gridSpan w:val="2"/>
                  <w:vMerge w:val="continue"/>
                  <w:shd w:val="clear" w:color="auto" w:fill="auto"/>
                  <w:vAlign w:val="center"/>
                </w:tcPr>
                <w:p>
                  <w:pPr>
                    <w:pStyle w:val="63"/>
                    <w:rPr>
                      <w:color w:val="auto"/>
                    </w:rPr>
                  </w:pPr>
                </w:p>
              </w:tc>
              <w:tc>
                <w:tcPr>
                  <w:tcW w:w="3139" w:type="pct"/>
                  <w:tcBorders>
                    <w:right w:val="single" w:color="auto" w:sz="4" w:space="0"/>
                  </w:tcBorders>
                  <w:shd w:val="clear" w:color="auto" w:fill="auto"/>
                  <w:vAlign w:val="center"/>
                </w:tcPr>
                <w:p>
                  <w:pPr>
                    <w:pStyle w:val="63"/>
                    <w:rPr>
                      <w:color w:val="auto"/>
                    </w:rPr>
                  </w:pPr>
                  <w:r>
                    <w:rPr>
                      <w:rFonts w:hint="eastAsia"/>
                      <w:color w:val="auto"/>
                    </w:rPr>
                    <w:t>生活污水依托云南天高镍业有限公司现有生活污水处理达标后回用</w:t>
                  </w:r>
                </w:p>
              </w:tc>
              <w:tc>
                <w:tcPr>
                  <w:tcW w:w="679" w:type="pct"/>
                  <w:tcBorders>
                    <w:left w:val="single" w:color="auto" w:sz="4" w:space="0"/>
                  </w:tcBorders>
                  <w:shd w:val="clear" w:color="auto" w:fill="auto"/>
                  <w:vAlign w:val="center"/>
                </w:tcPr>
                <w:p>
                  <w:pPr>
                    <w:pStyle w:val="63"/>
                    <w:rPr>
                      <w:color w:val="auto"/>
                    </w:rPr>
                  </w:pPr>
                  <w:r>
                    <w:rPr>
                      <w:rFonts w:hint="eastAsia"/>
                      <w:color w:val="auto"/>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3"/>
                    <w:rPr>
                      <w:color w:val="auto"/>
                    </w:rPr>
                  </w:pPr>
                </w:p>
              </w:tc>
              <w:tc>
                <w:tcPr>
                  <w:tcW w:w="760" w:type="pct"/>
                  <w:gridSpan w:val="2"/>
                  <w:vMerge w:val="continue"/>
                  <w:shd w:val="clear" w:color="auto" w:fill="auto"/>
                  <w:vAlign w:val="center"/>
                </w:tcPr>
                <w:p>
                  <w:pPr>
                    <w:pStyle w:val="63"/>
                    <w:rPr>
                      <w:color w:val="auto"/>
                    </w:rPr>
                  </w:pPr>
                </w:p>
              </w:tc>
              <w:tc>
                <w:tcPr>
                  <w:tcW w:w="3139" w:type="pct"/>
                  <w:tcBorders>
                    <w:right w:val="single" w:color="auto" w:sz="4" w:space="0"/>
                  </w:tcBorders>
                  <w:shd w:val="clear" w:color="auto" w:fill="auto"/>
                  <w:vAlign w:val="center"/>
                </w:tcPr>
                <w:p>
                  <w:pPr>
                    <w:pStyle w:val="63"/>
                    <w:rPr>
                      <w:color w:val="auto"/>
                    </w:rPr>
                  </w:pPr>
                  <w:r>
                    <w:rPr>
                      <w:rFonts w:hint="eastAsia"/>
                      <w:color w:val="auto"/>
                      <w:lang w:eastAsia="zh-CN"/>
                    </w:rPr>
                    <w:t>现有项目设置</w:t>
                  </w:r>
                  <w:r>
                    <w:rPr>
                      <w:rFonts w:hint="eastAsia"/>
                      <w:color w:val="auto"/>
                    </w:rPr>
                    <w:t>净循环水系统、浊循环水系统以及酸性废水处理设施，</w:t>
                  </w:r>
                  <w:r>
                    <w:rPr>
                      <w:rFonts w:hint="eastAsia"/>
                      <w:color w:val="auto"/>
                      <w:lang w:eastAsia="zh-CN"/>
                    </w:rPr>
                    <w:t>生产</w:t>
                  </w:r>
                  <w:r>
                    <w:rPr>
                      <w:rFonts w:hint="eastAsia"/>
                      <w:color w:val="auto"/>
                    </w:rPr>
                    <w:t>废水经酸性废水处理设施处理达标后回用于140万吨热轧生产线项目轧钢浊循环回用补水，不外排</w:t>
                  </w:r>
                </w:p>
              </w:tc>
              <w:tc>
                <w:tcPr>
                  <w:tcW w:w="679" w:type="pct"/>
                  <w:tcBorders>
                    <w:left w:val="single" w:color="auto" w:sz="4" w:space="0"/>
                  </w:tcBorders>
                  <w:shd w:val="clear" w:color="auto" w:fill="auto"/>
                  <w:vAlign w:val="center"/>
                </w:tcPr>
                <w:p>
                  <w:pPr>
                    <w:pStyle w:val="63"/>
                    <w:rPr>
                      <w:color w:val="auto"/>
                    </w:rPr>
                  </w:pPr>
                  <w:r>
                    <w:rPr>
                      <w:rFonts w:hint="eastAsia"/>
                      <w:color w:val="auto"/>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3"/>
                    <w:rPr>
                      <w:color w:val="auto"/>
                    </w:rPr>
                  </w:pPr>
                </w:p>
              </w:tc>
              <w:tc>
                <w:tcPr>
                  <w:tcW w:w="760" w:type="pct"/>
                  <w:gridSpan w:val="2"/>
                  <w:shd w:val="clear" w:color="auto" w:fill="auto"/>
                  <w:vAlign w:val="center"/>
                </w:tcPr>
                <w:p>
                  <w:pPr>
                    <w:pStyle w:val="63"/>
                    <w:rPr>
                      <w:color w:val="auto"/>
                    </w:rPr>
                  </w:pPr>
                  <w:r>
                    <w:rPr>
                      <w:rFonts w:hint="eastAsia"/>
                      <w:color w:val="auto"/>
                      <w:lang w:eastAsia="zh-CN"/>
                    </w:rPr>
                    <w:t>供热</w:t>
                  </w:r>
                </w:p>
              </w:tc>
              <w:tc>
                <w:tcPr>
                  <w:tcW w:w="3139" w:type="pct"/>
                  <w:tcBorders>
                    <w:right w:val="single" w:color="auto" w:sz="4" w:space="0"/>
                  </w:tcBorders>
                  <w:shd w:val="clear" w:color="auto" w:fill="auto"/>
                  <w:vAlign w:val="center"/>
                </w:tcPr>
                <w:p>
                  <w:pPr>
                    <w:pStyle w:val="63"/>
                    <w:rPr>
                      <w:color w:val="auto"/>
                      <w:lang w:eastAsia="zh-CN"/>
                    </w:rPr>
                  </w:pPr>
                  <w:r>
                    <w:rPr>
                      <w:rFonts w:hint="eastAsia"/>
                      <w:bCs/>
                      <w:color w:val="auto"/>
                    </w:rPr>
                    <w:t>年产30万吨热退火酸洗生产线</w:t>
                  </w:r>
                  <w:r>
                    <w:rPr>
                      <w:rFonts w:hint="eastAsia"/>
                      <w:color w:val="auto"/>
                      <w:lang w:eastAsia="zh-CN"/>
                    </w:rPr>
                    <w:t>退火炉由天然气供热</w:t>
                  </w:r>
                </w:p>
              </w:tc>
              <w:tc>
                <w:tcPr>
                  <w:tcW w:w="679" w:type="pct"/>
                  <w:tcBorders>
                    <w:left w:val="single" w:color="auto" w:sz="4" w:space="0"/>
                  </w:tcBorders>
                  <w:shd w:val="clear" w:color="auto" w:fill="auto"/>
                  <w:vAlign w:val="center"/>
                </w:tcPr>
                <w:p>
                  <w:pPr>
                    <w:pStyle w:val="63"/>
                    <w:rPr>
                      <w:color w:val="auto"/>
                    </w:rPr>
                  </w:pPr>
                  <w:r>
                    <w:rPr>
                      <w:rFonts w:hint="eastAsia"/>
                      <w:color w:val="auto"/>
                    </w:rPr>
                    <w:t>新建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restart"/>
                  <w:shd w:val="clear" w:color="auto" w:fill="auto"/>
                  <w:vAlign w:val="center"/>
                </w:tcPr>
                <w:p>
                  <w:pPr>
                    <w:pStyle w:val="63"/>
                    <w:rPr>
                      <w:color w:val="auto"/>
                    </w:rPr>
                  </w:pPr>
                  <w:r>
                    <w:rPr>
                      <w:color w:val="auto"/>
                    </w:rPr>
                    <w:t>环保工程</w:t>
                  </w:r>
                </w:p>
              </w:tc>
              <w:tc>
                <w:tcPr>
                  <w:tcW w:w="272" w:type="pct"/>
                  <w:shd w:val="clear" w:color="auto" w:fill="auto"/>
                  <w:vAlign w:val="center"/>
                </w:tcPr>
                <w:p>
                  <w:pPr>
                    <w:pStyle w:val="63"/>
                    <w:rPr>
                      <w:color w:val="auto"/>
                    </w:rPr>
                  </w:pPr>
                  <w:r>
                    <w:rPr>
                      <w:rFonts w:hint="eastAsia"/>
                      <w:color w:val="auto"/>
                    </w:rPr>
                    <w:t>废气</w:t>
                  </w:r>
                </w:p>
              </w:tc>
              <w:tc>
                <w:tcPr>
                  <w:tcW w:w="488" w:type="pct"/>
                  <w:shd w:val="clear" w:color="auto" w:fill="auto"/>
                  <w:vAlign w:val="center"/>
                </w:tcPr>
                <w:p>
                  <w:pPr>
                    <w:pStyle w:val="63"/>
                    <w:rPr>
                      <w:color w:val="auto"/>
                    </w:rPr>
                  </w:pPr>
                  <w:r>
                    <w:rPr>
                      <w:rFonts w:hint="eastAsia"/>
                      <w:color w:val="auto"/>
                      <w:lang w:eastAsia="zh-CN"/>
                    </w:rPr>
                    <w:t>天然气燃烧废气</w:t>
                  </w:r>
                </w:p>
              </w:tc>
              <w:tc>
                <w:tcPr>
                  <w:tcW w:w="3139" w:type="pct"/>
                  <w:tcBorders>
                    <w:right w:val="single" w:color="auto" w:sz="4" w:space="0"/>
                  </w:tcBorders>
                  <w:shd w:val="clear" w:color="auto" w:fill="auto"/>
                  <w:vAlign w:val="center"/>
                </w:tcPr>
                <w:p>
                  <w:pPr>
                    <w:pStyle w:val="63"/>
                    <w:rPr>
                      <w:color w:val="auto"/>
                      <w:highlight w:val="yellow"/>
                      <w:lang w:eastAsia="zh-CN"/>
                    </w:rPr>
                  </w:pPr>
                  <w:r>
                    <w:rPr>
                      <w:rFonts w:hint="eastAsia"/>
                      <w:color w:val="auto"/>
                      <w:lang w:eastAsia="zh-CN"/>
                    </w:rPr>
                    <w:t>退火炉运行过程中以天然气为燃料，燃烧后产生的退火炉烟气经管道引入热风干燥和烘干工序作为热源，最后经直径为800mm、高18m的</w:t>
                  </w:r>
                  <w:r>
                    <w:rPr>
                      <w:color w:val="auto"/>
                      <w:lang w:val="en-US" w:eastAsia="zh-CN"/>
                    </w:rPr>
                    <w:t>DA003</w:t>
                  </w:r>
                  <w:r>
                    <w:rPr>
                      <w:rFonts w:hint="eastAsia"/>
                      <w:color w:val="auto"/>
                      <w:lang w:val="en-US" w:eastAsia="zh-CN"/>
                    </w:rPr>
                    <w:t>废气排放口</w:t>
                  </w:r>
                  <w:r>
                    <w:rPr>
                      <w:rFonts w:hint="eastAsia"/>
                      <w:color w:val="auto"/>
                      <w:lang w:eastAsia="zh-CN"/>
                    </w:rPr>
                    <w:t>排放</w:t>
                  </w:r>
                </w:p>
              </w:tc>
              <w:tc>
                <w:tcPr>
                  <w:tcW w:w="679" w:type="pct"/>
                  <w:tcBorders>
                    <w:left w:val="single" w:color="auto" w:sz="4" w:space="0"/>
                  </w:tcBorders>
                  <w:shd w:val="clear" w:color="auto" w:fill="auto"/>
                  <w:vAlign w:val="center"/>
                </w:tcPr>
                <w:p>
                  <w:pPr>
                    <w:pStyle w:val="63"/>
                    <w:rPr>
                      <w:color w:val="auto"/>
                    </w:rPr>
                  </w:pPr>
                  <w:r>
                    <w:rPr>
                      <w:rFonts w:hint="eastAsia"/>
                      <w:color w:val="auto"/>
                      <w:lang w:eastAsia="zh-CN"/>
                    </w:rPr>
                    <w:t>利旧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3"/>
                    <w:rPr>
                      <w:color w:val="auto"/>
                    </w:rPr>
                  </w:pPr>
                </w:p>
              </w:tc>
              <w:tc>
                <w:tcPr>
                  <w:tcW w:w="272" w:type="pct"/>
                  <w:vMerge w:val="restart"/>
                  <w:shd w:val="clear" w:color="auto" w:fill="auto"/>
                  <w:vAlign w:val="center"/>
                </w:tcPr>
                <w:p>
                  <w:pPr>
                    <w:pStyle w:val="63"/>
                    <w:rPr>
                      <w:color w:val="auto"/>
                    </w:rPr>
                  </w:pPr>
                  <w:r>
                    <w:rPr>
                      <w:color w:val="auto"/>
                    </w:rPr>
                    <w:t>废水</w:t>
                  </w:r>
                </w:p>
              </w:tc>
              <w:tc>
                <w:tcPr>
                  <w:tcW w:w="488" w:type="pct"/>
                  <w:shd w:val="clear" w:color="auto" w:fill="auto"/>
                  <w:vAlign w:val="center"/>
                </w:tcPr>
                <w:p>
                  <w:pPr>
                    <w:pStyle w:val="63"/>
                    <w:rPr>
                      <w:color w:val="auto"/>
                      <w:lang w:eastAsia="zh-CN"/>
                    </w:rPr>
                  </w:pPr>
                  <w:r>
                    <w:rPr>
                      <w:rFonts w:hint="eastAsia"/>
                      <w:color w:val="auto"/>
                      <w:lang w:eastAsia="zh-CN"/>
                    </w:rPr>
                    <w:t>生活污水</w:t>
                  </w:r>
                </w:p>
              </w:tc>
              <w:tc>
                <w:tcPr>
                  <w:tcW w:w="3139" w:type="pct"/>
                  <w:tcBorders>
                    <w:right w:val="single" w:color="auto" w:sz="4" w:space="0"/>
                  </w:tcBorders>
                  <w:shd w:val="clear" w:color="auto" w:fill="auto"/>
                  <w:vAlign w:val="center"/>
                </w:tcPr>
                <w:p>
                  <w:pPr>
                    <w:pStyle w:val="63"/>
                    <w:rPr>
                      <w:color w:val="auto"/>
                      <w:lang w:eastAsia="zh-CN"/>
                    </w:rPr>
                  </w:pPr>
                  <w:r>
                    <w:rPr>
                      <w:rFonts w:hint="eastAsia"/>
                      <w:color w:val="auto"/>
                      <w:lang w:eastAsia="zh-CN"/>
                    </w:rPr>
                    <w:t>本次技改不新增劳动定员，生活污水依托云南天高镍业有限公司现有生活污水处理站（1座，处理能力为20m</w:t>
                  </w:r>
                  <w:r>
                    <w:rPr>
                      <w:rFonts w:hint="eastAsia"/>
                      <w:color w:val="auto"/>
                      <w:vertAlign w:val="superscript"/>
                      <w:lang w:eastAsia="zh-CN"/>
                    </w:rPr>
                    <w:t>3</w:t>
                  </w:r>
                  <w:r>
                    <w:rPr>
                      <w:rFonts w:hint="eastAsia"/>
                      <w:color w:val="auto"/>
                      <w:lang w:eastAsia="zh-CN"/>
                    </w:rPr>
                    <w:t>/h，480m</w:t>
                  </w:r>
                  <w:r>
                    <w:rPr>
                      <w:rFonts w:hint="eastAsia"/>
                      <w:color w:val="auto"/>
                      <w:vertAlign w:val="superscript"/>
                      <w:lang w:eastAsia="zh-CN"/>
                    </w:rPr>
                    <w:t>3</w:t>
                  </w:r>
                  <w:r>
                    <w:rPr>
                      <w:rFonts w:hint="eastAsia"/>
                      <w:color w:val="auto"/>
                      <w:lang w:eastAsia="zh-CN"/>
                    </w:rPr>
                    <w:t>/d，采用A</w:t>
                  </w:r>
                  <w:r>
                    <w:rPr>
                      <w:color w:val="auto"/>
                      <w:lang w:eastAsia="zh-CN"/>
                    </w:rPr>
                    <w:t>/O</w:t>
                  </w:r>
                  <w:r>
                    <w:rPr>
                      <w:rFonts w:hint="eastAsia"/>
                      <w:color w:val="auto"/>
                      <w:lang w:eastAsia="zh-CN"/>
                    </w:rPr>
                    <w:t>工艺）处理，达标后回用于云南天高镍业有限公司炼钢循环补充水</w:t>
                  </w:r>
                </w:p>
              </w:tc>
              <w:tc>
                <w:tcPr>
                  <w:tcW w:w="679" w:type="pct"/>
                  <w:tcBorders>
                    <w:left w:val="single" w:color="auto" w:sz="4" w:space="0"/>
                  </w:tcBorders>
                  <w:shd w:val="clear" w:color="auto" w:fill="auto"/>
                  <w:vAlign w:val="center"/>
                </w:tcPr>
                <w:p>
                  <w:pPr>
                    <w:pStyle w:val="63"/>
                    <w:rPr>
                      <w:color w:val="auto"/>
                    </w:rPr>
                  </w:pPr>
                  <w:r>
                    <w:rPr>
                      <w:rFonts w:hint="eastAsia"/>
                      <w:color w:val="auto"/>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3"/>
                    <w:rPr>
                      <w:color w:val="auto"/>
                    </w:rPr>
                  </w:pPr>
                </w:p>
              </w:tc>
              <w:tc>
                <w:tcPr>
                  <w:tcW w:w="272" w:type="pct"/>
                  <w:vMerge w:val="continue"/>
                  <w:shd w:val="clear" w:color="auto" w:fill="auto"/>
                  <w:vAlign w:val="center"/>
                </w:tcPr>
                <w:p>
                  <w:pPr>
                    <w:pStyle w:val="63"/>
                    <w:rPr>
                      <w:color w:val="auto"/>
                    </w:rPr>
                  </w:pPr>
                </w:p>
              </w:tc>
              <w:tc>
                <w:tcPr>
                  <w:tcW w:w="488" w:type="pct"/>
                  <w:shd w:val="clear" w:color="auto" w:fill="auto"/>
                  <w:vAlign w:val="center"/>
                </w:tcPr>
                <w:p>
                  <w:pPr>
                    <w:pStyle w:val="63"/>
                    <w:rPr>
                      <w:color w:val="auto"/>
                      <w:lang w:eastAsia="zh-CN"/>
                    </w:rPr>
                  </w:pPr>
                  <w:r>
                    <w:rPr>
                      <w:rFonts w:hint="eastAsia"/>
                      <w:color w:val="auto"/>
                      <w:lang w:eastAsia="zh-CN"/>
                    </w:rPr>
                    <w:t>生产废水</w:t>
                  </w:r>
                </w:p>
              </w:tc>
              <w:tc>
                <w:tcPr>
                  <w:tcW w:w="3139" w:type="pct"/>
                  <w:tcBorders>
                    <w:right w:val="single" w:color="auto" w:sz="4" w:space="0"/>
                  </w:tcBorders>
                  <w:shd w:val="clear" w:color="auto" w:fill="auto"/>
                  <w:vAlign w:val="center"/>
                </w:tcPr>
                <w:p>
                  <w:pPr>
                    <w:pStyle w:val="63"/>
                    <w:rPr>
                      <w:color w:val="auto"/>
                      <w:lang w:eastAsia="zh-CN"/>
                    </w:rPr>
                  </w:pPr>
                  <w:r>
                    <w:rPr>
                      <w:rFonts w:hint="eastAsia"/>
                      <w:color w:val="auto"/>
                      <w:lang w:eastAsia="zh-CN"/>
                    </w:rPr>
                    <w:t>本次技改仅改造燃烧系统，不对其他工序进行改造，不新增生产废水，生产</w:t>
                  </w:r>
                  <w:r>
                    <w:rPr>
                      <w:rFonts w:hint="eastAsia"/>
                      <w:color w:val="auto"/>
                    </w:rPr>
                    <w:t>废水经酸性废水处理设施处理达标后回用于140万吨热轧生产线项目轧钢循环回用补水，不外排</w:t>
                  </w:r>
                </w:p>
              </w:tc>
              <w:tc>
                <w:tcPr>
                  <w:tcW w:w="679" w:type="pct"/>
                  <w:tcBorders>
                    <w:left w:val="single" w:color="auto" w:sz="4" w:space="0"/>
                  </w:tcBorders>
                  <w:shd w:val="clear" w:color="auto" w:fill="auto"/>
                  <w:vAlign w:val="center"/>
                </w:tcPr>
                <w:p>
                  <w:pPr>
                    <w:pStyle w:val="63"/>
                    <w:rPr>
                      <w:color w:val="auto"/>
                    </w:rPr>
                  </w:pPr>
                  <w:r>
                    <w:rPr>
                      <w:rFonts w:hint="eastAsia"/>
                      <w:color w:val="auto"/>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3"/>
                    <w:rPr>
                      <w:color w:val="auto"/>
                    </w:rPr>
                  </w:pPr>
                </w:p>
              </w:tc>
              <w:tc>
                <w:tcPr>
                  <w:tcW w:w="760" w:type="pct"/>
                  <w:gridSpan w:val="2"/>
                  <w:shd w:val="clear" w:color="auto" w:fill="auto"/>
                  <w:vAlign w:val="center"/>
                </w:tcPr>
                <w:p>
                  <w:pPr>
                    <w:pStyle w:val="63"/>
                    <w:rPr>
                      <w:color w:val="auto"/>
                    </w:rPr>
                  </w:pPr>
                  <w:r>
                    <w:rPr>
                      <w:color w:val="auto"/>
                    </w:rPr>
                    <w:t>噪声</w:t>
                  </w:r>
                </w:p>
              </w:tc>
              <w:tc>
                <w:tcPr>
                  <w:tcW w:w="3139" w:type="pct"/>
                  <w:tcBorders>
                    <w:right w:val="single" w:color="auto" w:sz="4" w:space="0"/>
                  </w:tcBorders>
                  <w:shd w:val="clear" w:color="auto" w:fill="auto"/>
                  <w:vAlign w:val="center"/>
                </w:tcPr>
                <w:p>
                  <w:pPr>
                    <w:pStyle w:val="63"/>
                    <w:rPr>
                      <w:color w:val="auto"/>
                    </w:rPr>
                  </w:pPr>
                  <w:r>
                    <w:rPr>
                      <w:rFonts w:hint="eastAsia"/>
                      <w:bCs/>
                      <w:color w:val="auto"/>
                    </w:rPr>
                    <w:t>年产30万吨热退火酸洗生产线</w:t>
                  </w:r>
                  <w:r>
                    <w:rPr>
                      <w:rFonts w:hint="eastAsia"/>
                      <w:color w:val="auto"/>
                    </w:rPr>
                    <w:t>设置为全封闭车间</w:t>
                  </w:r>
                  <w:r>
                    <w:rPr>
                      <w:rFonts w:hint="eastAsia"/>
                      <w:color w:val="auto"/>
                      <w:lang w:eastAsia="zh-CN"/>
                    </w:rPr>
                    <w:t>，只留车辆进出口</w:t>
                  </w:r>
                  <w:r>
                    <w:rPr>
                      <w:rFonts w:hint="eastAsia"/>
                      <w:color w:val="auto"/>
                    </w:rPr>
                    <w:t>，</w:t>
                  </w:r>
                  <w:r>
                    <w:rPr>
                      <w:color w:val="auto"/>
                    </w:rPr>
                    <w:t>对高噪声设备采取减振降噪措施</w:t>
                  </w:r>
                </w:p>
              </w:tc>
              <w:tc>
                <w:tcPr>
                  <w:tcW w:w="679" w:type="pct"/>
                  <w:tcBorders>
                    <w:left w:val="single" w:color="auto" w:sz="4" w:space="0"/>
                  </w:tcBorders>
                  <w:shd w:val="clear" w:color="auto" w:fill="auto"/>
                  <w:vAlign w:val="center"/>
                </w:tcPr>
                <w:p>
                  <w:pPr>
                    <w:pStyle w:val="63"/>
                    <w:rPr>
                      <w:color w:val="auto"/>
                    </w:rPr>
                  </w:pPr>
                  <w:r>
                    <w:rPr>
                      <w:rFonts w:hint="eastAsia"/>
                      <w:color w:val="auto"/>
                      <w:lang w:eastAsia="zh-CN"/>
                    </w:rPr>
                    <w:t>依托现有</w:t>
                  </w:r>
                </w:p>
              </w:tc>
            </w:tr>
          </w:tbl>
          <w:p>
            <w:pPr>
              <w:pStyle w:val="80"/>
              <w:ind w:firstLine="482"/>
              <w:rPr>
                <w:color w:val="auto"/>
              </w:rPr>
            </w:pPr>
            <w:r>
              <w:rPr>
                <w:rFonts w:hint="eastAsia"/>
                <w:color w:val="auto"/>
              </w:rPr>
              <w:t>依托工程情况及可行性分析：</w:t>
            </w:r>
          </w:p>
          <w:p>
            <w:pPr>
              <w:ind w:firstLine="480"/>
              <w:rPr>
                <w:color w:val="auto"/>
              </w:rPr>
            </w:pPr>
            <w:r>
              <w:rPr>
                <w:rFonts w:hint="eastAsia"/>
                <w:color w:val="auto"/>
              </w:rPr>
              <w:t>本次技改项目技改内容以外的辅助工程、公用工程、环保工程全部依托现有项目。</w:t>
            </w:r>
            <w:r>
              <w:rPr>
                <w:rFonts w:hint="eastAsia"/>
                <w:bCs/>
                <w:color w:val="auto"/>
              </w:rPr>
              <w:t>年产30万吨热退火酸洗生产线主要设置了热处理、酸洗、抛丸等工序，本次对热处理工序燃烧系统进行技术改造，后续的酸洗、抛丸等工序仍然按照《年产30万吨热退火酸洗生产线建设项目环境影响报告表》及环评批复、验收报告、排污许可证等进行生产，本次技改不涉及对酸洗和抛丸的改造。根据现有项目验收报告及实际运行情况，本次技改所依托的各项工程均能正常稳定运行，因此依托是可行的，本次技改无需再次新增废气、废水、噪声、固废处理等工程。</w:t>
            </w:r>
          </w:p>
          <w:p>
            <w:pPr>
              <w:pStyle w:val="80"/>
              <w:ind w:firstLine="482"/>
              <w:rPr>
                <w:color w:val="auto"/>
              </w:rPr>
            </w:pPr>
            <w:r>
              <w:rPr>
                <w:rFonts w:hint="eastAsia"/>
                <w:color w:val="auto"/>
              </w:rPr>
              <w:t>2.产品</w:t>
            </w:r>
            <w:r>
              <w:rPr>
                <w:color w:val="auto"/>
              </w:rPr>
              <w:t>方案</w:t>
            </w:r>
          </w:p>
          <w:p>
            <w:pPr>
              <w:ind w:firstLine="480"/>
              <w:rPr>
                <w:color w:val="auto"/>
              </w:rPr>
            </w:pPr>
            <w:r>
              <w:rPr>
                <w:rFonts w:hint="eastAsia"/>
                <w:color w:val="auto"/>
              </w:rPr>
              <w:t>本次技改项目对</w:t>
            </w:r>
            <w:r>
              <w:rPr>
                <w:rFonts w:hint="eastAsia"/>
                <w:bCs/>
                <w:color w:val="auto"/>
              </w:rPr>
              <w:t>年产30万吨热退火酸洗生产线</w:t>
            </w:r>
            <w:r>
              <w:rPr>
                <w:rFonts w:hint="eastAsia"/>
                <w:color w:val="auto"/>
              </w:rPr>
              <w:t>焦炉煤气管线进行拆除，从现有热轧生产线预留天然气阀门新建1</w:t>
            </w:r>
            <w:r>
              <w:rPr>
                <w:color w:val="auto"/>
              </w:rPr>
              <w:t>54</w:t>
            </w:r>
            <w:r>
              <w:rPr>
                <w:rFonts w:hint="eastAsia"/>
                <w:color w:val="auto"/>
              </w:rPr>
              <w:t>m</w:t>
            </w:r>
            <w:r>
              <w:rPr>
                <w:color w:val="auto"/>
              </w:rPr>
              <w:t>DN100</w:t>
            </w:r>
            <w:r>
              <w:rPr>
                <w:rFonts w:hint="eastAsia"/>
                <w:color w:val="auto"/>
              </w:rPr>
              <w:t>天然气管线接入退火炉，技改仅</w:t>
            </w:r>
            <w:r>
              <w:rPr>
                <w:rFonts w:hint="eastAsia"/>
                <w:color w:val="auto"/>
                <w:lang w:eastAsia="zh-CN"/>
              </w:rPr>
              <w:t>涉及</w:t>
            </w:r>
            <w:r>
              <w:rPr>
                <w:rFonts w:hint="eastAsia"/>
                <w:color w:val="auto"/>
              </w:rPr>
              <w:t>燃料的更换，不改变原有项目产品、产能、规格、型号等，技改前后产品方案见下表：</w:t>
            </w:r>
          </w:p>
          <w:p>
            <w:pPr>
              <w:pStyle w:val="66"/>
              <w:rPr>
                <w:color w:val="auto"/>
              </w:rPr>
            </w:pPr>
            <w:r>
              <w:rPr>
                <w:color w:val="auto"/>
              </w:rPr>
              <w:t>表</w:t>
            </w:r>
            <w:r>
              <w:rPr>
                <w:rFonts w:hint="eastAsia"/>
                <w:color w:val="auto"/>
              </w:rPr>
              <w:t>2</w:t>
            </w:r>
            <w:r>
              <w:rPr>
                <w:color w:val="auto"/>
              </w:rPr>
              <w:t>.</w:t>
            </w:r>
            <w:r>
              <w:rPr>
                <w:rFonts w:hint="eastAsia"/>
                <w:color w:val="auto"/>
              </w:rPr>
              <w:t>1</w:t>
            </w:r>
            <w:r>
              <w:rPr>
                <w:color w:val="auto"/>
              </w:rPr>
              <w:t>-</w:t>
            </w:r>
            <w:r>
              <w:rPr>
                <w:rFonts w:hint="eastAsia"/>
                <w:color w:val="auto"/>
              </w:rPr>
              <w:t>2 技改前后产品方案一览表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923"/>
              <w:gridCol w:w="2402"/>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序号</w:t>
                  </w:r>
                </w:p>
              </w:tc>
              <w:tc>
                <w:tcPr>
                  <w:tcW w:w="1226"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产品名称</w:t>
                  </w:r>
                </w:p>
              </w:tc>
              <w:tc>
                <w:tcPr>
                  <w:tcW w:w="1531"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rFonts w:hint="eastAsia"/>
                      <w:color w:val="auto"/>
                      <w:lang w:eastAsia="zh-CN"/>
                    </w:rPr>
                    <w:t>技改前</w:t>
                  </w:r>
                </w:p>
              </w:tc>
              <w:tc>
                <w:tcPr>
                  <w:tcW w:w="1680"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rFonts w:hint="eastAsia"/>
                      <w:color w:val="auto"/>
                      <w:lang w:eastAsia="zh-CN"/>
                    </w:rPr>
                    <w:t>技改后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1</w:t>
                  </w:r>
                </w:p>
              </w:tc>
              <w:tc>
                <w:tcPr>
                  <w:tcW w:w="1226"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rFonts w:hint="eastAsia"/>
                      <w:color w:val="auto"/>
                      <w:lang w:eastAsia="zh-CN"/>
                    </w:rPr>
                    <w:t>热轧酸洗白卷</w:t>
                  </w:r>
                </w:p>
              </w:tc>
              <w:tc>
                <w:tcPr>
                  <w:tcW w:w="1531"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30</w:t>
                  </w:r>
                  <w:r>
                    <w:rPr>
                      <w:rFonts w:hint="eastAsia"/>
                      <w:color w:val="auto"/>
                      <w:lang w:eastAsia="zh-CN"/>
                    </w:rPr>
                    <w:t>万t/a</w:t>
                  </w:r>
                </w:p>
              </w:tc>
              <w:tc>
                <w:tcPr>
                  <w:tcW w:w="1680"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30</w:t>
                  </w:r>
                  <w:r>
                    <w:rPr>
                      <w:rFonts w:hint="eastAsia"/>
                      <w:color w:val="auto"/>
                      <w:lang w:eastAsia="zh-CN"/>
                    </w:rPr>
                    <w:t>万t/a</w:t>
                  </w:r>
                </w:p>
              </w:tc>
            </w:tr>
          </w:tbl>
          <w:p>
            <w:pPr>
              <w:pStyle w:val="80"/>
              <w:ind w:firstLine="482"/>
              <w:rPr>
                <w:color w:val="auto"/>
              </w:rPr>
            </w:pPr>
            <w:r>
              <w:rPr>
                <w:rFonts w:hint="eastAsia"/>
                <w:color w:val="auto"/>
              </w:rPr>
              <w:t>3.主要生产设备</w:t>
            </w:r>
          </w:p>
          <w:p>
            <w:pPr>
              <w:ind w:firstLine="480"/>
              <w:rPr>
                <w:color w:val="auto"/>
              </w:rPr>
            </w:pPr>
            <w:r>
              <w:rPr>
                <w:rFonts w:hint="eastAsia"/>
                <w:color w:val="auto"/>
              </w:rPr>
              <w:t>技改前后</w:t>
            </w:r>
            <w:r>
              <w:rPr>
                <w:color w:val="auto"/>
              </w:rPr>
              <w:t>主要</w:t>
            </w:r>
            <w:r>
              <w:rPr>
                <w:rFonts w:hint="eastAsia"/>
                <w:color w:val="auto"/>
              </w:rPr>
              <w:t>生产</w:t>
            </w:r>
            <w:r>
              <w:rPr>
                <w:color w:val="auto"/>
              </w:rPr>
              <w:t>设备见表</w:t>
            </w:r>
            <w:r>
              <w:rPr>
                <w:rFonts w:hint="eastAsia"/>
                <w:color w:val="auto"/>
              </w:rPr>
              <w:t>2</w:t>
            </w:r>
            <w:r>
              <w:rPr>
                <w:color w:val="auto"/>
              </w:rPr>
              <w:t>.</w:t>
            </w:r>
            <w:r>
              <w:rPr>
                <w:rFonts w:hint="eastAsia"/>
                <w:color w:val="auto"/>
              </w:rPr>
              <w:t>1</w:t>
            </w:r>
            <w:r>
              <w:rPr>
                <w:color w:val="auto"/>
              </w:rPr>
              <w:t>-3</w:t>
            </w:r>
            <w:r>
              <w:rPr>
                <w:rFonts w:hint="eastAsia"/>
                <w:color w:val="auto"/>
              </w:rPr>
              <w:t>。</w:t>
            </w:r>
          </w:p>
          <w:p>
            <w:pPr>
              <w:pStyle w:val="66"/>
              <w:rPr>
                <w:color w:val="auto"/>
              </w:rPr>
            </w:pPr>
            <w:r>
              <w:rPr>
                <w:color w:val="auto"/>
              </w:rPr>
              <w:t>表</w:t>
            </w:r>
            <w:r>
              <w:rPr>
                <w:rFonts w:hint="eastAsia"/>
                <w:color w:val="auto"/>
              </w:rPr>
              <w:t>2.1-</w:t>
            </w:r>
            <w:r>
              <w:rPr>
                <w:color w:val="auto"/>
              </w:rPr>
              <w:t>3</w:t>
            </w:r>
            <w:r>
              <w:rPr>
                <w:rFonts w:hint="eastAsia"/>
                <w:color w:val="auto"/>
              </w:rPr>
              <w:t xml:space="preserve"> 技改前后主要生产设备一览表</w:t>
            </w:r>
          </w:p>
          <w:tbl>
            <w:tblPr>
              <w:tblStyle w:val="26"/>
              <w:tblW w:w="5000" w:type="pct"/>
              <w:tblInd w:w="0" w:type="dxa"/>
              <w:tblLayout w:type="autofit"/>
              <w:tblCellMar>
                <w:top w:w="0" w:type="dxa"/>
                <w:left w:w="0" w:type="dxa"/>
                <w:bottom w:w="0" w:type="dxa"/>
                <w:right w:w="0" w:type="dxa"/>
              </w:tblCellMar>
            </w:tblPr>
            <w:tblGrid>
              <w:gridCol w:w="747"/>
              <w:gridCol w:w="2053"/>
              <w:gridCol w:w="864"/>
              <w:gridCol w:w="1420"/>
              <w:gridCol w:w="1136"/>
              <w:gridCol w:w="1633"/>
            </w:tblGrid>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序号</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设备名称</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单位</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技改前数量</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技改后数量</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技改前后</w:t>
                  </w:r>
                </w:p>
                <w:p>
                  <w:pPr>
                    <w:pStyle w:val="63"/>
                    <w:rPr>
                      <w:color w:val="auto"/>
                    </w:rPr>
                  </w:pPr>
                  <w:r>
                    <w:rPr>
                      <w:rFonts w:hint="eastAsia"/>
                      <w:color w:val="auto"/>
                    </w:rPr>
                    <w:t>变化情况</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入口钢卷鞍座</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组</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3</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3</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2</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过跨平车</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台</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3</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上卷小车</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台</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4</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开卷机</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台</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5</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夹送矫直机</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台</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6</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剪前夹送辊</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套</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7</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剪切机</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台</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8</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摆动台</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套</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9</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对焊机</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套</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10</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入口活套</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套</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11</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张力辊</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套</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6</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6</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12</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纠偏辊</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套</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7</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7</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13</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退火炉</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座</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14</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冷却段</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套</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15</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抛丸机</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套</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16</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酸洗装置</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套</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17</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出口活套</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套</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18</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剪切机</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台</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19</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卷取机</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台</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20</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出口钢卷鞍座</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组</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3</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3</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2</w:t>
                  </w:r>
                  <w:r>
                    <w:rPr>
                      <w:color w:val="auto"/>
                    </w:rPr>
                    <w:t>1</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焦炉煤气管线</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套</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0</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本次技改拆除</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2</w:t>
                  </w:r>
                  <w:r>
                    <w:rPr>
                      <w:color w:val="auto"/>
                    </w:rPr>
                    <w:t>2</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天然气</w:t>
                  </w:r>
                  <w:r>
                    <w:rPr>
                      <w:rFonts w:hint="eastAsia"/>
                      <w:color w:val="auto"/>
                      <w:lang w:eastAsia="zh-CN"/>
                    </w:rPr>
                    <w:t>燃烧系统</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套</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0</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1</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本次技改新增</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2</w:t>
                  </w:r>
                  <w:r>
                    <w:rPr>
                      <w:color w:val="auto"/>
                      <w:lang w:eastAsia="zh-CN"/>
                    </w:rPr>
                    <w:t>3</w:t>
                  </w:r>
                </w:p>
              </w:tc>
              <w:tc>
                <w:tcPr>
                  <w:tcW w:w="1307"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lang w:eastAsia="zh-CN"/>
                    </w:rPr>
                    <w:t>天然气管线</w:t>
                  </w:r>
                </w:p>
              </w:tc>
              <w:tc>
                <w:tcPr>
                  <w:tcW w:w="5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lang w:eastAsia="zh-CN"/>
                    </w:rPr>
                    <w:t>m</w:t>
                  </w:r>
                </w:p>
              </w:tc>
              <w:tc>
                <w:tcPr>
                  <w:tcW w:w="904"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0</w:t>
                  </w:r>
                </w:p>
              </w:tc>
              <w:tc>
                <w:tcPr>
                  <w:tcW w:w="72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1</w:t>
                  </w:r>
                  <w:r>
                    <w:rPr>
                      <w:color w:val="auto"/>
                      <w:lang w:eastAsia="zh-CN"/>
                    </w:rPr>
                    <w:t>54</w:t>
                  </w:r>
                </w:p>
              </w:tc>
              <w:tc>
                <w:tcPr>
                  <w:tcW w:w="104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本次技改新增</w:t>
                  </w:r>
                </w:p>
              </w:tc>
            </w:tr>
          </w:tbl>
          <w:p>
            <w:pPr>
              <w:ind w:firstLine="480"/>
              <w:rPr>
                <w:color w:val="auto"/>
              </w:rPr>
            </w:pPr>
            <w:r>
              <w:rPr>
                <w:rFonts w:hint="eastAsia"/>
                <w:color w:val="auto"/>
              </w:rPr>
              <w:t>本次技改主要新增一套天然气燃烧系统，燃烧系统主要设备见下表：</w:t>
            </w:r>
          </w:p>
          <w:p>
            <w:pPr>
              <w:pStyle w:val="66"/>
              <w:rPr>
                <w:color w:val="auto"/>
              </w:rPr>
            </w:pPr>
            <w:r>
              <w:rPr>
                <w:color w:val="auto"/>
              </w:rPr>
              <w:t>表</w:t>
            </w:r>
            <w:r>
              <w:rPr>
                <w:rFonts w:hint="eastAsia"/>
                <w:color w:val="auto"/>
              </w:rPr>
              <w:t>2.1-</w:t>
            </w:r>
            <w:r>
              <w:rPr>
                <w:color w:val="auto"/>
              </w:rPr>
              <w:t>4</w:t>
            </w:r>
            <w:r>
              <w:rPr>
                <w:rFonts w:hint="eastAsia"/>
                <w:color w:val="auto"/>
              </w:rPr>
              <w:t xml:space="preserve"> 本次技改燃烧系统主要设备一览表</w:t>
            </w:r>
          </w:p>
          <w:tbl>
            <w:tblPr>
              <w:tblStyle w:val="26"/>
              <w:tblW w:w="5000" w:type="pct"/>
              <w:tblInd w:w="0" w:type="dxa"/>
              <w:tblLayout w:type="autofit"/>
              <w:tblCellMar>
                <w:top w:w="0" w:type="dxa"/>
                <w:left w:w="0" w:type="dxa"/>
                <w:bottom w:w="0" w:type="dxa"/>
                <w:right w:w="0" w:type="dxa"/>
              </w:tblCellMar>
            </w:tblPr>
            <w:tblGrid>
              <w:gridCol w:w="944"/>
              <w:gridCol w:w="2591"/>
              <w:gridCol w:w="1092"/>
              <w:gridCol w:w="1792"/>
              <w:gridCol w:w="1434"/>
            </w:tblGrid>
            <w:tr>
              <w:tblPrEx>
                <w:tblCellMar>
                  <w:top w:w="0" w:type="dxa"/>
                  <w:left w:w="0" w:type="dxa"/>
                  <w:bottom w:w="0" w:type="dxa"/>
                  <w:right w:w="0" w:type="dxa"/>
                </w:tblCellMar>
              </w:tblPrEx>
              <w:trPr>
                <w:trHeight w:val="20" w:hRule="atLeast"/>
              </w:trPr>
              <w:tc>
                <w:tcPr>
                  <w:tcW w:w="601"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序号</w:t>
                  </w:r>
                </w:p>
              </w:tc>
              <w:tc>
                <w:tcPr>
                  <w:tcW w:w="16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设备名称</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单位</w:t>
                  </w:r>
                </w:p>
              </w:tc>
              <w:tc>
                <w:tcPr>
                  <w:tcW w:w="1141"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数量</w:t>
                  </w:r>
                </w:p>
              </w:tc>
              <w:tc>
                <w:tcPr>
                  <w:tcW w:w="91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型号/厂商</w:t>
                  </w:r>
                </w:p>
              </w:tc>
            </w:tr>
            <w:tr>
              <w:tblPrEx>
                <w:tblCellMar>
                  <w:top w:w="0" w:type="dxa"/>
                  <w:left w:w="0" w:type="dxa"/>
                  <w:bottom w:w="0" w:type="dxa"/>
                  <w:right w:w="0" w:type="dxa"/>
                </w:tblCellMar>
              </w:tblPrEx>
              <w:trPr>
                <w:trHeight w:val="20" w:hRule="atLeast"/>
              </w:trPr>
              <w:tc>
                <w:tcPr>
                  <w:tcW w:w="601"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1</w:t>
                  </w:r>
                </w:p>
              </w:tc>
              <w:tc>
                <w:tcPr>
                  <w:tcW w:w="16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asciiTheme="minorEastAsia" w:hAnsiTheme="minorEastAsia"/>
                      <w:color w:val="auto"/>
                      <w:szCs w:val="21"/>
                    </w:rPr>
                    <w:t>主</w:t>
                  </w:r>
                  <w:r>
                    <w:rPr>
                      <w:rFonts w:asciiTheme="minorEastAsia" w:hAnsiTheme="minorEastAsia"/>
                      <w:color w:val="auto"/>
                      <w:szCs w:val="21"/>
                    </w:rPr>
                    <w:t>燃</w:t>
                  </w:r>
                  <w:r>
                    <w:rPr>
                      <w:rFonts w:hint="eastAsia" w:asciiTheme="minorEastAsia" w:hAnsiTheme="minorEastAsia"/>
                      <w:color w:val="auto"/>
                      <w:szCs w:val="21"/>
                    </w:rPr>
                    <w:t>气</w:t>
                  </w:r>
                  <w:r>
                    <w:rPr>
                      <w:rFonts w:asciiTheme="minorEastAsia" w:hAnsiTheme="minorEastAsia"/>
                      <w:color w:val="auto"/>
                      <w:szCs w:val="21"/>
                    </w:rPr>
                    <w:t>系统管道</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 w:val="20"/>
                    </w:rPr>
                    <w:t>米</w:t>
                  </w:r>
                </w:p>
              </w:tc>
              <w:tc>
                <w:tcPr>
                  <w:tcW w:w="1141"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ascii="宋体" w:hAnsi="宋体"/>
                      <w:color w:val="auto"/>
                      <w:sz w:val="20"/>
                    </w:rPr>
                    <w:t>50</w:t>
                  </w:r>
                </w:p>
              </w:tc>
              <w:tc>
                <w:tcPr>
                  <w:tcW w:w="91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lang w:val="en-US"/>
                    </w:rPr>
                    <w:t>包钢</w:t>
                  </w:r>
                  <w:r>
                    <w:rPr>
                      <w:rFonts w:hint="eastAsia"/>
                      <w:color w:val="auto"/>
                      <w:lang w:val="en-US"/>
                    </w:rPr>
                    <w:t>/</w:t>
                  </w:r>
                  <w:r>
                    <w:rPr>
                      <w:color w:val="auto"/>
                      <w:lang w:val="en-US"/>
                    </w:rPr>
                    <w:t>鑫鹏源</w:t>
                  </w:r>
                </w:p>
              </w:tc>
            </w:tr>
            <w:tr>
              <w:tblPrEx>
                <w:tblCellMar>
                  <w:top w:w="0" w:type="dxa"/>
                  <w:left w:w="0" w:type="dxa"/>
                  <w:bottom w:w="0" w:type="dxa"/>
                  <w:right w:w="0" w:type="dxa"/>
                </w:tblCellMar>
              </w:tblPrEx>
              <w:trPr>
                <w:trHeight w:val="20" w:hRule="atLeast"/>
              </w:trPr>
              <w:tc>
                <w:tcPr>
                  <w:tcW w:w="601"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2</w:t>
                  </w:r>
                </w:p>
              </w:tc>
              <w:tc>
                <w:tcPr>
                  <w:tcW w:w="16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asciiTheme="minorEastAsia" w:hAnsiTheme="minorEastAsia"/>
                      <w:color w:val="auto"/>
                      <w:szCs w:val="21"/>
                    </w:rPr>
                    <w:t>主</w:t>
                  </w:r>
                  <w:r>
                    <w:rPr>
                      <w:rFonts w:asciiTheme="minorEastAsia" w:hAnsiTheme="minorEastAsia"/>
                      <w:color w:val="auto"/>
                      <w:szCs w:val="21"/>
                    </w:rPr>
                    <w:t>燃</w:t>
                  </w:r>
                  <w:r>
                    <w:rPr>
                      <w:rFonts w:hint="eastAsia" w:asciiTheme="minorEastAsia" w:hAnsiTheme="minorEastAsia"/>
                      <w:color w:val="auto"/>
                      <w:szCs w:val="21"/>
                    </w:rPr>
                    <w:t>气阀</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 w:val="20"/>
                    </w:rPr>
                    <w:t>组</w:t>
                  </w:r>
                </w:p>
              </w:tc>
              <w:tc>
                <w:tcPr>
                  <w:tcW w:w="1141"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ascii="宋体" w:hAnsi="宋体"/>
                      <w:color w:val="auto"/>
                      <w:sz w:val="20"/>
                    </w:rPr>
                    <w:t>1</w:t>
                  </w:r>
                </w:p>
              </w:tc>
              <w:tc>
                <w:tcPr>
                  <w:tcW w:w="91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w:t>
                  </w:r>
                </w:p>
              </w:tc>
            </w:tr>
            <w:tr>
              <w:tblPrEx>
                <w:tblCellMar>
                  <w:top w:w="0" w:type="dxa"/>
                  <w:left w:w="0" w:type="dxa"/>
                  <w:bottom w:w="0" w:type="dxa"/>
                  <w:right w:w="0" w:type="dxa"/>
                </w:tblCellMar>
              </w:tblPrEx>
              <w:trPr>
                <w:trHeight w:val="20" w:hRule="atLeast"/>
              </w:trPr>
              <w:tc>
                <w:tcPr>
                  <w:tcW w:w="601"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3</w:t>
                  </w:r>
                </w:p>
              </w:tc>
              <w:tc>
                <w:tcPr>
                  <w:tcW w:w="16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asciiTheme="minorEastAsia" w:hAnsiTheme="minorEastAsia"/>
                      <w:color w:val="auto"/>
                      <w:szCs w:val="21"/>
                    </w:rPr>
                    <w:t>烧嘴芯</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 w:val="20"/>
                    </w:rPr>
                    <w:t>组</w:t>
                  </w:r>
                </w:p>
              </w:tc>
              <w:tc>
                <w:tcPr>
                  <w:tcW w:w="1141"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Cs w:val="21"/>
                    </w:rPr>
                    <w:t>66</w:t>
                  </w:r>
                </w:p>
              </w:tc>
              <w:tc>
                <w:tcPr>
                  <w:tcW w:w="91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lang w:val="en-US"/>
                    </w:rPr>
                    <w:t>诺一/欣星</w:t>
                  </w:r>
                </w:p>
              </w:tc>
            </w:tr>
            <w:tr>
              <w:tblPrEx>
                <w:tblCellMar>
                  <w:top w:w="0" w:type="dxa"/>
                  <w:left w:w="0" w:type="dxa"/>
                  <w:bottom w:w="0" w:type="dxa"/>
                  <w:right w:w="0" w:type="dxa"/>
                </w:tblCellMar>
              </w:tblPrEx>
              <w:trPr>
                <w:trHeight w:val="20" w:hRule="atLeast"/>
              </w:trPr>
              <w:tc>
                <w:tcPr>
                  <w:tcW w:w="601"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4</w:t>
                  </w:r>
                </w:p>
              </w:tc>
              <w:tc>
                <w:tcPr>
                  <w:tcW w:w="16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asciiTheme="minorEastAsia" w:hAnsiTheme="minorEastAsia"/>
                      <w:color w:val="auto"/>
                      <w:szCs w:val="21"/>
                    </w:rPr>
                    <w:t>燃气比例阀</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 w:val="20"/>
                    </w:rPr>
                    <w:t>组</w:t>
                  </w:r>
                </w:p>
              </w:tc>
              <w:tc>
                <w:tcPr>
                  <w:tcW w:w="1141"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Cs w:val="21"/>
                    </w:rPr>
                    <w:t>18</w:t>
                  </w:r>
                </w:p>
              </w:tc>
              <w:tc>
                <w:tcPr>
                  <w:tcW w:w="91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lang w:val="en-US"/>
                    </w:rPr>
                    <w:t>诺一/krom/嘉达</w:t>
                  </w:r>
                </w:p>
              </w:tc>
            </w:tr>
            <w:tr>
              <w:tblPrEx>
                <w:tblCellMar>
                  <w:top w:w="0" w:type="dxa"/>
                  <w:left w:w="0" w:type="dxa"/>
                  <w:bottom w:w="0" w:type="dxa"/>
                  <w:right w:w="0" w:type="dxa"/>
                </w:tblCellMar>
              </w:tblPrEx>
              <w:trPr>
                <w:trHeight w:val="20" w:hRule="atLeast"/>
              </w:trPr>
              <w:tc>
                <w:tcPr>
                  <w:tcW w:w="601"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5</w:t>
                  </w:r>
                </w:p>
              </w:tc>
              <w:tc>
                <w:tcPr>
                  <w:tcW w:w="16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asciiTheme="minorEastAsia" w:hAnsiTheme="minorEastAsia"/>
                      <w:color w:val="auto"/>
                      <w:szCs w:val="21"/>
                    </w:rPr>
                    <w:t>空气调节阀</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 w:val="20"/>
                    </w:rPr>
                    <w:t>组</w:t>
                  </w:r>
                </w:p>
              </w:tc>
              <w:tc>
                <w:tcPr>
                  <w:tcW w:w="1141"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Cs w:val="21"/>
                    </w:rPr>
                    <w:t>18</w:t>
                  </w:r>
                </w:p>
              </w:tc>
              <w:tc>
                <w:tcPr>
                  <w:tcW w:w="91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w:t>
                  </w:r>
                </w:p>
              </w:tc>
            </w:tr>
            <w:tr>
              <w:tblPrEx>
                <w:tblCellMar>
                  <w:top w:w="0" w:type="dxa"/>
                  <w:left w:w="0" w:type="dxa"/>
                  <w:bottom w:w="0" w:type="dxa"/>
                  <w:right w:w="0" w:type="dxa"/>
                </w:tblCellMar>
              </w:tblPrEx>
              <w:trPr>
                <w:trHeight w:val="20" w:hRule="atLeast"/>
              </w:trPr>
              <w:tc>
                <w:tcPr>
                  <w:tcW w:w="601"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6</w:t>
                  </w:r>
                </w:p>
              </w:tc>
              <w:tc>
                <w:tcPr>
                  <w:tcW w:w="16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asciiTheme="minorEastAsia" w:hAnsiTheme="minorEastAsia"/>
                      <w:color w:val="auto"/>
                      <w:szCs w:val="21"/>
                    </w:rPr>
                    <w:t>燃气电磁阀</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 w:val="20"/>
                    </w:rPr>
                    <w:t>组</w:t>
                  </w:r>
                </w:p>
              </w:tc>
              <w:tc>
                <w:tcPr>
                  <w:tcW w:w="1141"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Cs w:val="21"/>
                    </w:rPr>
                    <w:t>66</w:t>
                  </w:r>
                </w:p>
              </w:tc>
              <w:tc>
                <w:tcPr>
                  <w:tcW w:w="91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lang w:val="en-US"/>
                    </w:rPr>
                    <w:t>伊莱克斯</w:t>
                  </w:r>
                </w:p>
              </w:tc>
            </w:tr>
            <w:tr>
              <w:tblPrEx>
                <w:tblCellMar>
                  <w:top w:w="0" w:type="dxa"/>
                  <w:left w:w="0" w:type="dxa"/>
                  <w:bottom w:w="0" w:type="dxa"/>
                  <w:right w:w="0" w:type="dxa"/>
                </w:tblCellMar>
              </w:tblPrEx>
              <w:trPr>
                <w:trHeight w:val="20" w:hRule="atLeast"/>
              </w:trPr>
              <w:tc>
                <w:tcPr>
                  <w:tcW w:w="601"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7</w:t>
                  </w:r>
                </w:p>
              </w:tc>
              <w:tc>
                <w:tcPr>
                  <w:tcW w:w="16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asciiTheme="minorEastAsia" w:hAnsiTheme="minorEastAsia"/>
                      <w:color w:val="auto"/>
                      <w:szCs w:val="21"/>
                    </w:rPr>
                    <w:t>烧嘴密封保温处理</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 w:val="20"/>
                    </w:rPr>
                    <w:t>支</w:t>
                  </w:r>
                </w:p>
              </w:tc>
              <w:tc>
                <w:tcPr>
                  <w:tcW w:w="1141"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Cs w:val="21"/>
                    </w:rPr>
                    <w:t>33</w:t>
                  </w:r>
                </w:p>
              </w:tc>
              <w:tc>
                <w:tcPr>
                  <w:tcW w:w="91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w:t>
                  </w:r>
                </w:p>
              </w:tc>
            </w:tr>
            <w:tr>
              <w:tblPrEx>
                <w:tblCellMar>
                  <w:top w:w="0" w:type="dxa"/>
                  <w:left w:w="0" w:type="dxa"/>
                  <w:bottom w:w="0" w:type="dxa"/>
                  <w:right w:w="0" w:type="dxa"/>
                </w:tblCellMar>
              </w:tblPrEx>
              <w:trPr>
                <w:trHeight w:val="20" w:hRule="atLeast"/>
              </w:trPr>
              <w:tc>
                <w:tcPr>
                  <w:tcW w:w="601"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8</w:t>
                  </w:r>
                </w:p>
              </w:tc>
              <w:tc>
                <w:tcPr>
                  <w:tcW w:w="1650"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asciiTheme="minorEastAsia" w:hAnsiTheme="minorEastAsia"/>
                      <w:color w:val="auto"/>
                      <w:szCs w:val="21"/>
                    </w:rPr>
                    <w:t>燃气</w:t>
                  </w:r>
                  <w:r>
                    <w:rPr>
                      <w:rFonts w:hint="eastAsia" w:asciiTheme="minorEastAsia" w:hAnsiTheme="minorEastAsia"/>
                      <w:color w:val="auto"/>
                      <w:szCs w:val="21"/>
                      <w:lang w:eastAsia="zh-CN"/>
                    </w:rPr>
                    <w:t>过滤器</w:t>
                  </w:r>
                </w:p>
              </w:tc>
              <w:tc>
                <w:tcPr>
                  <w:tcW w:w="695"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Cs w:val="21"/>
                    </w:rPr>
                    <w:t>组</w:t>
                  </w:r>
                </w:p>
              </w:tc>
              <w:tc>
                <w:tcPr>
                  <w:tcW w:w="1141"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szCs w:val="21"/>
                    </w:rPr>
                    <w:t>18</w:t>
                  </w:r>
                </w:p>
              </w:tc>
              <w:tc>
                <w:tcPr>
                  <w:tcW w:w="91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w:t>
                  </w:r>
                </w:p>
              </w:tc>
            </w:tr>
          </w:tbl>
          <w:p>
            <w:pPr>
              <w:pStyle w:val="80"/>
              <w:ind w:firstLine="482"/>
              <w:rPr>
                <w:color w:val="auto"/>
              </w:rPr>
            </w:pPr>
            <w:r>
              <w:rPr>
                <w:rFonts w:hint="eastAsia"/>
                <w:color w:val="auto"/>
              </w:rPr>
              <w:t>4.主要原辅材料及燃料消耗量</w:t>
            </w:r>
          </w:p>
          <w:p>
            <w:pPr>
              <w:ind w:firstLine="480"/>
              <w:rPr>
                <w:color w:val="auto"/>
              </w:rPr>
            </w:pPr>
            <w:r>
              <w:rPr>
                <w:rFonts w:hint="eastAsia"/>
                <w:color w:val="auto"/>
              </w:rPr>
              <w:t>本次技改前后主要原辅材料变化情况见下表。</w:t>
            </w:r>
          </w:p>
          <w:p>
            <w:pPr>
              <w:pStyle w:val="66"/>
              <w:rPr>
                <w:color w:val="auto"/>
              </w:rPr>
            </w:pPr>
            <w:r>
              <w:rPr>
                <w:color w:val="auto"/>
              </w:rPr>
              <w:t>表</w:t>
            </w:r>
            <w:r>
              <w:rPr>
                <w:rFonts w:hint="eastAsia"/>
                <w:color w:val="auto"/>
              </w:rPr>
              <w:t>2</w:t>
            </w:r>
            <w:r>
              <w:rPr>
                <w:color w:val="auto"/>
              </w:rPr>
              <w:t>.</w:t>
            </w:r>
            <w:r>
              <w:rPr>
                <w:rFonts w:hint="eastAsia"/>
                <w:color w:val="auto"/>
              </w:rPr>
              <w:t>1</w:t>
            </w:r>
            <w:r>
              <w:rPr>
                <w:color w:val="auto"/>
              </w:rPr>
              <w:t>-5</w:t>
            </w:r>
            <w:r>
              <w:rPr>
                <w:rFonts w:hint="eastAsia"/>
                <w:color w:val="auto"/>
              </w:rPr>
              <w:t xml:space="preserve"> 技改前后原辅材料变化情况一览表</w:t>
            </w:r>
          </w:p>
          <w:tbl>
            <w:tblPr>
              <w:tblStyle w:val="26"/>
              <w:tblW w:w="5000" w:type="pct"/>
              <w:tblInd w:w="0" w:type="dxa"/>
              <w:tblLayout w:type="autofit"/>
              <w:tblCellMar>
                <w:top w:w="0" w:type="dxa"/>
                <w:left w:w="0" w:type="dxa"/>
                <w:bottom w:w="0" w:type="dxa"/>
                <w:right w:w="0" w:type="dxa"/>
              </w:tblCellMar>
            </w:tblPr>
            <w:tblGrid>
              <w:gridCol w:w="748"/>
              <w:gridCol w:w="1638"/>
              <w:gridCol w:w="1278"/>
              <w:gridCol w:w="851"/>
              <w:gridCol w:w="1277"/>
              <w:gridCol w:w="2061"/>
            </w:tblGrid>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序号</w:t>
                  </w:r>
                </w:p>
              </w:tc>
              <w:tc>
                <w:tcPr>
                  <w:tcW w:w="104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设备名称</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单位</w:t>
                  </w:r>
                </w:p>
              </w:tc>
              <w:tc>
                <w:tcPr>
                  <w:tcW w:w="542"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技改前</w:t>
                  </w:r>
                </w:p>
              </w:tc>
              <w:tc>
                <w:tcPr>
                  <w:tcW w:w="81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技改后</w:t>
                  </w:r>
                </w:p>
              </w:tc>
              <w:tc>
                <w:tcPr>
                  <w:tcW w:w="1312"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技改前后变化情况</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1</w:t>
                  </w:r>
                </w:p>
              </w:tc>
              <w:tc>
                <w:tcPr>
                  <w:tcW w:w="104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热轧原料钢卷</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万t/a</w:t>
                  </w:r>
                </w:p>
              </w:tc>
              <w:tc>
                <w:tcPr>
                  <w:tcW w:w="542"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31</w:t>
                  </w:r>
                </w:p>
              </w:tc>
              <w:tc>
                <w:tcPr>
                  <w:tcW w:w="81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3</w:t>
                  </w:r>
                  <w:r>
                    <w:rPr>
                      <w:color w:val="auto"/>
                      <w:lang w:eastAsia="zh-CN"/>
                    </w:rPr>
                    <w:t>1</w:t>
                  </w:r>
                </w:p>
              </w:tc>
              <w:tc>
                <w:tcPr>
                  <w:tcW w:w="1312"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2</w:t>
                  </w:r>
                </w:p>
              </w:tc>
              <w:tc>
                <w:tcPr>
                  <w:tcW w:w="104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焦炉煤气</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lang w:eastAsia="zh-CN"/>
                    </w:rPr>
                    <w:t>万m</w:t>
                  </w:r>
                  <w:r>
                    <w:rPr>
                      <w:rFonts w:hint="eastAsia"/>
                      <w:color w:val="auto"/>
                      <w:vertAlign w:val="superscript"/>
                      <w:lang w:eastAsia="zh-CN"/>
                    </w:rPr>
                    <w:t>3</w:t>
                  </w:r>
                  <w:r>
                    <w:rPr>
                      <w:color w:val="auto"/>
                    </w:rPr>
                    <w:t>/</w:t>
                  </w:r>
                  <w:r>
                    <w:rPr>
                      <w:rFonts w:hint="eastAsia"/>
                      <w:color w:val="auto"/>
                      <w:lang w:eastAsia="zh-CN"/>
                    </w:rPr>
                    <w:t>a</w:t>
                  </w:r>
                </w:p>
              </w:tc>
              <w:tc>
                <w:tcPr>
                  <w:tcW w:w="542"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2</w:t>
                  </w:r>
                  <w:r>
                    <w:rPr>
                      <w:color w:val="auto"/>
                      <w:lang w:eastAsia="zh-CN"/>
                    </w:rPr>
                    <w:t>881</w:t>
                  </w:r>
                </w:p>
              </w:tc>
              <w:tc>
                <w:tcPr>
                  <w:tcW w:w="81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0</w:t>
                  </w:r>
                </w:p>
              </w:tc>
              <w:tc>
                <w:tcPr>
                  <w:tcW w:w="1312"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w:t>
                  </w:r>
                  <w:r>
                    <w:rPr>
                      <w:color w:val="auto"/>
                      <w:lang w:eastAsia="zh-CN"/>
                    </w:rPr>
                    <w:t>2881</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3</w:t>
                  </w:r>
                </w:p>
              </w:tc>
              <w:tc>
                <w:tcPr>
                  <w:tcW w:w="104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lang w:eastAsia="zh-CN"/>
                    </w:rPr>
                    <w:t>天然气</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万m</w:t>
                  </w:r>
                  <w:r>
                    <w:rPr>
                      <w:rFonts w:hint="eastAsia"/>
                      <w:color w:val="auto"/>
                      <w:vertAlign w:val="superscript"/>
                      <w:lang w:eastAsia="zh-CN"/>
                    </w:rPr>
                    <w:t>3</w:t>
                  </w:r>
                  <w:r>
                    <w:rPr>
                      <w:color w:val="auto"/>
                    </w:rPr>
                    <w:t>/</w:t>
                  </w:r>
                  <w:r>
                    <w:rPr>
                      <w:rFonts w:hint="eastAsia"/>
                      <w:color w:val="auto"/>
                      <w:lang w:eastAsia="zh-CN"/>
                    </w:rPr>
                    <w:t>a</w:t>
                  </w:r>
                </w:p>
              </w:tc>
              <w:tc>
                <w:tcPr>
                  <w:tcW w:w="542"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0</w:t>
                  </w:r>
                </w:p>
              </w:tc>
              <w:tc>
                <w:tcPr>
                  <w:tcW w:w="81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1</w:t>
                  </w:r>
                  <w:r>
                    <w:rPr>
                      <w:color w:val="auto"/>
                      <w:lang w:eastAsia="zh-CN"/>
                    </w:rPr>
                    <w:t>080</w:t>
                  </w:r>
                </w:p>
              </w:tc>
              <w:tc>
                <w:tcPr>
                  <w:tcW w:w="1312"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w:t>
                  </w:r>
                  <w:r>
                    <w:rPr>
                      <w:color w:val="auto"/>
                      <w:lang w:eastAsia="zh-CN"/>
                    </w:rPr>
                    <w:t>1080</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4</w:t>
                  </w:r>
                </w:p>
              </w:tc>
              <w:tc>
                <w:tcPr>
                  <w:tcW w:w="104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硝酸</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lang w:eastAsia="zh-CN"/>
                    </w:rPr>
                    <w:t>t</w:t>
                  </w:r>
                  <w:r>
                    <w:rPr>
                      <w:color w:val="auto"/>
                    </w:rPr>
                    <w:t>/</w:t>
                  </w:r>
                  <w:r>
                    <w:rPr>
                      <w:rFonts w:hint="eastAsia"/>
                      <w:color w:val="auto"/>
                      <w:lang w:eastAsia="zh-CN"/>
                    </w:rPr>
                    <w:t>a</w:t>
                  </w:r>
                </w:p>
              </w:tc>
              <w:tc>
                <w:tcPr>
                  <w:tcW w:w="542"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4</w:t>
                  </w:r>
                  <w:r>
                    <w:rPr>
                      <w:color w:val="auto"/>
                      <w:lang w:eastAsia="zh-CN"/>
                    </w:rPr>
                    <w:t>800</w:t>
                  </w:r>
                </w:p>
              </w:tc>
              <w:tc>
                <w:tcPr>
                  <w:tcW w:w="81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4</w:t>
                  </w:r>
                  <w:r>
                    <w:rPr>
                      <w:color w:val="auto"/>
                      <w:lang w:eastAsia="zh-CN"/>
                    </w:rPr>
                    <w:t>800</w:t>
                  </w:r>
                </w:p>
              </w:tc>
              <w:tc>
                <w:tcPr>
                  <w:tcW w:w="1312"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5</w:t>
                  </w:r>
                </w:p>
              </w:tc>
              <w:tc>
                <w:tcPr>
                  <w:tcW w:w="104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硫酸</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lang w:eastAsia="zh-CN"/>
                    </w:rPr>
                    <w:t>t</w:t>
                  </w:r>
                  <w:r>
                    <w:rPr>
                      <w:color w:val="auto"/>
                    </w:rPr>
                    <w:t>/</w:t>
                  </w:r>
                  <w:r>
                    <w:rPr>
                      <w:rFonts w:hint="eastAsia"/>
                      <w:color w:val="auto"/>
                      <w:lang w:eastAsia="zh-CN"/>
                    </w:rPr>
                    <w:t>a</w:t>
                  </w:r>
                </w:p>
              </w:tc>
              <w:tc>
                <w:tcPr>
                  <w:tcW w:w="542"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1</w:t>
                  </w:r>
                  <w:r>
                    <w:rPr>
                      <w:color w:val="auto"/>
                      <w:lang w:eastAsia="zh-CN"/>
                    </w:rPr>
                    <w:t>800</w:t>
                  </w:r>
                </w:p>
              </w:tc>
              <w:tc>
                <w:tcPr>
                  <w:tcW w:w="81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1</w:t>
                  </w:r>
                  <w:r>
                    <w:rPr>
                      <w:color w:val="auto"/>
                      <w:lang w:eastAsia="zh-CN"/>
                    </w:rPr>
                    <w:t>800</w:t>
                  </w:r>
                </w:p>
              </w:tc>
              <w:tc>
                <w:tcPr>
                  <w:tcW w:w="1312"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6</w:t>
                  </w:r>
                </w:p>
              </w:tc>
              <w:tc>
                <w:tcPr>
                  <w:tcW w:w="104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氢氟酸</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lang w:eastAsia="zh-CN"/>
                    </w:rPr>
                    <w:t>t</w:t>
                  </w:r>
                  <w:r>
                    <w:rPr>
                      <w:color w:val="auto"/>
                    </w:rPr>
                    <w:t>/</w:t>
                  </w:r>
                  <w:r>
                    <w:rPr>
                      <w:rFonts w:hint="eastAsia"/>
                      <w:color w:val="auto"/>
                      <w:lang w:eastAsia="zh-CN"/>
                    </w:rPr>
                    <w:t>a</w:t>
                  </w:r>
                </w:p>
              </w:tc>
              <w:tc>
                <w:tcPr>
                  <w:tcW w:w="542"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9</w:t>
                  </w:r>
                  <w:r>
                    <w:rPr>
                      <w:color w:val="auto"/>
                      <w:lang w:eastAsia="zh-CN"/>
                    </w:rPr>
                    <w:t>00</w:t>
                  </w:r>
                </w:p>
              </w:tc>
              <w:tc>
                <w:tcPr>
                  <w:tcW w:w="81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9</w:t>
                  </w:r>
                  <w:r>
                    <w:rPr>
                      <w:color w:val="auto"/>
                      <w:lang w:eastAsia="zh-CN"/>
                    </w:rPr>
                    <w:t>00</w:t>
                  </w:r>
                </w:p>
              </w:tc>
              <w:tc>
                <w:tcPr>
                  <w:tcW w:w="1312"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7</w:t>
                  </w:r>
                </w:p>
              </w:tc>
              <w:tc>
                <w:tcPr>
                  <w:tcW w:w="1043"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rPr>
                    <w:t>氢氧化钙</w:t>
                  </w:r>
                </w:p>
              </w:tc>
              <w:tc>
                <w:tcPr>
                  <w:tcW w:w="814"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rFonts w:hint="eastAsia"/>
                      <w:color w:val="auto"/>
                      <w:lang w:eastAsia="zh-CN"/>
                    </w:rPr>
                    <w:t>t</w:t>
                  </w:r>
                  <w:r>
                    <w:rPr>
                      <w:color w:val="auto"/>
                    </w:rPr>
                    <w:t>/</w:t>
                  </w:r>
                  <w:r>
                    <w:rPr>
                      <w:rFonts w:hint="eastAsia"/>
                      <w:color w:val="auto"/>
                      <w:lang w:eastAsia="zh-CN"/>
                    </w:rPr>
                    <w:t>a</w:t>
                  </w:r>
                </w:p>
              </w:tc>
              <w:tc>
                <w:tcPr>
                  <w:tcW w:w="542"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5</w:t>
                  </w:r>
                  <w:r>
                    <w:rPr>
                      <w:color w:val="auto"/>
                      <w:lang w:eastAsia="zh-CN"/>
                    </w:rPr>
                    <w:t>843</w:t>
                  </w:r>
                </w:p>
              </w:tc>
              <w:tc>
                <w:tcPr>
                  <w:tcW w:w="813" w:type="pct"/>
                  <w:tcBorders>
                    <w:top w:val="single" w:color="000000" w:sz="4" w:space="0"/>
                    <w:left w:val="single" w:color="000000" w:sz="4" w:space="0"/>
                    <w:bottom w:val="single" w:color="000000" w:sz="4" w:space="0"/>
                    <w:right w:val="single" w:color="000000" w:sz="4" w:space="0"/>
                  </w:tcBorders>
                  <w:vAlign w:val="center"/>
                </w:tcPr>
                <w:p>
                  <w:pPr>
                    <w:pStyle w:val="63"/>
                    <w:rPr>
                      <w:color w:val="auto"/>
                      <w:lang w:eastAsia="zh-CN"/>
                    </w:rPr>
                  </w:pPr>
                  <w:r>
                    <w:rPr>
                      <w:rFonts w:hint="eastAsia"/>
                      <w:color w:val="auto"/>
                      <w:lang w:eastAsia="zh-CN"/>
                    </w:rPr>
                    <w:t>5</w:t>
                  </w:r>
                  <w:r>
                    <w:rPr>
                      <w:color w:val="auto"/>
                      <w:lang w:eastAsia="zh-CN"/>
                    </w:rPr>
                    <w:t>843</w:t>
                  </w:r>
                </w:p>
              </w:tc>
              <w:tc>
                <w:tcPr>
                  <w:tcW w:w="1312" w:type="pct"/>
                  <w:tcBorders>
                    <w:top w:val="single" w:color="000000" w:sz="4" w:space="0"/>
                    <w:left w:val="single" w:color="000000" w:sz="4" w:space="0"/>
                    <w:bottom w:val="single" w:color="000000" w:sz="4" w:space="0"/>
                    <w:right w:val="single" w:color="000000" w:sz="4" w:space="0"/>
                  </w:tcBorders>
                  <w:vAlign w:val="center"/>
                </w:tcPr>
                <w:p>
                  <w:pPr>
                    <w:pStyle w:val="63"/>
                    <w:rPr>
                      <w:color w:val="auto"/>
                    </w:rPr>
                  </w:pPr>
                  <w:r>
                    <w:rPr>
                      <w:color w:val="auto"/>
                    </w:rPr>
                    <w:t>无变化</w:t>
                  </w:r>
                </w:p>
              </w:tc>
            </w:tr>
          </w:tbl>
          <w:p>
            <w:pPr>
              <w:ind w:firstLine="480"/>
              <w:rPr>
                <w:color w:val="auto"/>
              </w:rPr>
            </w:pPr>
            <w:r>
              <w:rPr>
                <w:rFonts w:hint="eastAsia"/>
                <w:color w:val="auto"/>
              </w:rPr>
              <w:t>本项目所用的天然气</w:t>
            </w:r>
            <w:r>
              <w:rPr>
                <w:rFonts w:hint="eastAsia"/>
                <w:color w:val="auto"/>
                <w:lang w:eastAsia="zh-CN"/>
              </w:rPr>
              <w:t>来自</w:t>
            </w:r>
            <w:r>
              <w:rPr>
                <w:rFonts w:hint="eastAsia"/>
                <w:color w:val="auto"/>
              </w:rPr>
              <w:t>年产1</w:t>
            </w:r>
            <w:r>
              <w:rPr>
                <w:color w:val="auto"/>
              </w:rPr>
              <w:t>40</w:t>
            </w:r>
            <w:r>
              <w:rPr>
                <w:rFonts w:hint="eastAsia"/>
                <w:color w:val="auto"/>
              </w:rPr>
              <w:t>万吨热轧生产线建设项目已建成的天然气站，由园区天然气管线提供。根据天然气气质报告（详见附件8），本次技改项目使用的燃料天然气成分及属性参数见下表：</w:t>
            </w:r>
          </w:p>
          <w:p>
            <w:pPr>
              <w:pStyle w:val="66"/>
              <w:rPr>
                <w:color w:val="auto"/>
              </w:rPr>
            </w:pPr>
            <w:r>
              <w:rPr>
                <w:rFonts w:hint="eastAsia"/>
                <w:color w:val="auto"/>
              </w:rPr>
              <w:t>表2</w:t>
            </w:r>
            <w:r>
              <w:rPr>
                <w:color w:val="auto"/>
              </w:rPr>
              <w:t xml:space="preserve">.1-6 </w:t>
            </w:r>
            <w:r>
              <w:rPr>
                <w:rFonts w:hint="eastAsia"/>
                <w:color w:val="auto"/>
              </w:rPr>
              <w:t>天然气成分及属性参数一览表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8"/>
              <w:gridCol w:w="1959"/>
              <w:gridCol w:w="1959"/>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组分</w:t>
                  </w:r>
                </w:p>
              </w:tc>
              <w:tc>
                <w:tcPr>
                  <w:tcW w:w="1959" w:type="dxa"/>
                </w:tcPr>
                <w:p>
                  <w:pPr>
                    <w:pStyle w:val="63"/>
                    <w:rPr>
                      <w:color w:val="auto"/>
                    </w:rPr>
                  </w:pPr>
                  <w:r>
                    <w:rPr>
                      <w:rFonts w:hint="eastAsia"/>
                      <w:color w:val="auto"/>
                      <w:lang w:eastAsia="zh-CN"/>
                    </w:rPr>
                    <w:t>检测值</w:t>
                  </w:r>
                </w:p>
              </w:tc>
              <w:tc>
                <w:tcPr>
                  <w:tcW w:w="1959" w:type="dxa"/>
                </w:tcPr>
                <w:p>
                  <w:pPr>
                    <w:pStyle w:val="63"/>
                    <w:rPr>
                      <w:color w:val="auto"/>
                    </w:rPr>
                  </w:pPr>
                  <w:r>
                    <w:rPr>
                      <w:rFonts w:hint="eastAsia"/>
                      <w:color w:val="auto"/>
                      <w:lang w:eastAsia="zh-CN"/>
                    </w:rPr>
                    <w:t>单位</w:t>
                  </w:r>
                </w:p>
              </w:tc>
              <w:tc>
                <w:tcPr>
                  <w:tcW w:w="1959" w:type="dxa"/>
                </w:tcPr>
                <w:p>
                  <w:pPr>
                    <w:pStyle w:val="63"/>
                    <w:rPr>
                      <w:color w:val="auto"/>
                    </w:rPr>
                  </w:pPr>
                  <w:r>
                    <w:rPr>
                      <w:rFonts w:hint="eastAsia"/>
                      <w:color w:val="auto"/>
                      <w:lang w:eastAsia="zh-CN"/>
                    </w:rPr>
                    <w:t>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835" w:type="dxa"/>
                  <w:gridSpan w:val="4"/>
                </w:tcPr>
                <w:p>
                  <w:pPr>
                    <w:pStyle w:val="63"/>
                    <w:rPr>
                      <w:color w:val="auto"/>
                      <w:lang w:eastAsia="zh-CN"/>
                    </w:rPr>
                  </w:pPr>
                  <w:r>
                    <w:rPr>
                      <w:rFonts w:hint="eastAsia"/>
                      <w:color w:val="auto"/>
                      <w:lang w:eastAsia="zh-CN"/>
                    </w:rPr>
                    <w:t>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rPr>
                  </w:pPr>
                  <w:r>
                    <w:rPr>
                      <w:rFonts w:hint="eastAsia"/>
                      <w:color w:val="auto"/>
                      <w:lang w:eastAsia="zh-CN"/>
                    </w:rPr>
                    <w:t>甲烷</w:t>
                  </w:r>
                </w:p>
              </w:tc>
              <w:tc>
                <w:tcPr>
                  <w:tcW w:w="1959" w:type="dxa"/>
                </w:tcPr>
                <w:p>
                  <w:pPr>
                    <w:pStyle w:val="63"/>
                    <w:rPr>
                      <w:color w:val="auto"/>
                      <w:lang w:eastAsia="zh-CN"/>
                    </w:rPr>
                  </w:pPr>
                  <w:r>
                    <w:rPr>
                      <w:rFonts w:hint="eastAsia"/>
                      <w:color w:val="auto"/>
                      <w:lang w:eastAsia="zh-CN"/>
                    </w:rPr>
                    <w:t>9</w:t>
                  </w:r>
                  <w:r>
                    <w:rPr>
                      <w:color w:val="auto"/>
                      <w:lang w:eastAsia="zh-CN"/>
                    </w:rPr>
                    <w:t>3.25</w:t>
                  </w:r>
                </w:p>
              </w:tc>
              <w:tc>
                <w:tcPr>
                  <w:tcW w:w="1959" w:type="dxa"/>
                </w:tcPr>
                <w:p>
                  <w:pPr>
                    <w:pStyle w:val="63"/>
                    <w:rPr>
                      <w:color w:val="auto"/>
                      <w:lang w:eastAsia="zh-CN"/>
                    </w:rPr>
                  </w:pPr>
                  <w:r>
                    <w:rPr>
                      <w:rFonts w:hint="eastAsia"/>
                      <w:color w:val="auto"/>
                      <w:lang w:eastAsia="zh-CN"/>
                    </w:rPr>
                    <w:t>%</w:t>
                  </w:r>
                  <w:r>
                    <w:rPr>
                      <w:color w:val="auto"/>
                      <w:lang w:eastAsia="zh-CN"/>
                    </w:rPr>
                    <w:t>M</w:t>
                  </w:r>
                  <w:r>
                    <w:rPr>
                      <w:rFonts w:hint="eastAsia"/>
                      <w:color w:val="auto"/>
                      <w:lang w:eastAsia="zh-CN"/>
                    </w:rPr>
                    <w:t>ol</w:t>
                  </w:r>
                </w:p>
              </w:tc>
              <w:tc>
                <w:tcPr>
                  <w:tcW w:w="1959" w:type="dxa"/>
                </w:tcPr>
                <w:p>
                  <w:pPr>
                    <w:pStyle w:val="63"/>
                    <w:rPr>
                      <w:color w:val="auto"/>
                      <w:lang w:eastAsia="zh-CN"/>
                    </w:rPr>
                  </w:pPr>
                  <w:r>
                    <w:rPr>
                      <w:rFonts w:hint="eastAsia"/>
                      <w:color w:val="auto"/>
                      <w:lang w:eastAsia="zh-CN"/>
                    </w:rPr>
                    <w:t>G</w:t>
                  </w:r>
                  <w:r>
                    <w:rPr>
                      <w:color w:val="auto"/>
                      <w:lang w:eastAsia="zh-CN"/>
                    </w:rPr>
                    <w:t>PA2261-20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rPr>
                  </w:pPr>
                  <w:r>
                    <w:rPr>
                      <w:rFonts w:hint="eastAsia"/>
                      <w:color w:val="auto"/>
                      <w:lang w:eastAsia="zh-CN"/>
                    </w:rPr>
                    <w:t>乙烷</w:t>
                  </w:r>
                </w:p>
              </w:tc>
              <w:tc>
                <w:tcPr>
                  <w:tcW w:w="1959" w:type="dxa"/>
                </w:tcPr>
                <w:p>
                  <w:pPr>
                    <w:pStyle w:val="63"/>
                    <w:rPr>
                      <w:color w:val="auto"/>
                      <w:lang w:eastAsia="zh-CN"/>
                    </w:rPr>
                  </w:pPr>
                  <w:r>
                    <w:rPr>
                      <w:rFonts w:hint="eastAsia"/>
                      <w:color w:val="auto"/>
                      <w:lang w:eastAsia="zh-CN"/>
                    </w:rPr>
                    <w:t>4</w:t>
                  </w:r>
                  <w:r>
                    <w:rPr>
                      <w:color w:val="auto"/>
                      <w:lang w:eastAsia="zh-CN"/>
                    </w:rPr>
                    <w:t>.58</w:t>
                  </w:r>
                </w:p>
              </w:tc>
              <w:tc>
                <w:tcPr>
                  <w:tcW w:w="1959" w:type="dxa"/>
                </w:tcPr>
                <w:p>
                  <w:pPr>
                    <w:pStyle w:val="63"/>
                    <w:rPr>
                      <w:color w:val="auto"/>
                    </w:rPr>
                  </w:pPr>
                  <w:r>
                    <w:rPr>
                      <w:rFonts w:hint="eastAsia"/>
                      <w:color w:val="auto"/>
                      <w:lang w:eastAsia="zh-CN"/>
                    </w:rPr>
                    <w:t>%</w:t>
                  </w:r>
                  <w:r>
                    <w:rPr>
                      <w:color w:val="auto"/>
                      <w:lang w:eastAsia="zh-CN"/>
                    </w:rPr>
                    <w:t>M</w:t>
                  </w:r>
                  <w:r>
                    <w:rPr>
                      <w:rFonts w:hint="eastAsia"/>
                      <w:color w:val="auto"/>
                      <w:lang w:eastAsia="zh-CN"/>
                    </w:rPr>
                    <w:t>ol</w:t>
                  </w:r>
                </w:p>
              </w:tc>
              <w:tc>
                <w:tcPr>
                  <w:tcW w:w="1959" w:type="dxa"/>
                </w:tcPr>
                <w:p>
                  <w:pPr>
                    <w:pStyle w:val="63"/>
                    <w:rPr>
                      <w:color w:val="auto"/>
                    </w:rPr>
                  </w:pPr>
                  <w:r>
                    <w:rPr>
                      <w:rFonts w:hint="eastAsia"/>
                      <w:color w:val="auto"/>
                      <w:lang w:eastAsia="zh-CN"/>
                    </w:rPr>
                    <w:t>G</w:t>
                  </w:r>
                  <w:r>
                    <w:rPr>
                      <w:color w:val="auto"/>
                      <w:lang w:eastAsia="zh-CN"/>
                    </w:rPr>
                    <w:t>PA2261-20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rPr>
                  </w:pPr>
                  <w:r>
                    <w:rPr>
                      <w:rFonts w:hint="eastAsia"/>
                      <w:color w:val="auto"/>
                      <w:lang w:eastAsia="zh-CN"/>
                    </w:rPr>
                    <w:t>丙烷</w:t>
                  </w:r>
                </w:p>
              </w:tc>
              <w:tc>
                <w:tcPr>
                  <w:tcW w:w="1959" w:type="dxa"/>
                </w:tcPr>
                <w:p>
                  <w:pPr>
                    <w:pStyle w:val="63"/>
                    <w:rPr>
                      <w:color w:val="auto"/>
                      <w:lang w:eastAsia="zh-CN"/>
                    </w:rPr>
                  </w:pPr>
                  <w:r>
                    <w:rPr>
                      <w:rFonts w:hint="eastAsia"/>
                      <w:color w:val="auto"/>
                      <w:lang w:eastAsia="zh-CN"/>
                    </w:rPr>
                    <w:t>1</w:t>
                  </w:r>
                  <w:r>
                    <w:rPr>
                      <w:color w:val="auto"/>
                      <w:lang w:eastAsia="zh-CN"/>
                    </w:rPr>
                    <w:t>.46</w:t>
                  </w:r>
                </w:p>
              </w:tc>
              <w:tc>
                <w:tcPr>
                  <w:tcW w:w="1959" w:type="dxa"/>
                </w:tcPr>
                <w:p>
                  <w:pPr>
                    <w:pStyle w:val="63"/>
                    <w:rPr>
                      <w:color w:val="auto"/>
                    </w:rPr>
                  </w:pPr>
                  <w:r>
                    <w:rPr>
                      <w:rFonts w:hint="eastAsia"/>
                      <w:color w:val="auto"/>
                      <w:lang w:eastAsia="zh-CN"/>
                    </w:rPr>
                    <w:t>%</w:t>
                  </w:r>
                  <w:r>
                    <w:rPr>
                      <w:color w:val="auto"/>
                      <w:lang w:eastAsia="zh-CN"/>
                    </w:rPr>
                    <w:t>M</w:t>
                  </w:r>
                  <w:r>
                    <w:rPr>
                      <w:rFonts w:hint="eastAsia"/>
                      <w:color w:val="auto"/>
                      <w:lang w:eastAsia="zh-CN"/>
                    </w:rPr>
                    <w:t>ol</w:t>
                  </w:r>
                </w:p>
              </w:tc>
              <w:tc>
                <w:tcPr>
                  <w:tcW w:w="1959" w:type="dxa"/>
                </w:tcPr>
                <w:p>
                  <w:pPr>
                    <w:pStyle w:val="63"/>
                    <w:rPr>
                      <w:color w:val="auto"/>
                    </w:rPr>
                  </w:pPr>
                  <w:r>
                    <w:rPr>
                      <w:rFonts w:hint="eastAsia"/>
                      <w:color w:val="auto"/>
                      <w:lang w:eastAsia="zh-CN"/>
                    </w:rPr>
                    <w:t>G</w:t>
                  </w:r>
                  <w:r>
                    <w:rPr>
                      <w:color w:val="auto"/>
                      <w:lang w:eastAsia="zh-CN"/>
                    </w:rPr>
                    <w:t>PA2261-20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rPr>
                  </w:pPr>
                  <w:r>
                    <w:rPr>
                      <w:rFonts w:hint="eastAsia"/>
                      <w:color w:val="auto"/>
                      <w:lang w:eastAsia="zh-CN"/>
                    </w:rPr>
                    <w:t>异丁烷</w:t>
                  </w:r>
                </w:p>
              </w:tc>
              <w:tc>
                <w:tcPr>
                  <w:tcW w:w="1959" w:type="dxa"/>
                </w:tcPr>
                <w:p>
                  <w:pPr>
                    <w:pStyle w:val="63"/>
                    <w:rPr>
                      <w:color w:val="auto"/>
                      <w:lang w:eastAsia="zh-CN"/>
                    </w:rPr>
                  </w:pPr>
                  <w:r>
                    <w:rPr>
                      <w:rFonts w:hint="eastAsia"/>
                      <w:color w:val="auto"/>
                      <w:lang w:eastAsia="zh-CN"/>
                    </w:rPr>
                    <w:t>0</w:t>
                  </w:r>
                  <w:r>
                    <w:rPr>
                      <w:color w:val="auto"/>
                      <w:lang w:eastAsia="zh-CN"/>
                    </w:rPr>
                    <w:t>.25</w:t>
                  </w:r>
                </w:p>
              </w:tc>
              <w:tc>
                <w:tcPr>
                  <w:tcW w:w="1959" w:type="dxa"/>
                </w:tcPr>
                <w:p>
                  <w:pPr>
                    <w:pStyle w:val="63"/>
                    <w:rPr>
                      <w:color w:val="auto"/>
                    </w:rPr>
                  </w:pPr>
                  <w:r>
                    <w:rPr>
                      <w:rFonts w:hint="eastAsia"/>
                      <w:color w:val="auto"/>
                      <w:lang w:eastAsia="zh-CN"/>
                    </w:rPr>
                    <w:t>%</w:t>
                  </w:r>
                  <w:r>
                    <w:rPr>
                      <w:color w:val="auto"/>
                      <w:lang w:eastAsia="zh-CN"/>
                    </w:rPr>
                    <w:t>M</w:t>
                  </w:r>
                  <w:r>
                    <w:rPr>
                      <w:rFonts w:hint="eastAsia"/>
                      <w:color w:val="auto"/>
                      <w:lang w:eastAsia="zh-CN"/>
                    </w:rPr>
                    <w:t>ol</w:t>
                  </w:r>
                </w:p>
              </w:tc>
              <w:tc>
                <w:tcPr>
                  <w:tcW w:w="1959" w:type="dxa"/>
                </w:tcPr>
                <w:p>
                  <w:pPr>
                    <w:pStyle w:val="63"/>
                    <w:rPr>
                      <w:color w:val="auto"/>
                    </w:rPr>
                  </w:pPr>
                  <w:r>
                    <w:rPr>
                      <w:rFonts w:hint="eastAsia"/>
                      <w:color w:val="auto"/>
                      <w:lang w:eastAsia="zh-CN"/>
                    </w:rPr>
                    <w:t>G</w:t>
                  </w:r>
                  <w:r>
                    <w:rPr>
                      <w:color w:val="auto"/>
                      <w:lang w:eastAsia="zh-CN"/>
                    </w:rPr>
                    <w:t>PA2261-20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正丁烷</w:t>
                  </w:r>
                </w:p>
              </w:tc>
              <w:tc>
                <w:tcPr>
                  <w:tcW w:w="1959" w:type="dxa"/>
                </w:tcPr>
                <w:p>
                  <w:pPr>
                    <w:pStyle w:val="63"/>
                    <w:rPr>
                      <w:color w:val="auto"/>
                      <w:lang w:eastAsia="zh-CN"/>
                    </w:rPr>
                  </w:pPr>
                  <w:r>
                    <w:rPr>
                      <w:rFonts w:hint="eastAsia"/>
                      <w:color w:val="auto"/>
                      <w:lang w:eastAsia="zh-CN"/>
                    </w:rPr>
                    <w:t>0</w:t>
                  </w:r>
                  <w:r>
                    <w:rPr>
                      <w:color w:val="auto"/>
                      <w:lang w:eastAsia="zh-CN"/>
                    </w:rPr>
                    <w:t>.37</w:t>
                  </w:r>
                </w:p>
              </w:tc>
              <w:tc>
                <w:tcPr>
                  <w:tcW w:w="1959" w:type="dxa"/>
                </w:tcPr>
                <w:p>
                  <w:pPr>
                    <w:pStyle w:val="63"/>
                    <w:rPr>
                      <w:color w:val="auto"/>
                    </w:rPr>
                  </w:pPr>
                  <w:r>
                    <w:rPr>
                      <w:rFonts w:hint="eastAsia"/>
                      <w:color w:val="auto"/>
                      <w:lang w:eastAsia="zh-CN"/>
                    </w:rPr>
                    <w:t>%</w:t>
                  </w:r>
                  <w:r>
                    <w:rPr>
                      <w:color w:val="auto"/>
                      <w:lang w:eastAsia="zh-CN"/>
                    </w:rPr>
                    <w:t>M</w:t>
                  </w:r>
                  <w:r>
                    <w:rPr>
                      <w:rFonts w:hint="eastAsia"/>
                      <w:color w:val="auto"/>
                      <w:lang w:eastAsia="zh-CN"/>
                    </w:rPr>
                    <w:t>ol</w:t>
                  </w:r>
                </w:p>
              </w:tc>
              <w:tc>
                <w:tcPr>
                  <w:tcW w:w="1959" w:type="dxa"/>
                </w:tcPr>
                <w:p>
                  <w:pPr>
                    <w:pStyle w:val="63"/>
                    <w:rPr>
                      <w:color w:val="auto"/>
                    </w:rPr>
                  </w:pPr>
                  <w:r>
                    <w:rPr>
                      <w:rFonts w:hint="eastAsia"/>
                      <w:color w:val="auto"/>
                      <w:lang w:eastAsia="zh-CN"/>
                    </w:rPr>
                    <w:t>G</w:t>
                  </w:r>
                  <w:r>
                    <w:rPr>
                      <w:color w:val="auto"/>
                      <w:lang w:eastAsia="zh-CN"/>
                    </w:rPr>
                    <w:t>PA2261-20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异戊烷</w:t>
                  </w:r>
                </w:p>
              </w:tc>
              <w:tc>
                <w:tcPr>
                  <w:tcW w:w="1959" w:type="dxa"/>
                </w:tcPr>
                <w:p>
                  <w:pPr>
                    <w:pStyle w:val="63"/>
                    <w:rPr>
                      <w:color w:val="auto"/>
                      <w:lang w:eastAsia="zh-CN"/>
                    </w:rPr>
                  </w:pPr>
                  <w:r>
                    <w:rPr>
                      <w:rFonts w:hint="eastAsia"/>
                      <w:color w:val="auto"/>
                      <w:lang w:eastAsia="zh-CN"/>
                    </w:rPr>
                    <w:t>0</w:t>
                  </w:r>
                  <w:r>
                    <w:rPr>
                      <w:color w:val="auto"/>
                      <w:lang w:eastAsia="zh-CN"/>
                    </w:rPr>
                    <w:t>.01</w:t>
                  </w:r>
                </w:p>
              </w:tc>
              <w:tc>
                <w:tcPr>
                  <w:tcW w:w="1959" w:type="dxa"/>
                </w:tcPr>
                <w:p>
                  <w:pPr>
                    <w:pStyle w:val="63"/>
                    <w:rPr>
                      <w:color w:val="auto"/>
                    </w:rPr>
                  </w:pPr>
                  <w:r>
                    <w:rPr>
                      <w:rFonts w:hint="eastAsia"/>
                      <w:color w:val="auto"/>
                      <w:lang w:eastAsia="zh-CN"/>
                    </w:rPr>
                    <w:t>%</w:t>
                  </w:r>
                  <w:r>
                    <w:rPr>
                      <w:color w:val="auto"/>
                      <w:lang w:eastAsia="zh-CN"/>
                    </w:rPr>
                    <w:t>M</w:t>
                  </w:r>
                  <w:r>
                    <w:rPr>
                      <w:rFonts w:hint="eastAsia"/>
                      <w:color w:val="auto"/>
                      <w:lang w:eastAsia="zh-CN"/>
                    </w:rPr>
                    <w:t>ol</w:t>
                  </w:r>
                </w:p>
              </w:tc>
              <w:tc>
                <w:tcPr>
                  <w:tcW w:w="1959" w:type="dxa"/>
                </w:tcPr>
                <w:p>
                  <w:pPr>
                    <w:pStyle w:val="63"/>
                    <w:rPr>
                      <w:color w:val="auto"/>
                    </w:rPr>
                  </w:pPr>
                  <w:r>
                    <w:rPr>
                      <w:rFonts w:hint="eastAsia"/>
                      <w:color w:val="auto"/>
                      <w:lang w:eastAsia="zh-CN"/>
                    </w:rPr>
                    <w:t>G</w:t>
                  </w:r>
                  <w:r>
                    <w:rPr>
                      <w:color w:val="auto"/>
                      <w:lang w:eastAsia="zh-CN"/>
                    </w:rPr>
                    <w:t>PA2261-20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正戊烷</w:t>
                  </w:r>
                </w:p>
              </w:tc>
              <w:tc>
                <w:tcPr>
                  <w:tcW w:w="1959" w:type="dxa"/>
                </w:tcPr>
                <w:p>
                  <w:pPr>
                    <w:pStyle w:val="63"/>
                    <w:rPr>
                      <w:color w:val="auto"/>
                      <w:lang w:eastAsia="zh-CN"/>
                    </w:rPr>
                  </w:pPr>
                  <w:r>
                    <w:rPr>
                      <w:rFonts w:hint="eastAsia"/>
                      <w:color w:val="auto"/>
                      <w:lang w:eastAsia="zh-CN"/>
                    </w:rPr>
                    <w:t>0</w:t>
                  </w:r>
                  <w:r>
                    <w:rPr>
                      <w:color w:val="auto"/>
                      <w:lang w:eastAsia="zh-CN"/>
                    </w:rPr>
                    <w:t>.00</w:t>
                  </w:r>
                </w:p>
              </w:tc>
              <w:tc>
                <w:tcPr>
                  <w:tcW w:w="1959" w:type="dxa"/>
                </w:tcPr>
                <w:p>
                  <w:pPr>
                    <w:pStyle w:val="63"/>
                    <w:rPr>
                      <w:color w:val="auto"/>
                    </w:rPr>
                  </w:pPr>
                  <w:r>
                    <w:rPr>
                      <w:rFonts w:hint="eastAsia"/>
                      <w:color w:val="auto"/>
                      <w:lang w:eastAsia="zh-CN"/>
                    </w:rPr>
                    <w:t>%</w:t>
                  </w:r>
                  <w:r>
                    <w:rPr>
                      <w:color w:val="auto"/>
                      <w:lang w:eastAsia="zh-CN"/>
                    </w:rPr>
                    <w:t>M</w:t>
                  </w:r>
                  <w:r>
                    <w:rPr>
                      <w:rFonts w:hint="eastAsia"/>
                      <w:color w:val="auto"/>
                      <w:lang w:eastAsia="zh-CN"/>
                    </w:rPr>
                    <w:t>ol</w:t>
                  </w:r>
                </w:p>
              </w:tc>
              <w:tc>
                <w:tcPr>
                  <w:tcW w:w="1959" w:type="dxa"/>
                </w:tcPr>
                <w:p>
                  <w:pPr>
                    <w:pStyle w:val="63"/>
                    <w:rPr>
                      <w:color w:val="auto"/>
                    </w:rPr>
                  </w:pPr>
                  <w:r>
                    <w:rPr>
                      <w:rFonts w:hint="eastAsia"/>
                      <w:color w:val="auto"/>
                      <w:lang w:eastAsia="zh-CN"/>
                    </w:rPr>
                    <w:t>G</w:t>
                  </w:r>
                  <w:r>
                    <w:rPr>
                      <w:color w:val="auto"/>
                      <w:lang w:eastAsia="zh-CN"/>
                    </w:rPr>
                    <w:t>PA2261-20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正己烷</w:t>
                  </w:r>
                </w:p>
              </w:tc>
              <w:tc>
                <w:tcPr>
                  <w:tcW w:w="1959" w:type="dxa"/>
                </w:tcPr>
                <w:p>
                  <w:pPr>
                    <w:pStyle w:val="63"/>
                    <w:rPr>
                      <w:color w:val="auto"/>
                      <w:lang w:eastAsia="zh-CN"/>
                    </w:rPr>
                  </w:pPr>
                  <w:r>
                    <w:rPr>
                      <w:rFonts w:hint="eastAsia"/>
                      <w:color w:val="auto"/>
                      <w:lang w:eastAsia="zh-CN"/>
                    </w:rPr>
                    <w:t>0</w:t>
                  </w:r>
                  <w:r>
                    <w:rPr>
                      <w:color w:val="auto"/>
                      <w:lang w:eastAsia="zh-CN"/>
                    </w:rPr>
                    <w:t>.00</w:t>
                  </w:r>
                </w:p>
              </w:tc>
              <w:tc>
                <w:tcPr>
                  <w:tcW w:w="1959" w:type="dxa"/>
                </w:tcPr>
                <w:p>
                  <w:pPr>
                    <w:pStyle w:val="63"/>
                    <w:rPr>
                      <w:color w:val="auto"/>
                    </w:rPr>
                  </w:pPr>
                  <w:r>
                    <w:rPr>
                      <w:rFonts w:hint="eastAsia"/>
                      <w:color w:val="auto"/>
                      <w:lang w:eastAsia="zh-CN"/>
                    </w:rPr>
                    <w:t>%</w:t>
                  </w:r>
                  <w:r>
                    <w:rPr>
                      <w:color w:val="auto"/>
                      <w:lang w:eastAsia="zh-CN"/>
                    </w:rPr>
                    <w:t>M</w:t>
                  </w:r>
                  <w:r>
                    <w:rPr>
                      <w:rFonts w:hint="eastAsia"/>
                      <w:color w:val="auto"/>
                      <w:lang w:eastAsia="zh-CN"/>
                    </w:rPr>
                    <w:t>ol</w:t>
                  </w:r>
                </w:p>
              </w:tc>
              <w:tc>
                <w:tcPr>
                  <w:tcW w:w="1959" w:type="dxa"/>
                </w:tcPr>
                <w:p>
                  <w:pPr>
                    <w:pStyle w:val="63"/>
                    <w:rPr>
                      <w:color w:val="auto"/>
                    </w:rPr>
                  </w:pPr>
                  <w:r>
                    <w:rPr>
                      <w:rFonts w:hint="eastAsia"/>
                      <w:color w:val="auto"/>
                      <w:lang w:eastAsia="zh-CN"/>
                    </w:rPr>
                    <w:t>G</w:t>
                  </w:r>
                  <w:r>
                    <w:rPr>
                      <w:color w:val="auto"/>
                      <w:lang w:eastAsia="zh-CN"/>
                    </w:rPr>
                    <w:t>PA2261-20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氮气</w:t>
                  </w:r>
                </w:p>
              </w:tc>
              <w:tc>
                <w:tcPr>
                  <w:tcW w:w="1959" w:type="dxa"/>
                </w:tcPr>
                <w:p>
                  <w:pPr>
                    <w:pStyle w:val="63"/>
                    <w:rPr>
                      <w:color w:val="auto"/>
                      <w:lang w:eastAsia="zh-CN"/>
                    </w:rPr>
                  </w:pPr>
                  <w:r>
                    <w:rPr>
                      <w:rFonts w:hint="eastAsia"/>
                      <w:color w:val="auto"/>
                      <w:lang w:eastAsia="zh-CN"/>
                    </w:rPr>
                    <w:t>0</w:t>
                  </w:r>
                  <w:r>
                    <w:rPr>
                      <w:color w:val="auto"/>
                      <w:lang w:eastAsia="zh-CN"/>
                    </w:rPr>
                    <w:t>.08</w:t>
                  </w:r>
                </w:p>
              </w:tc>
              <w:tc>
                <w:tcPr>
                  <w:tcW w:w="1959" w:type="dxa"/>
                </w:tcPr>
                <w:p>
                  <w:pPr>
                    <w:pStyle w:val="63"/>
                    <w:rPr>
                      <w:color w:val="auto"/>
                    </w:rPr>
                  </w:pPr>
                  <w:r>
                    <w:rPr>
                      <w:rFonts w:hint="eastAsia"/>
                      <w:color w:val="auto"/>
                      <w:lang w:eastAsia="zh-CN"/>
                    </w:rPr>
                    <w:t>%</w:t>
                  </w:r>
                  <w:r>
                    <w:rPr>
                      <w:color w:val="auto"/>
                      <w:lang w:eastAsia="zh-CN"/>
                    </w:rPr>
                    <w:t>M</w:t>
                  </w:r>
                  <w:r>
                    <w:rPr>
                      <w:rFonts w:hint="eastAsia"/>
                      <w:color w:val="auto"/>
                      <w:lang w:eastAsia="zh-CN"/>
                    </w:rPr>
                    <w:t>ol</w:t>
                  </w:r>
                </w:p>
              </w:tc>
              <w:tc>
                <w:tcPr>
                  <w:tcW w:w="1959" w:type="dxa"/>
                </w:tcPr>
                <w:p>
                  <w:pPr>
                    <w:pStyle w:val="63"/>
                    <w:rPr>
                      <w:color w:val="auto"/>
                    </w:rPr>
                  </w:pPr>
                  <w:r>
                    <w:rPr>
                      <w:rFonts w:hint="eastAsia"/>
                      <w:color w:val="auto"/>
                      <w:lang w:eastAsia="zh-CN"/>
                    </w:rPr>
                    <w:t>G</w:t>
                  </w:r>
                  <w:r>
                    <w:rPr>
                      <w:color w:val="auto"/>
                      <w:lang w:eastAsia="zh-CN"/>
                    </w:rPr>
                    <w:t>PA2261-20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氧气</w:t>
                  </w:r>
                </w:p>
              </w:tc>
              <w:tc>
                <w:tcPr>
                  <w:tcW w:w="1959" w:type="dxa"/>
                </w:tcPr>
                <w:p>
                  <w:pPr>
                    <w:pStyle w:val="63"/>
                    <w:rPr>
                      <w:color w:val="auto"/>
                      <w:lang w:eastAsia="zh-CN"/>
                    </w:rPr>
                  </w:pPr>
                  <w:r>
                    <w:rPr>
                      <w:rFonts w:hint="eastAsia"/>
                      <w:color w:val="auto"/>
                      <w:lang w:eastAsia="zh-CN"/>
                    </w:rPr>
                    <w:t>0</w:t>
                  </w:r>
                  <w:r>
                    <w:rPr>
                      <w:color w:val="auto"/>
                      <w:lang w:eastAsia="zh-CN"/>
                    </w:rPr>
                    <w:t>.00</w:t>
                  </w:r>
                </w:p>
              </w:tc>
              <w:tc>
                <w:tcPr>
                  <w:tcW w:w="1959" w:type="dxa"/>
                </w:tcPr>
                <w:p>
                  <w:pPr>
                    <w:pStyle w:val="63"/>
                    <w:rPr>
                      <w:color w:val="auto"/>
                    </w:rPr>
                  </w:pPr>
                  <w:r>
                    <w:rPr>
                      <w:rFonts w:hint="eastAsia"/>
                      <w:color w:val="auto"/>
                      <w:lang w:eastAsia="zh-CN"/>
                    </w:rPr>
                    <w:t>%</w:t>
                  </w:r>
                  <w:r>
                    <w:rPr>
                      <w:color w:val="auto"/>
                      <w:lang w:eastAsia="zh-CN"/>
                    </w:rPr>
                    <w:t>M</w:t>
                  </w:r>
                  <w:r>
                    <w:rPr>
                      <w:rFonts w:hint="eastAsia"/>
                      <w:color w:val="auto"/>
                      <w:lang w:eastAsia="zh-CN"/>
                    </w:rPr>
                    <w:t>ol</w:t>
                  </w:r>
                </w:p>
              </w:tc>
              <w:tc>
                <w:tcPr>
                  <w:tcW w:w="1959" w:type="dxa"/>
                </w:tcPr>
                <w:p>
                  <w:pPr>
                    <w:pStyle w:val="63"/>
                    <w:rPr>
                      <w:color w:val="auto"/>
                    </w:rPr>
                  </w:pPr>
                  <w:r>
                    <w:rPr>
                      <w:rFonts w:hint="eastAsia"/>
                      <w:color w:val="auto"/>
                      <w:lang w:eastAsia="zh-CN"/>
                    </w:rPr>
                    <w:t>G</w:t>
                  </w:r>
                  <w:r>
                    <w:rPr>
                      <w:color w:val="auto"/>
                      <w:lang w:eastAsia="zh-CN"/>
                    </w:rPr>
                    <w:t>PA2261-20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二氧化碳</w:t>
                  </w:r>
                </w:p>
              </w:tc>
              <w:tc>
                <w:tcPr>
                  <w:tcW w:w="1959" w:type="dxa"/>
                </w:tcPr>
                <w:p>
                  <w:pPr>
                    <w:pStyle w:val="63"/>
                    <w:rPr>
                      <w:color w:val="auto"/>
                      <w:lang w:eastAsia="zh-CN"/>
                    </w:rPr>
                  </w:pPr>
                  <w:r>
                    <w:rPr>
                      <w:rFonts w:hint="eastAsia"/>
                      <w:color w:val="auto"/>
                      <w:lang w:eastAsia="zh-CN"/>
                    </w:rPr>
                    <w:t>0</w:t>
                  </w:r>
                  <w:r>
                    <w:rPr>
                      <w:color w:val="auto"/>
                      <w:lang w:eastAsia="zh-CN"/>
                    </w:rPr>
                    <w:t>.00</w:t>
                  </w:r>
                </w:p>
              </w:tc>
              <w:tc>
                <w:tcPr>
                  <w:tcW w:w="1959" w:type="dxa"/>
                </w:tcPr>
                <w:p>
                  <w:pPr>
                    <w:pStyle w:val="63"/>
                    <w:rPr>
                      <w:color w:val="auto"/>
                    </w:rPr>
                  </w:pPr>
                  <w:r>
                    <w:rPr>
                      <w:rFonts w:hint="eastAsia"/>
                      <w:color w:val="auto"/>
                      <w:lang w:eastAsia="zh-CN"/>
                    </w:rPr>
                    <w:t>%</w:t>
                  </w:r>
                  <w:r>
                    <w:rPr>
                      <w:color w:val="auto"/>
                      <w:lang w:eastAsia="zh-CN"/>
                    </w:rPr>
                    <w:t>M</w:t>
                  </w:r>
                  <w:r>
                    <w:rPr>
                      <w:rFonts w:hint="eastAsia"/>
                      <w:color w:val="auto"/>
                      <w:lang w:eastAsia="zh-CN"/>
                    </w:rPr>
                    <w:t>ol</w:t>
                  </w:r>
                </w:p>
              </w:tc>
              <w:tc>
                <w:tcPr>
                  <w:tcW w:w="1959" w:type="dxa"/>
                </w:tcPr>
                <w:p>
                  <w:pPr>
                    <w:pStyle w:val="63"/>
                    <w:rPr>
                      <w:color w:val="auto"/>
                    </w:rPr>
                  </w:pPr>
                  <w:r>
                    <w:rPr>
                      <w:rFonts w:hint="eastAsia"/>
                      <w:color w:val="auto"/>
                      <w:lang w:eastAsia="zh-CN"/>
                    </w:rPr>
                    <w:t>G</w:t>
                  </w:r>
                  <w:r>
                    <w:rPr>
                      <w:color w:val="auto"/>
                      <w:lang w:eastAsia="zh-CN"/>
                    </w:rPr>
                    <w:t>PA2261-20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合计</w:t>
                  </w:r>
                </w:p>
              </w:tc>
              <w:tc>
                <w:tcPr>
                  <w:tcW w:w="1959" w:type="dxa"/>
                </w:tcPr>
                <w:p>
                  <w:pPr>
                    <w:pStyle w:val="63"/>
                    <w:rPr>
                      <w:color w:val="auto"/>
                      <w:lang w:eastAsia="zh-CN"/>
                    </w:rPr>
                  </w:pPr>
                  <w:r>
                    <w:rPr>
                      <w:rFonts w:hint="eastAsia"/>
                      <w:color w:val="auto"/>
                      <w:lang w:eastAsia="zh-CN"/>
                    </w:rPr>
                    <w:t>1</w:t>
                  </w:r>
                  <w:r>
                    <w:rPr>
                      <w:color w:val="auto"/>
                      <w:lang w:eastAsia="zh-CN"/>
                    </w:rPr>
                    <w:t>00</w:t>
                  </w:r>
                </w:p>
              </w:tc>
              <w:tc>
                <w:tcPr>
                  <w:tcW w:w="1959" w:type="dxa"/>
                </w:tcPr>
                <w:p>
                  <w:pPr>
                    <w:pStyle w:val="63"/>
                    <w:rPr>
                      <w:color w:val="auto"/>
                    </w:rPr>
                  </w:pPr>
                  <w:r>
                    <w:rPr>
                      <w:rFonts w:hint="eastAsia"/>
                      <w:color w:val="auto"/>
                      <w:lang w:eastAsia="zh-CN"/>
                    </w:rPr>
                    <w:t>%</w:t>
                  </w:r>
                  <w:r>
                    <w:rPr>
                      <w:color w:val="auto"/>
                      <w:lang w:eastAsia="zh-CN"/>
                    </w:rPr>
                    <w:t>M</w:t>
                  </w:r>
                  <w:r>
                    <w:rPr>
                      <w:rFonts w:hint="eastAsia"/>
                      <w:color w:val="auto"/>
                      <w:lang w:eastAsia="zh-CN"/>
                    </w:rPr>
                    <w:t>ol</w:t>
                  </w:r>
                </w:p>
              </w:tc>
              <w:tc>
                <w:tcPr>
                  <w:tcW w:w="1959" w:type="dxa"/>
                </w:tcPr>
                <w:p>
                  <w:pPr>
                    <w:pStyle w:val="63"/>
                    <w:rPr>
                      <w:color w:val="auto"/>
                    </w:rPr>
                  </w:pPr>
                  <w:r>
                    <w:rPr>
                      <w:rFonts w:hint="eastAsia"/>
                      <w:color w:val="auto"/>
                      <w:lang w:eastAsia="zh-CN"/>
                    </w:rPr>
                    <w:t>G</w:t>
                  </w:r>
                  <w:r>
                    <w:rPr>
                      <w:color w:val="auto"/>
                      <w:lang w:eastAsia="zh-CN"/>
                    </w:rPr>
                    <w:t>PA2261-20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硫化氢</w:t>
                  </w:r>
                </w:p>
              </w:tc>
              <w:tc>
                <w:tcPr>
                  <w:tcW w:w="1959" w:type="dxa"/>
                </w:tcPr>
                <w:p>
                  <w:pPr>
                    <w:pStyle w:val="63"/>
                    <w:rPr>
                      <w:color w:val="auto"/>
                      <w:lang w:eastAsia="zh-CN"/>
                    </w:rPr>
                  </w:pPr>
                  <w:r>
                    <w:rPr>
                      <w:rFonts w:hint="eastAsia"/>
                      <w:color w:val="auto"/>
                      <w:lang w:eastAsia="zh-CN"/>
                    </w:rPr>
                    <w:t>＜0</w:t>
                  </w:r>
                  <w:r>
                    <w:rPr>
                      <w:color w:val="auto"/>
                      <w:lang w:eastAsia="zh-CN"/>
                    </w:rPr>
                    <w:t>.1</w:t>
                  </w:r>
                </w:p>
              </w:tc>
              <w:tc>
                <w:tcPr>
                  <w:tcW w:w="1959" w:type="dxa"/>
                </w:tcPr>
                <w:p>
                  <w:pPr>
                    <w:pStyle w:val="63"/>
                    <w:rPr>
                      <w:color w:val="auto"/>
                    </w:rPr>
                  </w:pPr>
                  <w:r>
                    <w:rPr>
                      <w:color w:val="auto"/>
                      <w:lang w:eastAsia="zh-CN"/>
                    </w:rPr>
                    <w:t>m</w:t>
                  </w:r>
                  <w:r>
                    <w:rPr>
                      <w:rFonts w:hint="eastAsia"/>
                      <w:color w:val="auto"/>
                      <w:lang w:eastAsia="zh-CN"/>
                    </w:rPr>
                    <w:t>g</w:t>
                  </w:r>
                  <w:r>
                    <w:rPr>
                      <w:color w:val="auto"/>
                      <w:lang w:eastAsia="zh-CN"/>
                    </w:rPr>
                    <w:t>/</w:t>
                  </w:r>
                  <w:r>
                    <w:rPr>
                      <w:rFonts w:hint="eastAsia"/>
                      <w:color w:val="auto"/>
                      <w:lang w:eastAsia="zh-CN"/>
                    </w:rPr>
                    <w:t>m</w:t>
                  </w:r>
                  <w:r>
                    <w:rPr>
                      <w:rFonts w:hint="eastAsia"/>
                      <w:color w:val="auto"/>
                      <w:vertAlign w:val="superscript"/>
                      <w:lang w:eastAsia="zh-CN"/>
                    </w:rPr>
                    <w:t>3</w:t>
                  </w:r>
                </w:p>
              </w:tc>
              <w:tc>
                <w:tcPr>
                  <w:tcW w:w="1959" w:type="dxa"/>
                </w:tcPr>
                <w:p>
                  <w:pPr>
                    <w:pStyle w:val="63"/>
                    <w:rPr>
                      <w:color w:val="auto"/>
                      <w:lang w:eastAsia="zh-CN"/>
                    </w:rPr>
                  </w:pPr>
                  <w:r>
                    <w:rPr>
                      <w:rFonts w:hint="eastAsia"/>
                      <w:color w:val="auto"/>
                      <w:lang w:eastAsia="zh-CN"/>
                    </w:rPr>
                    <w:t>A</w:t>
                  </w:r>
                  <w:r>
                    <w:rPr>
                      <w:color w:val="auto"/>
                      <w:lang w:eastAsia="zh-CN"/>
                    </w:rPr>
                    <w:t>STM D5504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总硫</w:t>
                  </w:r>
                </w:p>
              </w:tc>
              <w:tc>
                <w:tcPr>
                  <w:tcW w:w="1959" w:type="dxa"/>
                </w:tcPr>
                <w:p>
                  <w:pPr>
                    <w:pStyle w:val="63"/>
                    <w:rPr>
                      <w:color w:val="auto"/>
                    </w:rPr>
                  </w:pPr>
                  <w:r>
                    <w:rPr>
                      <w:rFonts w:hint="eastAsia"/>
                      <w:color w:val="auto"/>
                      <w:lang w:eastAsia="zh-CN"/>
                    </w:rPr>
                    <w:t>＜0</w:t>
                  </w:r>
                  <w:r>
                    <w:rPr>
                      <w:color w:val="auto"/>
                      <w:lang w:eastAsia="zh-CN"/>
                    </w:rPr>
                    <w:t>.1</w:t>
                  </w:r>
                </w:p>
              </w:tc>
              <w:tc>
                <w:tcPr>
                  <w:tcW w:w="1959" w:type="dxa"/>
                </w:tcPr>
                <w:p>
                  <w:pPr>
                    <w:pStyle w:val="63"/>
                    <w:rPr>
                      <w:color w:val="auto"/>
                    </w:rPr>
                  </w:pPr>
                  <w:r>
                    <w:rPr>
                      <w:color w:val="auto"/>
                      <w:lang w:eastAsia="zh-CN"/>
                    </w:rPr>
                    <w:t>m</w:t>
                  </w:r>
                  <w:r>
                    <w:rPr>
                      <w:rFonts w:hint="eastAsia"/>
                      <w:color w:val="auto"/>
                      <w:lang w:eastAsia="zh-CN"/>
                    </w:rPr>
                    <w:t>g</w:t>
                  </w:r>
                  <w:r>
                    <w:rPr>
                      <w:color w:val="auto"/>
                      <w:lang w:eastAsia="zh-CN"/>
                    </w:rPr>
                    <w:t>/</w:t>
                  </w:r>
                  <w:r>
                    <w:rPr>
                      <w:rFonts w:hint="eastAsia"/>
                      <w:color w:val="auto"/>
                      <w:lang w:eastAsia="zh-CN"/>
                    </w:rPr>
                    <w:t>m</w:t>
                  </w:r>
                  <w:r>
                    <w:rPr>
                      <w:rFonts w:hint="eastAsia"/>
                      <w:color w:val="auto"/>
                      <w:vertAlign w:val="superscript"/>
                      <w:lang w:eastAsia="zh-CN"/>
                    </w:rPr>
                    <w:t>3</w:t>
                  </w:r>
                </w:p>
              </w:tc>
              <w:tc>
                <w:tcPr>
                  <w:tcW w:w="1959" w:type="dxa"/>
                </w:tcPr>
                <w:p>
                  <w:pPr>
                    <w:pStyle w:val="63"/>
                    <w:rPr>
                      <w:color w:val="auto"/>
                    </w:rPr>
                  </w:pPr>
                  <w:r>
                    <w:rPr>
                      <w:rFonts w:hint="eastAsia"/>
                      <w:color w:val="auto"/>
                      <w:lang w:eastAsia="zh-CN"/>
                    </w:rPr>
                    <w:t>A</w:t>
                  </w:r>
                  <w:r>
                    <w:rPr>
                      <w:color w:val="auto"/>
                      <w:lang w:eastAsia="zh-CN"/>
                    </w:rPr>
                    <w:t>STM D6667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835" w:type="dxa"/>
                  <w:gridSpan w:val="4"/>
                </w:tcPr>
                <w:p>
                  <w:pPr>
                    <w:pStyle w:val="63"/>
                    <w:rPr>
                      <w:color w:val="auto"/>
                    </w:rPr>
                  </w:pPr>
                  <w:r>
                    <w:rPr>
                      <w:rFonts w:hint="eastAsia"/>
                      <w:color w:val="auto"/>
                      <w:lang w:eastAsia="zh-CN"/>
                    </w:rPr>
                    <w:t>属性参数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密度</w:t>
                  </w:r>
                </w:p>
              </w:tc>
              <w:tc>
                <w:tcPr>
                  <w:tcW w:w="1959" w:type="dxa"/>
                </w:tcPr>
                <w:p>
                  <w:pPr>
                    <w:pStyle w:val="63"/>
                    <w:rPr>
                      <w:color w:val="auto"/>
                      <w:lang w:eastAsia="zh-CN"/>
                    </w:rPr>
                  </w:pPr>
                  <w:r>
                    <w:rPr>
                      <w:rFonts w:hint="eastAsia"/>
                      <w:color w:val="auto"/>
                      <w:lang w:eastAsia="zh-CN"/>
                    </w:rPr>
                    <w:t>0</w:t>
                  </w:r>
                  <w:r>
                    <w:rPr>
                      <w:color w:val="auto"/>
                      <w:lang w:eastAsia="zh-CN"/>
                    </w:rPr>
                    <w:t>.7238</w:t>
                  </w:r>
                </w:p>
              </w:tc>
              <w:tc>
                <w:tcPr>
                  <w:tcW w:w="1959" w:type="dxa"/>
                </w:tcPr>
                <w:p>
                  <w:pPr>
                    <w:pStyle w:val="63"/>
                    <w:rPr>
                      <w:color w:val="auto"/>
                    </w:rPr>
                  </w:pPr>
                  <w:r>
                    <w:rPr>
                      <w:rFonts w:hint="eastAsia"/>
                      <w:color w:val="auto"/>
                      <w:lang w:eastAsia="zh-CN"/>
                    </w:rPr>
                    <w:t>kg</w:t>
                  </w:r>
                  <w:r>
                    <w:rPr>
                      <w:color w:val="auto"/>
                      <w:lang w:eastAsia="zh-CN"/>
                    </w:rPr>
                    <w:t>/</w:t>
                  </w:r>
                  <w:r>
                    <w:rPr>
                      <w:rFonts w:hint="eastAsia"/>
                      <w:color w:val="auto"/>
                      <w:lang w:eastAsia="zh-CN"/>
                    </w:rPr>
                    <w:t>m</w:t>
                  </w:r>
                  <w:r>
                    <w:rPr>
                      <w:rFonts w:hint="eastAsia"/>
                      <w:color w:val="auto"/>
                      <w:vertAlign w:val="superscript"/>
                      <w:lang w:eastAsia="zh-CN"/>
                    </w:rPr>
                    <w:t>3</w:t>
                  </w:r>
                </w:p>
              </w:tc>
              <w:tc>
                <w:tcPr>
                  <w:tcW w:w="1959" w:type="dxa"/>
                </w:tcPr>
                <w:p>
                  <w:pPr>
                    <w:pStyle w:val="63"/>
                    <w:rPr>
                      <w:color w:val="auto"/>
                      <w:lang w:eastAsia="zh-CN"/>
                    </w:rPr>
                  </w:pPr>
                  <w:r>
                    <w:rPr>
                      <w:rFonts w:hint="eastAsia"/>
                      <w:color w:val="auto"/>
                      <w:lang w:eastAsia="zh-CN"/>
                    </w:rPr>
                    <w:t>I</w:t>
                  </w:r>
                  <w:r>
                    <w:rPr>
                      <w:color w:val="auto"/>
                      <w:lang w:eastAsia="zh-CN"/>
                    </w:rPr>
                    <w:t>SO6976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相对密度</w:t>
                  </w:r>
                </w:p>
              </w:tc>
              <w:tc>
                <w:tcPr>
                  <w:tcW w:w="1959" w:type="dxa"/>
                </w:tcPr>
                <w:p>
                  <w:pPr>
                    <w:pStyle w:val="63"/>
                    <w:rPr>
                      <w:color w:val="auto"/>
                      <w:lang w:eastAsia="zh-CN"/>
                    </w:rPr>
                  </w:pPr>
                  <w:r>
                    <w:rPr>
                      <w:rFonts w:hint="eastAsia"/>
                      <w:color w:val="auto"/>
                      <w:lang w:eastAsia="zh-CN"/>
                    </w:rPr>
                    <w:t>0</w:t>
                  </w:r>
                  <w:r>
                    <w:rPr>
                      <w:color w:val="auto"/>
                      <w:lang w:eastAsia="zh-CN"/>
                    </w:rPr>
                    <w:t>.6009</w:t>
                  </w:r>
                </w:p>
              </w:tc>
              <w:tc>
                <w:tcPr>
                  <w:tcW w:w="1959" w:type="dxa"/>
                </w:tcPr>
                <w:p>
                  <w:pPr>
                    <w:pStyle w:val="63"/>
                    <w:rPr>
                      <w:color w:val="auto"/>
                    </w:rPr>
                  </w:pPr>
                  <w:r>
                    <w:rPr>
                      <w:rFonts w:hint="eastAsia"/>
                      <w:color w:val="auto"/>
                      <w:lang w:eastAsia="zh-CN"/>
                    </w:rPr>
                    <w:t>kg</w:t>
                  </w:r>
                  <w:r>
                    <w:rPr>
                      <w:color w:val="auto"/>
                      <w:lang w:eastAsia="zh-CN"/>
                    </w:rPr>
                    <w:t>/</w:t>
                  </w:r>
                  <w:r>
                    <w:rPr>
                      <w:rFonts w:hint="eastAsia"/>
                      <w:color w:val="auto"/>
                      <w:lang w:eastAsia="zh-CN"/>
                    </w:rPr>
                    <w:t>m</w:t>
                  </w:r>
                  <w:r>
                    <w:rPr>
                      <w:rFonts w:hint="eastAsia"/>
                      <w:color w:val="auto"/>
                      <w:vertAlign w:val="superscript"/>
                      <w:lang w:eastAsia="zh-CN"/>
                    </w:rPr>
                    <w:t>3</w:t>
                  </w:r>
                </w:p>
              </w:tc>
              <w:tc>
                <w:tcPr>
                  <w:tcW w:w="1959" w:type="dxa"/>
                </w:tcPr>
                <w:p>
                  <w:pPr>
                    <w:pStyle w:val="63"/>
                    <w:rPr>
                      <w:color w:val="auto"/>
                      <w:lang w:eastAsia="zh-CN"/>
                    </w:rPr>
                  </w:pPr>
                  <w:r>
                    <w:rPr>
                      <w:rFonts w:hint="eastAsia"/>
                      <w:color w:val="auto"/>
                      <w:lang w:eastAsia="zh-CN"/>
                    </w:rPr>
                    <w:t>G</w:t>
                  </w:r>
                  <w:r>
                    <w:rPr>
                      <w:color w:val="auto"/>
                      <w:lang w:eastAsia="zh-CN"/>
                    </w:rPr>
                    <w:t>B/T11062-2014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高位质量热值</w:t>
                  </w:r>
                </w:p>
              </w:tc>
              <w:tc>
                <w:tcPr>
                  <w:tcW w:w="1959" w:type="dxa"/>
                </w:tcPr>
                <w:p>
                  <w:pPr>
                    <w:pStyle w:val="63"/>
                    <w:rPr>
                      <w:color w:val="auto"/>
                      <w:lang w:eastAsia="zh-CN"/>
                    </w:rPr>
                  </w:pPr>
                  <w:r>
                    <w:rPr>
                      <w:rFonts w:hint="eastAsia"/>
                      <w:color w:val="auto"/>
                      <w:lang w:eastAsia="zh-CN"/>
                    </w:rPr>
                    <w:t>5</w:t>
                  </w:r>
                  <w:r>
                    <w:rPr>
                      <w:color w:val="auto"/>
                      <w:lang w:eastAsia="zh-CN"/>
                    </w:rPr>
                    <w:t>4.8653</w:t>
                  </w:r>
                </w:p>
              </w:tc>
              <w:tc>
                <w:tcPr>
                  <w:tcW w:w="1959" w:type="dxa"/>
                </w:tcPr>
                <w:p>
                  <w:pPr>
                    <w:pStyle w:val="63"/>
                    <w:rPr>
                      <w:color w:val="auto"/>
                    </w:rPr>
                  </w:pPr>
                  <w:r>
                    <w:rPr>
                      <w:color w:val="auto"/>
                      <w:lang w:eastAsia="zh-CN"/>
                    </w:rPr>
                    <w:t>MJ/</w:t>
                  </w:r>
                  <w:r>
                    <w:rPr>
                      <w:rFonts w:hint="eastAsia"/>
                      <w:color w:val="auto"/>
                      <w:lang w:eastAsia="zh-CN"/>
                    </w:rPr>
                    <w:t>kg</w:t>
                  </w:r>
                </w:p>
              </w:tc>
              <w:tc>
                <w:tcPr>
                  <w:tcW w:w="1959" w:type="dxa"/>
                </w:tcPr>
                <w:p>
                  <w:pPr>
                    <w:pStyle w:val="63"/>
                    <w:rPr>
                      <w:color w:val="auto"/>
                    </w:rPr>
                  </w:pPr>
                  <w:r>
                    <w:rPr>
                      <w:rFonts w:hint="eastAsia"/>
                      <w:color w:val="auto"/>
                      <w:lang w:eastAsia="zh-CN"/>
                    </w:rPr>
                    <w:t>I</w:t>
                  </w:r>
                  <w:r>
                    <w:rPr>
                      <w:color w:val="auto"/>
                      <w:lang w:eastAsia="zh-CN"/>
                    </w:rPr>
                    <w:t>SO6976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低位质量热值</w:t>
                  </w:r>
                </w:p>
              </w:tc>
              <w:tc>
                <w:tcPr>
                  <w:tcW w:w="1959" w:type="dxa"/>
                </w:tcPr>
                <w:p>
                  <w:pPr>
                    <w:pStyle w:val="63"/>
                    <w:rPr>
                      <w:color w:val="auto"/>
                      <w:lang w:eastAsia="zh-CN"/>
                    </w:rPr>
                  </w:pPr>
                  <w:r>
                    <w:rPr>
                      <w:rFonts w:hint="eastAsia"/>
                      <w:color w:val="auto"/>
                      <w:lang w:eastAsia="zh-CN"/>
                    </w:rPr>
                    <w:t>4</w:t>
                  </w:r>
                  <w:r>
                    <w:rPr>
                      <w:color w:val="auto"/>
                      <w:lang w:eastAsia="zh-CN"/>
                    </w:rPr>
                    <w:t>9.5379</w:t>
                  </w:r>
                </w:p>
              </w:tc>
              <w:tc>
                <w:tcPr>
                  <w:tcW w:w="1959" w:type="dxa"/>
                </w:tcPr>
                <w:p>
                  <w:pPr>
                    <w:pStyle w:val="63"/>
                    <w:rPr>
                      <w:color w:val="auto"/>
                    </w:rPr>
                  </w:pPr>
                  <w:r>
                    <w:rPr>
                      <w:color w:val="auto"/>
                      <w:lang w:eastAsia="zh-CN"/>
                    </w:rPr>
                    <w:t>MJ/</w:t>
                  </w:r>
                  <w:r>
                    <w:rPr>
                      <w:rFonts w:hint="eastAsia"/>
                      <w:color w:val="auto"/>
                      <w:lang w:eastAsia="zh-CN"/>
                    </w:rPr>
                    <w:t>kg</w:t>
                  </w:r>
                </w:p>
              </w:tc>
              <w:tc>
                <w:tcPr>
                  <w:tcW w:w="1959" w:type="dxa"/>
                </w:tcPr>
                <w:p>
                  <w:pPr>
                    <w:pStyle w:val="63"/>
                    <w:rPr>
                      <w:color w:val="auto"/>
                    </w:rPr>
                  </w:pPr>
                  <w:r>
                    <w:rPr>
                      <w:rFonts w:hint="eastAsia"/>
                      <w:color w:val="auto"/>
                      <w:lang w:eastAsia="zh-CN"/>
                    </w:rPr>
                    <w:t>I</w:t>
                  </w:r>
                  <w:r>
                    <w:rPr>
                      <w:color w:val="auto"/>
                      <w:lang w:eastAsia="zh-CN"/>
                    </w:rPr>
                    <w:t>SO6976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高位体积热值</w:t>
                  </w:r>
                </w:p>
              </w:tc>
              <w:tc>
                <w:tcPr>
                  <w:tcW w:w="1959" w:type="dxa"/>
                </w:tcPr>
                <w:p>
                  <w:pPr>
                    <w:pStyle w:val="63"/>
                    <w:rPr>
                      <w:color w:val="auto"/>
                      <w:lang w:eastAsia="zh-CN"/>
                    </w:rPr>
                  </w:pPr>
                  <w:r>
                    <w:rPr>
                      <w:rFonts w:hint="eastAsia"/>
                      <w:color w:val="auto"/>
                      <w:lang w:eastAsia="zh-CN"/>
                    </w:rPr>
                    <w:t>3</w:t>
                  </w:r>
                  <w:r>
                    <w:rPr>
                      <w:color w:val="auto"/>
                      <w:lang w:eastAsia="zh-CN"/>
                    </w:rPr>
                    <w:t>9.71</w:t>
                  </w:r>
                </w:p>
              </w:tc>
              <w:tc>
                <w:tcPr>
                  <w:tcW w:w="1959" w:type="dxa"/>
                </w:tcPr>
                <w:p>
                  <w:pPr>
                    <w:pStyle w:val="63"/>
                    <w:rPr>
                      <w:color w:val="auto"/>
                    </w:rPr>
                  </w:pPr>
                  <w:r>
                    <w:rPr>
                      <w:color w:val="auto"/>
                      <w:lang w:eastAsia="zh-CN"/>
                    </w:rPr>
                    <w:t>MJ/</w:t>
                  </w:r>
                  <w:r>
                    <w:rPr>
                      <w:rFonts w:hint="eastAsia"/>
                      <w:color w:val="auto"/>
                      <w:lang w:eastAsia="zh-CN"/>
                    </w:rPr>
                    <w:t>m</w:t>
                  </w:r>
                  <w:r>
                    <w:rPr>
                      <w:rFonts w:hint="eastAsia"/>
                      <w:color w:val="auto"/>
                      <w:vertAlign w:val="superscript"/>
                      <w:lang w:eastAsia="zh-CN"/>
                    </w:rPr>
                    <w:t>3</w:t>
                  </w:r>
                </w:p>
              </w:tc>
              <w:tc>
                <w:tcPr>
                  <w:tcW w:w="1959" w:type="dxa"/>
                </w:tcPr>
                <w:p>
                  <w:pPr>
                    <w:pStyle w:val="63"/>
                    <w:rPr>
                      <w:color w:val="auto"/>
                    </w:rPr>
                  </w:pPr>
                  <w:r>
                    <w:rPr>
                      <w:rFonts w:hint="eastAsia"/>
                      <w:color w:val="auto"/>
                      <w:lang w:eastAsia="zh-CN"/>
                    </w:rPr>
                    <w:t>I</w:t>
                  </w:r>
                  <w:r>
                    <w:rPr>
                      <w:color w:val="auto"/>
                      <w:lang w:eastAsia="zh-CN"/>
                    </w:rPr>
                    <w:t>SO6976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低位体积热值</w:t>
                  </w:r>
                </w:p>
              </w:tc>
              <w:tc>
                <w:tcPr>
                  <w:tcW w:w="1959" w:type="dxa"/>
                </w:tcPr>
                <w:p>
                  <w:pPr>
                    <w:pStyle w:val="63"/>
                    <w:rPr>
                      <w:color w:val="auto"/>
                      <w:lang w:eastAsia="zh-CN"/>
                    </w:rPr>
                  </w:pPr>
                  <w:r>
                    <w:rPr>
                      <w:rFonts w:hint="eastAsia"/>
                      <w:color w:val="auto"/>
                      <w:lang w:eastAsia="zh-CN"/>
                    </w:rPr>
                    <w:t>3</w:t>
                  </w:r>
                  <w:r>
                    <w:rPr>
                      <w:color w:val="auto"/>
                      <w:lang w:eastAsia="zh-CN"/>
                    </w:rPr>
                    <w:t>5.85</w:t>
                  </w:r>
                </w:p>
              </w:tc>
              <w:tc>
                <w:tcPr>
                  <w:tcW w:w="1959" w:type="dxa"/>
                </w:tcPr>
                <w:p>
                  <w:pPr>
                    <w:pStyle w:val="63"/>
                    <w:rPr>
                      <w:color w:val="auto"/>
                    </w:rPr>
                  </w:pPr>
                  <w:r>
                    <w:rPr>
                      <w:color w:val="auto"/>
                      <w:lang w:eastAsia="zh-CN"/>
                    </w:rPr>
                    <w:t>MJ/</w:t>
                  </w:r>
                  <w:r>
                    <w:rPr>
                      <w:rFonts w:hint="eastAsia"/>
                      <w:color w:val="auto"/>
                      <w:lang w:eastAsia="zh-CN"/>
                    </w:rPr>
                    <w:t>m</w:t>
                  </w:r>
                  <w:r>
                    <w:rPr>
                      <w:rFonts w:hint="eastAsia"/>
                      <w:color w:val="auto"/>
                      <w:vertAlign w:val="superscript"/>
                      <w:lang w:eastAsia="zh-CN"/>
                    </w:rPr>
                    <w:t>3</w:t>
                  </w:r>
                </w:p>
              </w:tc>
              <w:tc>
                <w:tcPr>
                  <w:tcW w:w="1959" w:type="dxa"/>
                </w:tcPr>
                <w:p>
                  <w:pPr>
                    <w:pStyle w:val="63"/>
                    <w:rPr>
                      <w:color w:val="auto"/>
                    </w:rPr>
                  </w:pPr>
                  <w:r>
                    <w:rPr>
                      <w:rFonts w:hint="eastAsia"/>
                      <w:color w:val="auto"/>
                      <w:lang w:eastAsia="zh-CN"/>
                    </w:rPr>
                    <w:t>I</w:t>
                  </w:r>
                  <w:r>
                    <w:rPr>
                      <w:color w:val="auto"/>
                      <w:lang w:eastAsia="zh-CN"/>
                    </w:rPr>
                    <w:t>SO6976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沃泊指数</w:t>
                  </w:r>
                </w:p>
              </w:tc>
              <w:tc>
                <w:tcPr>
                  <w:tcW w:w="1959" w:type="dxa"/>
                </w:tcPr>
                <w:p>
                  <w:pPr>
                    <w:pStyle w:val="63"/>
                    <w:rPr>
                      <w:color w:val="auto"/>
                      <w:lang w:eastAsia="zh-CN"/>
                    </w:rPr>
                  </w:pPr>
                  <w:r>
                    <w:rPr>
                      <w:rFonts w:hint="eastAsia"/>
                      <w:color w:val="auto"/>
                      <w:lang w:eastAsia="zh-CN"/>
                    </w:rPr>
                    <w:t>5</w:t>
                  </w:r>
                  <w:r>
                    <w:rPr>
                      <w:color w:val="auto"/>
                      <w:lang w:eastAsia="zh-CN"/>
                    </w:rPr>
                    <w:t>1.23</w:t>
                  </w:r>
                </w:p>
              </w:tc>
              <w:tc>
                <w:tcPr>
                  <w:tcW w:w="1959" w:type="dxa"/>
                </w:tcPr>
                <w:p>
                  <w:pPr>
                    <w:pStyle w:val="63"/>
                    <w:rPr>
                      <w:color w:val="auto"/>
                    </w:rPr>
                  </w:pPr>
                  <w:r>
                    <w:rPr>
                      <w:color w:val="auto"/>
                      <w:lang w:eastAsia="zh-CN"/>
                    </w:rPr>
                    <w:t>MJ/</w:t>
                  </w:r>
                  <w:r>
                    <w:rPr>
                      <w:rFonts w:hint="eastAsia"/>
                      <w:color w:val="auto"/>
                      <w:lang w:eastAsia="zh-CN"/>
                    </w:rPr>
                    <w:t>m</w:t>
                  </w:r>
                  <w:r>
                    <w:rPr>
                      <w:rFonts w:hint="eastAsia"/>
                      <w:color w:val="auto"/>
                      <w:vertAlign w:val="superscript"/>
                      <w:lang w:eastAsia="zh-CN"/>
                    </w:rPr>
                    <w:t>3</w:t>
                  </w:r>
                </w:p>
              </w:tc>
              <w:tc>
                <w:tcPr>
                  <w:tcW w:w="1959" w:type="dxa"/>
                </w:tcPr>
                <w:p>
                  <w:pPr>
                    <w:pStyle w:val="63"/>
                    <w:rPr>
                      <w:color w:val="auto"/>
                    </w:rPr>
                  </w:pPr>
                  <w:r>
                    <w:rPr>
                      <w:rFonts w:hint="eastAsia"/>
                      <w:color w:val="auto"/>
                      <w:lang w:eastAsia="zh-CN"/>
                    </w:rPr>
                    <w:t>I</w:t>
                  </w:r>
                  <w:r>
                    <w:rPr>
                      <w:color w:val="auto"/>
                      <w:lang w:eastAsia="zh-CN"/>
                    </w:rPr>
                    <w:t>SO6976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8" w:type="dxa"/>
                </w:tcPr>
                <w:p>
                  <w:pPr>
                    <w:pStyle w:val="63"/>
                    <w:rPr>
                      <w:color w:val="auto"/>
                      <w:lang w:eastAsia="zh-CN"/>
                    </w:rPr>
                  </w:pPr>
                  <w:r>
                    <w:rPr>
                      <w:rFonts w:hint="eastAsia"/>
                      <w:color w:val="auto"/>
                      <w:lang w:eastAsia="zh-CN"/>
                    </w:rPr>
                    <w:t>气化率</w:t>
                  </w:r>
                </w:p>
              </w:tc>
              <w:tc>
                <w:tcPr>
                  <w:tcW w:w="1959" w:type="dxa"/>
                </w:tcPr>
                <w:p>
                  <w:pPr>
                    <w:pStyle w:val="63"/>
                    <w:rPr>
                      <w:color w:val="auto"/>
                      <w:lang w:eastAsia="zh-CN"/>
                    </w:rPr>
                  </w:pPr>
                  <w:r>
                    <w:rPr>
                      <w:rFonts w:hint="eastAsia"/>
                      <w:color w:val="auto"/>
                      <w:lang w:eastAsia="zh-CN"/>
                    </w:rPr>
                    <w:t>1</w:t>
                  </w:r>
                  <w:r>
                    <w:rPr>
                      <w:color w:val="auto"/>
                      <w:lang w:eastAsia="zh-CN"/>
                    </w:rPr>
                    <w:t>382</w:t>
                  </w:r>
                </w:p>
              </w:tc>
              <w:tc>
                <w:tcPr>
                  <w:tcW w:w="1959" w:type="dxa"/>
                </w:tcPr>
                <w:p>
                  <w:pPr>
                    <w:pStyle w:val="63"/>
                    <w:rPr>
                      <w:color w:val="auto"/>
                    </w:rPr>
                  </w:pPr>
                  <w:r>
                    <w:rPr>
                      <w:rFonts w:hint="eastAsia"/>
                      <w:color w:val="auto"/>
                      <w:lang w:eastAsia="zh-CN"/>
                    </w:rPr>
                    <w:t>m</w:t>
                  </w:r>
                  <w:r>
                    <w:rPr>
                      <w:rFonts w:hint="eastAsia"/>
                      <w:color w:val="auto"/>
                      <w:vertAlign w:val="superscript"/>
                      <w:lang w:eastAsia="zh-CN"/>
                    </w:rPr>
                    <w:t>3</w:t>
                  </w:r>
                  <w:r>
                    <w:rPr>
                      <w:color w:val="auto"/>
                      <w:lang w:eastAsia="zh-CN"/>
                    </w:rPr>
                    <w:t>/</w:t>
                  </w:r>
                  <w:r>
                    <w:rPr>
                      <w:rFonts w:hint="eastAsia"/>
                      <w:color w:val="auto"/>
                      <w:lang w:eastAsia="zh-CN"/>
                    </w:rPr>
                    <w:t>t</w:t>
                  </w:r>
                </w:p>
              </w:tc>
              <w:tc>
                <w:tcPr>
                  <w:tcW w:w="1959" w:type="dxa"/>
                </w:tcPr>
                <w:p>
                  <w:pPr>
                    <w:pStyle w:val="63"/>
                    <w:rPr>
                      <w:color w:val="auto"/>
                    </w:rPr>
                  </w:pPr>
                  <w:r>
                    <w:rPr>
                      <w:rFonts w:hint="eastAsia"/>
                      <w:color w:val="auto"/>
                      <w:lang w:eastAsia="zh-CN"/>
                    </w:rPr>
                    <w:t>参考I</w:t>
                  </w:r>
                  <w:r>
                    <w:rPr>
                      <w:color w:val="auto"/>
                      <w:lang w:eastAsia="zh-CN"/>
                    </w:rPr>
                    <w:t>SO6578</w:t>
                  </w:r>
                </w:p>
              </w:tc>
            </w:tr>
          </w:tbl>
          <w:p>
            <w:pPr>
              <w:ind w:firstLine="480"/>
              <w:rPr>
                <w:color w:val="auto"/>
              </w:rPr>
            </w:pPr>
            <w:r>
              <w:rPr>
                <w:rFonts w:hint="eastAsia"/>
                <w:color w:val="auto"/>
              </w:rPr>
              <w:t>技改前所使用的焦炉煤气主要成分见下表：</w:t>
            </w:r>
          </w:p>
          <w:p>
            <w:pPr>
              <w:pStyle w:val="66"/>
              <w:rPr>
                <w:color w:val="auto"/>
              </w:rPr>
            </w:pPr>
            <w:r>
              <w:rPr>
                <w:rFonts w:hint="eastAsia"/>
                <w:color w:val="auto"/>
              </w:rPr>
              <w:t>表2</w:t>
            </w:r>
            <w:r>
              <w:rPr>
                <w:color w:val="auto"/>
              </w:rPr>
              <w:t xml:space="preserve">.1-7 </w:t>
            </w:r>
            <w:r>
              <w:rPr>
                <w:rFonts w:hint="eastAsia"/>
                <w:color w:val="auto"/>
              </w:rPr>
              <w:t>技改前焦炉煤气成分参数一览表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852"/>
              <w:gridCol w:w="852"/>
              <w:gridCol w:w="852"/>
              <w:gridCol w:w="852"/>
              <w:gridCol w:w="852"/>
              <w:gridCol w:w="633"/>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Align w:val="center"/>
                </w:tcPr>
                <w:p>
                  <w:pPr>
                    <w:pStyle w:val="63"/>
                    <w:rPr>
                      <w:color w:val="auto"/>
                    </w:rPr>
                  </w:pPr>
                  <w:r>
                    <w:rPr>
                      <w:color w:val="auto"/>
                    </w:rPr>
                    <w:t>成分</w:t>
                  </w:r>
                </w:p>
              </w:tc>
              <w:tc>
                <w:tcPr>
                  <w:tcW w:w="852" w:type="dxa"/>
                  <w:vAlign w:val="center"/>
                </w:tcPr>
                <w:p>
                  <w:pPr>
                    <w:pStyle w:val="63"/>
                    <w:rPr>
                      <w:color w:val="auto"/>
                    </w:rPr>
                  </w:pPr>
                  <w:r>
                    <w:rPr>
                      <w:color w:val="auto"/>
                    </w:rPr>
                    <w:t>H</w:t>
                  </w:r>
                  <w:r>
                    <w:rPr>
                      <w:color w:val="auto"/>
                      <w:vertAlign w:val="subscript"/>
                    </w:rPr>
                    <w:t>2</w:t>
                  </w:r>
                </w:p>
              </w:tc>
              <w:tc>
                <w:tcPr>
                  <w:tcW w:w="852" w:type="dxa"/>
                  <w:vAlign w:val="center"/>
                </w:tcPr>
                <w:p>
                  <w:pPr>
                    <w:pStyle w:val="63"/>
                    <w:rPr>
                      <w:color w:val="auto"/>
                    </w:rPr>
                  </w:pPr>
                  <w:r>
                    <w:rPr>
                      <w:color w:val="auto"/>
                    </w:rPr>
                    <w:t>CO</w:t>
                  </w:r>
                  <w:r>
                    <w:rPr>
                      <w:color w:val="auto"/>
                      <w:vertAlign w:val="subscript"/>
                    </w:rPr>
                    <w:t>2</w:t>
                  </w:r>
                </w:p>
              </w:tc>
              <w:tc>
                <w:tcPr>
                  <w:tcW w:w="852" w:type="dxa"/>
                  <w:vAlign w:val="center"/>
                </w:tcPr>
                <w:p>
                  <w:pPr>
                    <w:pStyle w:val="63"/>
                    <w:rPr>
                      <w:color w:val="auto"/>
                    </w:rPr>
                  </w:pPr>
                  <w:r>
                    <w:rPr>
                      <w:color w:val="auto"/>
                    </w:rPr>
                    <w:t>O</w:t>
                  </w:r>
                  <w:r>
                    <w:rPr>
                      <w:color w:val="auto"/>
                      <w:vertAlign w:val="subscript"/>
                    </w:rPr>
                    <w:t>2</w:t>
                  </w:r>
                </w:p>
              </w:tc>
              <w:tc>
                <w:tcPr>
                  <w:tcW w:w="852" w:type="dxa"/>
                  <w:vAlign w:val="center"/>
                </w:tcPr>
                <w:p>
                  <w:pPr>
                    <w:pStyle w:val="63"/>
                    <w:rPr>
                      <w:color w:val="auto"/>
                    </w:rPr>
                  </w:pPr>
                  <w:r>
                    <w:rPr>
                      <w:color w:val="auto"/>
                    </w:rPr>
                    <w:t>N</w:t>
                  </w:r>
                  <w:r>
                    <w:rPr>
                      <w:color w:val="auto"/>
                      <w:vertAlign w:val="subscript"/>
                    </w:rPr>
                    <w:t>2</w:t>
                  </w:r>
                </w:p>
              </w:tc>
              <w:tc>
                <w:tcPr>
                  <w:tcW w:w="852" w:type="dxa"/>
                  <w:vAlign w:val="center"/>
                </w:tcPr>
                <w:p>
                  <w:pPr>
                    <w:pStyle w:val="63"/>
                    <w:rPr>
                      <w:color w:val="auto"/>
                    </w:rPr>
                  </w:pPr>
                  <w:r>
                    <w:rPr>
                      <w:color w:val="auto"/>
                    </w:rPr>
                    <w:t>CH</w:t>
                  </w:r>
                  <w:r>
                    <w:rPr>
                      <w:color w:val="auto"/>
                      <w:vertAlign w:val="subscript"/>
                    </w:rPr>
                    <w:t>4</w:t>
                  </w:r>
                </w:p>
              </w:tc>
              <w:tc>
                <w:tcPr>
                  <w:tcW w:w="633" w:type="dxa"/>
                  <w:vAlign w:val="center"/>
                </w:tcPr>
                <w:p>
                  <w:pPr>
                    <w:pStyle w:val="63"/>
                    <w:rPr>
                      <w:color w:val="auto"/>
                    </w:rPr>
                  </w:pPr>
                  <w:r>
                    <w:rPr>
                      <w:color w:val="auto"/>
                    </w:rPr>
                    <w:t>CO</w:t>
                  </w:r>
                </w:p>
              </w:tc>
              <w:tc>
                <w:tcPr>
                  <w:tcW w:w="1493" w:type="dxa"/>
                  <w:vAlign w:val="center"/>
                </w:tcPr>
                <w:p>
                  <w:pPr>
                    <w:pStyle w:val="63"/>
                    <w:rPr>
                      <w:color w:val="auto"/>
                    </w:rPr>
                  </w:pPr>
                  <w:r>
                    <w:rPr>
                      <w:color w:val="auto"/>
                    </w:rPr>
                    <w:t>H</w:t>
                  </w:r>
                  <w:r>
                    <w:rPr>
                      <w:color w:val="auto"/>
                      <w:vertAlign w:val="subscript"/>
                    </w:rPr>
                    <w:t>2</w:t>
                  </w:r>
                  <w:r>
                    <w:rPr>
                      <w:color w:val="auto"/>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vAlign w:val="center"/>
                </w:tcPr>
                <w:p>
                  <w:pPr>
                    <w:pStyle w:val="63"/>
                    <w:rPr>
                      <w:color w:val="auto"/>
                    </w:rPr>
                  </w:pPr>
                  <w:r>
                    <w:rPr>
                      <w:color w:val="auto"/>
                    </w:rPr>
                    <w:t>体积分数（%）</w:t>
                  </w:r>
                </w:p>
              </w:tc>
              <w:tc>
                <w:tcPr>
                  <w:tcW w:w="852" w:type="dxa"/>
                  <w:vAlign w:val="center"/>
                </w:tcPr>
                <w:p>
                  <w:pPr>
                    <w:pStyle w:val="63"/>
                    <w:rPr>
                      <w:color w:val="auto"/>
                    </w:rPr>
                  </w:pPr>
                  <w:r>
                    <w:rPr>
                      <w:rFonts w:hint="eastAsia"/>
                      <w:color w:val="auto"/>
                    </w:rPr>
                    <w:t>57.12</w:t>
                  </w:r>
                </w:p>
              </w:tc>
              <w:tc>
                <w:tcPr>
                  <w:tcW w:w="852" w:type="dxa"/>
                  <w:vAlign w:val="center"/>
                </w:tcPr>
                <w:p>
                  <w:pPr>
                    <w:pStyle w:val="63"/>
                    <w:rPr>
                      <w:color w:val="auto"/>
                    </w:rPr>
                  </w:pPr>
                  <w:r>
                    <w:rPr>
                      <w:rFonts w:hint="eastAsia"/>
                      <w:color w:val="auto"/>
                    </w:rPr>
                    <w:t>2.4</w:t>
                  </w:r>
                </w:p>
              </w:tc>
              <w:tc>
                <w:tcPr>
                  <w:tcW w:w="852" w:type="dxa"/>
                  <w:vAlign w:val="center"/>
                </w:tcPr>
                <w:p>
                  <w:pPr>
                    <w:pStyle w:val="63"/>
                    <w:rPr>
                      <w:color w:val="auto"/>
                    </w:rPr>
                  </w:pPr>
                  <w:r>
                    <w:rPr>
                      <w:rFonts w:hint="eastAsia"/>
                      <w:color w:val="auto"/>
                    </w:rPr>
                    <w:t>0.6</w:t>
                  </w:r>
                </w:p>
              </w:tc>
              <w:tc>
                <w:tcPr>
                  <w:tcW w:w="852" w:type="dxa"/>
                  <w:vAlign w:val="center"/>
                </w:tcPr>
                <w:p>
                  <w:pPr>
                    <w:pStyle w:val="63"/>
                    <w:rPr>
                      <w:color w:val="auto"/>
                    </w:rPr>
                  </w:pPr>
                  <w:r>
                    <w:rPr>
                      <w:rFonts w:hint="eastAsia"/>
                      <w:color w:val="auto"/>
                    </w:rPr>
                    <w:t>7.15</w:t>
                  </w:r>
                </w:p>
              </w:tc>
              <w:tc>
                <w:tcPr>
                  <w:tcW w:w="852" w:type="dxa"/>
                  <w:vAlign w:val="center"/>
                </w:tcPr>
                <w:p>
                  <w:pPr>
                    <w:pStyle w:val="63"/>
                    <w:rPr>
                      <w:color w:val="auto"/>
                    </w:rPr>
                  </w:pPr>
                  <w:r>
                    <w:rPr>
                      <w:rFonts w:hint="eastAsia"/>
                      <w:color w:val="auto"/>
                    </w:rPr>
                    <w:t>20.3</w:t>
                  </w:r>
                </w:p>
              </w:tc>
              <w:tc>
                <w:tcPr>
                  <w:tcW w:w="633" w:type="dxa"/>
                  <w:vAlign w:val="center"/>
                </w:tcPr>
                <w:p>
                  <w:pPr>
                    <w:pStyle w:val="63"/>
                    <w:rPr>
                      <w:color w:val="auto"/>
                    </w:rPr>
                  </w:pPr>
                  <w:r>
                    <w:rPr>
                      <w:rFonts w:hint="eastAsia"/>
                      <w:color w:val="auto"/>
                    </w:rPr>
                    <w:t>10.2</w:t>
                  </w:r>
                </w:p>
              </w:tc>
              <w:tc>
                <w:tcPr>
                  <w:tcW w:w="1493" w:type="dxa"/>
                  <w:vAlign w:val="center"/>
                </w:tcPr>
                <w:p>
                  <w:pPr>
                    <w:pStyle w:val="63"/>
                    <w:rPr>
                      <w:color w:val="auto"/>
                    </w:rPr>
                  </w:pPr>
                  <w:r>
                    <w:rPr>
                      <w:rFonts w:hint="eastAsia"/>
                      <w:color w:val="auto"/>
                    </w:rPr>
                    <w:t>107.92</w:t>
                  </w:r>
                  <w:r>
                    <w:rPr>
                      <w:color w:val="auto"/>
                    </w:rPr>
                    <w:t>mg/m</w:t>
                  </w:r>
                  <w:r>
                    <w:rPr>
                      <w:color w:val="auto"/>
                      <w:vertAlign w:val="superscript"/>
                    </w:rPr>
                    <w:t>3</w:t>
                  </w:r>
                </w:p>
              </w:tc>
            </w:tr>
          </w:tbl>
          <w:p>
            <w:pPr>
              <w:ind w:firstLine="480"/>
              <w:rPr>
                <w:color w:val="auto"/>
              </w:rPr>
            </w:pPr>
            <w:r>
              <w:rPr>
                <w:rFonts w:hint="eastAsia"/>
                <w:color w:val="auto"/>
              </w:rPr>
              <w:t>技改前后天然气与焦炉煤气热值对照见下表：</w:t>
            </w:r>
          </w:p>
          <w:p>
            <w:pPr>
              <w:pStyle w:val="66"/>
              <w:rPr>
                <w:color w:val="auto"/>
              </w:rPr>
            </w:pPr>
            <w:r>
              <w:rPr>
                <w:rFonts w:hint="eastAsia"/>
                <w:color w:val="auto"/>
              </w:rPr>
              <w:t>表2</w:t>
            </w:r>
            <w:r>
              <w:rPr>
                <w:color w:val="auto"/>
              </w:rPr>
              <w:t xml:space="preserve">.1-8 </w:t>
            </w:r>
            <w:r>
              <w:rPr>
                <w:rFonts w:hint="eastAsia"/>
                <w:color w:val="auto"/>
              </w:rPr>
              <w:t>技改前后天然气与焦炉煤气热值对照一览表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2"/>
              <w:gridCol w:w="2613"/>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2" w:type="dxa"/>
                </w:tcPr>
                <w:p>
                  <w:pPr>
                    <w:pStyle w:val="63"/>
                    <w:rPr>
                      <w:color w:val="auto"/>
                    </w:rPr>
                  </w:pPr>
                  <w:r>
                    <w:rPr>
                      <w:rFonts w:hint="eastAsia"/>
                      <w:color w:val="auto"/>
                      <w:lang w:eastAsia="zh-CN"/>
                    </w:rPr>
                    <w:t>类型</w:t>
                  </w:r>
                </w:p>
              </w:tc>
              <w:tc>
                <w:tcPr>
                  <w:tcW w:w="2613" w:type="dxa"/>
                </w:tcPr>
                <w:p>
                  <w:pPr>
                    <w:pStyle w:val="63"/>
                    <w:rPr>
                      <w:color w:val="auto"/>
                    </w:rPr>
                  </w:pPr>
                  <w:r>
                    <w:rPr>
                      <w:rFonts w:hint="eastAsia"/>
                      <w:color w:val="auto"/>
                      <w:lang w:eastAsia="zh-CN"/>
                    </w:rPr>
                    <w:t>天然气</w:t>
                  </w:r>
                </w:p>
              </w:tc>
              <w:tc>
                <w:tcPr>
                  <w:tcW w:w="2613" w:type="dxa"/>
                </w:tcPr>
                <w:p>
                  <w:pPr>
                    <w:pStyle w:val="63"/>
                    <w:rPr>
                      <w:color w:val="auto"/>
                    </w:rPr>
                  </w:pPr>
                  <w:r>
                    <w:rPr>
                      <w:rFonts w:hint="eastAsia"/>
                      <w:color w:val="auto"/>
                      <w:lang w:eastAsia="zh-CN"/>
                    </w:rPr>
                    <w:t>焦炉煤气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2" w:type="dxa"/>
                </w:tcPr>
                <w:p>
                  <w:pPr>
                    <w:pStyle w:val="63"/>
                    <w:rPr>
                      <w:color w:val="auto"/>
                    </w:rPr>
                  </w:pPr>
                  <w:r>
                    <w:rPr>
                      <w:rFonts w:hint="eastAsia"/>
                      <w:color w:val="auto"/>
                      <w:lang w:eastAsia="zh-CN"/>
                    </w:rPr>
                    <w:t>高位体积热值</w:t>
                  </w:r>
                </w:p>
              </w:tc>
              <w:tc>
                <w:tcPr>
                  <w:tcW w:w="2613" w:type="dxa"/>
                </w:tcPr>
                <w:p>
                  <w:pPr>
                    <w:pStyle w:val="63"/>
                    <w:rPr>
                      <w:color w:val="auto"/>
                      <w:lang w:eastAsia="zh-CN"/>
                    </w:rPr>
                  </w:pPr>
                  <w:r>
                    <w:rPr>
                      <w:rFonts w:hint="eastAsia"/>
                      <w:color w:val="auto"/>
                      <w:lang w:eastAsia="zh-CN"/>
                    </w:rPr>
                    <w:t>3</w:t>
                  </w:r>
                  <w:r>
                    <w:rPr>
                      <w:color w:val="auto"/>
                      <w:lang w:eastAsia="zh-CN"/>
                    </w:rPr>
                    <w:t>9.71MJ/</w:t>
                  </w:r>
                  <w:r>
                    <w:rPr>
                      <w:rFonts w:hint="eastAsia"/>
                      <w:color w:val="auto"/>
                      <w:lang w:eastAsia="zh-CN"/>
                    </w:rPr>
                    <w:t>m</w:t>
                  </w:r>
                  <w:r>
                    <w:rPr>
                      <w:rFonts w:hint="eastAsia"/>
                      <w:color w:val="auto"/>
                      <w:vertAlign w:val="superscript"/>
                      <w:lang w:eastAsia="zh-CN"/>
                    </w:rPr>
                    <w:t>3</w:t>
                  </w:r>
                </w:p>
              </w:tc>
              <w:tc>
                <w:tcPr>
                  <w:tcW w:w="2613" w:type="dxa"/>
                </w:tcPr>
                <w:p>
                  <w:pPr>
                    <w:pStyle w:val="63"/>
                    <w:rPr>
                      <w:color w:val="auto"/>
                    </w:rPr>
                  </w:pPr>
                  <w:r>
                    <w:rPr>
                      <w:color w:val="auto"/>
                      <w:lang w:eastAsia="zh-CN"/>
                    </w:rPr>
                    <w:t>14.87MJ/</w:t>
                  </w:r>
                  <w:r>
                    <w:rPr>
                      <w:rFonts w:hint="eastAsia"/>
                      <w:color w:val="auto"/>
                      <w:lang w:eastAsia="zh-CN"/>
                    </w:rPr>
                    <w:t>m</w:t>
                  </w:r>
                  <w:r>
                    <w:rPr>
                      <w:rFonts w:hint="eastAsia"/>
                      <w:color w:val="auto"/>
                      <w:vertAlign w:val="superscript"/>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2" w:type="dxa"/>
                </w:tcPr>
                <w:p>
                  <w:pPr>
                    <w:pStyle w:val="63"/>
                    <w:rPr>
                      <w:color w:val="auto"/>
                    </w:rPr>
                  </w:pPr>
                  <w:r>
                    <w:rPr>
                      <w:rFonts w:hint="eastAsia"/>
                      <w:color w:val="auto"/>
                      <w:lang w:eastAsia="zh-CN"/>
                    </w:rPr>
                    <w:t>低位体积热值</w:t>
                  </w:r>
                </w:p>
              </w:tc>
              <w:tc>
                <w:tcPr>
                  <w:tcW w:w="2613" w:type="dxa"/>
                </w:tcPr>
                <w:p>
                  <w:pPr>
                    <w:pStyle w:val="63"/>
                    <w:rPr>
                      <w:color w:val="auto"/>
                      <w:lang w:eastAsia="zh-CN"/>
                    </w:rPr>
                  </w:pPr>
                  <w:r>
                    <w:rPr>
                      <w:rFonts w:hint="eastAsia"/>
                      <w:color w:val="auto"/>
                      <w:lang w:eastAsia="zh-CN"/>
                    </w:rPr>
                    <w:t>3</w:t>
                  </w:r>
                  <w:r>
                    <w:rPr>
                      <w:color w:val="auto"/>
                      <w:lang w:eastAsia="zh-CN"/>
                    </w:rPr>
                    <w:t>5.85MJ/</w:t>
                  </w:r>
                  <w:r>
                    <w:rPr>
                      <w:rFonts w:hint="eastAsia"/>
                      <w:color w:val="auto"/>
                      <w:lang w:eastAsia="zh-CN"/>
                    </w:rPr>
                    <w:t>m</w:t>
                  </w:r>
                  <w:r>
                    <w:rPr>
                      <w:rFonts w:hint="eastAsia"/>
                      <w:color w:val="auto"/>
                      <w:vertAlign w:val="superscript"/>
                      <w:lang w:eastAsia="zh-CN"/>
                    </w:rPr>
                    <w:t>3</w:t>
                  </w:r>
                </w:p>
              </w:tc>
              <w:tc>
                <w:tcPr>
                  <w:tcW w:w="2613" w:type="dxa"/>
                </w:tcPr>
                <w:p>
                  <w:pPr>
                    <w:pStyle w:val="63"/>
                    <w:rPr>
                      <w:color w:val="auto"/>
                    </w:rPr>
                  </w:pPr>
                  <w:r>
                    <w:rPr>
                      <w:color w:val="auto"/>
                      <w:lang w:eastAsia="zh-CN"/>
                    </w:rPr>
                    <w:t>13.43MJ/</w:t>
                  </w:r>
                  <w:r>
                    <w:rPr>
                      <w:rFonts w:hint="eastAsia"/>
                      <w:color w:val="auto"/>
                      <w:lang w:eastAsia="zh-CN"/>
                    </w:rPr>
                    <w:t>m</w:t>
                  </w:r>
                  <w:r>
                    <w:rPr>
                      <w:rFonts w:hint="eastAsia"/>
                      <w:color w:val="auto"/>
                      <w:vertAlign w:val="superscript"/>
                      <w:lang w:eastAsia="zh-CN"/>
                    </w:rPr>
                    <w:t>3</w:t>
                  </w:r>
                </w:p>
              </w:tc>
            </w:tr>
          </w:tbl>
          <w:p>
            <w:pPr>
              <w:ind w:firstLine="480"/>
              <w:rPr>
                <w:color w:val="auto"/>
              </w:rPr>
            </w:pPr>
            <w:r>
              <w:rPr>
                <w:rFonts w:hint="eastAsia"/>
                <w:color w:val="auto"/>
              </w:rPr>
              <w:t>根据上表，从热值方面来看，天然气高位体积热值和低位体积热值是焦煤煤气的约2</w:t>
            </w:r>
            <w:r>
              <w:rPr>
                <w:color w:val="auto"/>
              </w:rPr>
              <w:t>.67</w:t>
            </w:r>
            <w:r>
              <w:rPr>
                <w:rFonts w:hint="eastAsia"/>
                <w:color w:val="auto"/>
              </w:rPr>
              <w:t>倍，因此，燃料用量由技改前的焦炉煤气2</w:t>
            </w:r>
            <w:r>
              <w:rPr>
                <w:color w:val="auto"/>
              </w:rPr>
              <w:t>881</w:t>
            </w:r>
            <w:r>
              <w:rPr>
                <w:rFonts w:hint="eastAsia"/>
                <w:color w:val="auto"/>
              </w:rPr>
              <w:t>万m</w:t>
            </w:r>
            <w:r>
              <w:rPr>
                <w:rFonts w:hint="eastAsia"/>
                <w:color w:val="auto"/>
                <w:vertAlign w:val="superscript"/>
              </w:rPr>
              <w:t>3</w:t>
            </w:r>
            <w:r>
              <w:rPr>
                <w:rFonts w:hint="eastAsia"/>
                <w:color w:val="auto"/>
              </w:rPr>
              <w:t>/a降低为技改后的天然气1</w:t>
            </w:r>
            <w:r>
              <w:rPr>
                <w:color w:val="auto"/>
              </w:rPr>
              <w:t>080</w:t>
            </w:r>
            <w:r>
              <w:rPr>
                <w:rFonts w:hint="eastAsia"/>
                <w:color w:val="auto"/>
              </w:rPr>
              <w:t>万m</w:t>
            </w:r>
            <w:r>
              <w:rPr>
                <w:rFonts w:hint="eastAsia"/>
                <w:color w:val="auto"/>
                <w:vertAlign w:val="superscript"/>
              </w:rPr>
              <w:t>3</w:t>
            </w:r>
            <w:r>
              <w:rPr>
                <w:rFonts w:hint="eastAsia"/>
                <w:color w:val="auto"/>
              </w:rPr>
              <w:t>/a。同时，焦炉煤气硫化氢含量较高，燃烧后二氧化硫产生量较大，而天然气为清洁能源，从环境角度看天然气更符合国家环境保护相关要求。</w:t>
            </w:r>
          </w:p>
          <w:p>
            <w:pPr>
              <w:pStyle w:val="56"/>
              <w:spacing w:before="60" w:after="60"/>
              <w:rPr>
                <w:color w:val="auto"/>
              </w:rPr>
            </w:pPr>
            <w:r>
              <w:rPr>
                <w:rFonts w:hint="eastAsia"/>
                <w:color w:val="auto"/>
              </w:rPr>
              <w:t>2</w:t>
            </w:r>
            <w:r>
              <w:rPr>
                <w:color w:val="auto"/>
              </w:rPr>
              <w:t>.1.4</w:t>
            </w:r>
            <w:r>
              <w:rPr>
                <w:rFonts w:hint="eastAsia"/>
                <w:color w:val="auto"/>
              </w:rPr>
              <w:t>水平衡</w:t>
            </w:r>
          </w:p>
          <w:p>
            <w:pPr>
              <w:ind w:firstLine="480"/>
              <w:rPr>
                <w:color w:val="auto"/>
              </w:rPr>
            </w:pPr>
            <w:r>
              <w:rPr>
                <w:rFonts w:hint="eastAsia"/>
                <w:color w:val="auto"/>
              </w:rPr>
              <w:t>本次技改仅涉及燃料的更换，技改后不新增生产废水排放，本次技改后项目酸洗废水和浊循环水经现有设施处理后回用，不外排，技改前后废水处理、回用方式一致，本项目技改后水平衡图见下。</w:t>
            </w:r>
          </w:p>
          <w:p>
            <w:pPr>
              <w:pStyle w:val="66"/>
              <w:rPr>
                <w:color w:val="auto"/>
              </w:rPr>
            </w:pPr>
            <w:r>
              <w:rPr>
                <w:color w:val="auto"/>
              </w:rPr>
              <w:object>
                <v:shape id="_x0000_i1025" o:spt="75" type="#_x0000_t75" style="height:333.5pt;width:375.6pt;" o:ole="t" filled="f" o:preferrelative="t" stroked="f" coordsize="21600,21600">
                  <v:path/>
                  <v:fill on="f" focussize="0,0"/>
                  <v:stroke on="f" joinstyle="miter"/>
                  <v:imagedata r:id="rId13" o:title=""/>
                  <o:lock v:ext="edit" aspectratio="f"/>
                  <w10:wrap type="none"/>
                  <w10:anchorlock/>
                </v:shape>
                <o:OLEObject Type="Embed" ProgID="Visio.Drawing.11" ShapeID="_x0000_i1025" DrawAspect="Content" ObjectID="_1468075725">
                  <o:LockedField>false</o:LockedField>
                </o:OLEObject>
              </w:object>
            </w:r>
          </w:p>
          <w:p>
            <w:pPr>
              <w:pStyle w:val="66"/>
              <w:rPr>
                <w:color w:val="auto"/>
              </w:rPr>
            </w:pPr>
            <w:r>
              <w:rPr>
                <w:color w:val="auto"/>
              </w:rPr>
              <w:t>图</w:t>
            </w:r>
            <w:r>
              <w:rPr>
                <w:rFonts w:hint="eastAsia"/>
                <w:color w:val="auto"/>
              </w:rPr>
              <w:t>2</w:t>
            </w:r>
            <w:r>
              <w:rPr>
                <w:color w:val="auto"/>
              </w:rPr>
              <w:t>.1-1 项目水量平衡图    单位：m</w:t>
            </w:r>
            <w:r>
              <w:rPr>
                <w:color w:val="auto"/>
                <w:vertAlign w:val="superscript"/>
              </w:rPr>
              <w:t>3</w:t>
            </w:r>
            <w:r>
              <w:rPr>
                <w:color w:val="auto"/>
              </w:rPr>
              <w:t>/d</w:t>
            </w:r>
          </w:p>
          <w:p>
            <w:pPr>
              <w:pStyle w:val="56"/>
              <w:spacing w:before="60" w:after="60"/>
              <w:rPr>
                <w:color w:val="auto"/>
              </w:rPr>
            </w:pPr>
            <w:r>
              <w:rPr>
                <w:rFonts w:hint="eastAsia"/>
                <w:color w:val="auto"/>
              </w:rPr>
              <w:t>2.1.</w:t>
            </w:r>
            <w:r>
              <w:rPr>
                <w:color w:val="auto"/>
              </w:rPr>
              <w:t>5</w:t>
            </w:r>
            <w:r>
              <w:rPr>
                <w:rFonts w:hint="eastAsia"/>
                <w:color w:val="auto"/>
              </w:rPr>
              <w:t>厂区总平面及生产布置</w:t>
            </w:r>
          </w:p>
          <w:p>
            <w:pPr>
              <w:ind w:firstLine="480"/>
              <w:rPr>
                <w:color w:val="auto"/>
              </w:rPr>
            </w:pPr>
            <w:r>
              <w:rPr>
                <w:rFonts w:hint="eastAsia"/>
                <w:color w:val="auto"/>
              </w:rPr>
              <w:t>本项目对</w:t>
            </w:r>
            <w:r>
              <w:rPr>
                <w:rFonts w:hint="eastAsia"/>
                <w:bCs/>
                <w:color w:val="auto"/>
              </w:rPr>
              <w:t>年产30万吨热退火酸洗生产线</w:t>
            </w:r>
            <w:r>
              <w:rPr>
                <w:rFonts w:hint="eastAsia"/>
                <w:color w:val="auto"/>
              </w:rPr>
              <w:t>焦炉煤气管线进行拆除，从现有热轧生产线预留天然气阀门新建1</w:t>
            </w:r>
            <w:r>
              <w:rPr>
                <w:color w:val="auto"/>
              </w:rPr>
              <w:t>54</w:t>
            </w:r>
            <w:r>
              <w:rPr>
                <w:rFonts w:hint="eastAsia"/>
                <w:color w:val="auto"/>
              </w:rPr>
              <w:t>m</w:t>
            </w:r>
            <w:r>
              <w:rPr>
                <w:color w:val="auto"/>
              </w:rPr>
              <w:t>DN100</w:t>
            </w:r>
            <w:r>
              <w:rPr>
                <w:rFonts w:hint="eastAsia"/>
                <w:color w:val="auto"/>
              </w:rPr>
              <w:t>天然气管线接入退火炉，热退火炉位于全封闭式车间内，所有生产设备置于车间内，设备沿车间从西北向东南布设。本项目生产车间和公辅工程完全独立，满足生产功能需求</w:t>
            </w:r>
            <w:r>
              <w:rPr>
                <w:color w:val="auto"/>
              </w:rPr>
              <w:t>。</w:t>
            </w:r>
            <w:r>
              <w:rPr>
                <w:rFonts w:hint="eastAsia"/>
                <w:color w:val="auto"/>
              </w:rPr>
              <w:t>厂区构筑物的布局有利于降低污染物对周边环境的影响。厂区物流车辆流线不交叉，场区内车流清晰明确，物流顺畅，最大</w:t>
            </w:r>
            <w:r>
              <w:rPr>
                <w:rFonts w:hint="eastAsia"/>
                <w:color w:val="auto"/>
                <w:lang w:eastAsia="zh-CN"/>
              </w:rPr>
              <w:t>限度地降低了</w:t>
            </w:r>
            <w:r>
              <w:rPr>
                <w:rFonts w:hint="eastAsia"/>
                <w:color w:val="auto"/>
              </w:rPr>
              <w:t>车辆运行噪声、设备噪声对周边环境的影响。本项目总平面图详见附图</w:t>
            </w:r>
            <w:r>
              <w:rPr>
                <w:color w:val="auto"/>
              </w:rPr>
              <w:t>5</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268" w:type="pct"/>
            <w:tcBorders>
              <w:bottom w:val="single" w:color="auto" w:sz="4" w:space="0"/>
            </w:tcBorders>
            <w:vAlign w:val="center"/>
          </w:tcPr>
          <w:p>
            <w:pPr>
              <w:pStyle w:val="54"/>
              <w:rPr>
                <w:color w:val="auto"/>
              </w:rPr>
            </w:pPr>
            <w:r>
              <w:rPr>
                <w:rFonts w:hint="eastAsia"/>
                <w:color w:val="auto"/>
              </w:rPr>
              <w:t>工艺流程和产排污环节</w:t>
            </w:r>
          </w:p>
        </w:tc>
        <w:tc>
          <w:tcPr>
            <w:tcW w:w="4732" w:type="pct"/>
            <w:tcBorders>
              <w:bottom w:val="single" w:color="auto" w:sz="4" w:space="0"/>
            </w:tcBorders>
          </w:tcPr>
          <w:p>
            <w:pPr>
              <w:pStyle w:val="51"/>
              <w:spacing w:before="120" w:after="120"/>
              <w:rPr>
                <w:color w:val="auto"/>
              </w:rPr>
            </w:pPr>
            <w:r>
              <w:rPr>
                <w:rFonts w:hint="eastAsia"/>
                <w:color w:val="auto"/>
              </w:rPr>
              <w:t>2.2工艺流程图和产排污环节</w:t>
            </w:r>
          </w:p>
          <w:p>
            <w:pPr>
              <w:pStyle w:val="56"/>
              <w:spacing w:before="60" w:after="60"/>
              <w:rPr>
                <w:color w:val="auto"/>
              </w:rPr>
            </w:pPr>
            <w:r>
              <w:rPr>
                <w:rFonts w:hint="eastAsia"/>
                <w:color w:val="auto"/>
              </w:rPr>
              <w:t>2.2.1工艺流程</w:t>
            </w:r>
          </w:p>
          <w:p>
            <w:pPr>
              <w:ind w:firstLine="480"/>
              <w:rPr>
                <w:color w:val="auto"/>
              </w:rPr>
            </w:pPr>
            <w:r>
              <w:rPr>
                <w:rFonts w:hint="eastAsia"/>
                <w:color w:val="auto"/>
              </w:rPr>
              <w:t>本项目运营期工艺流程及产排污节点见下图：</w:t>
            </w:r>
          </w:p>
          <w:p>
            <w:pPr>
              <w:pStyle w:val="66"/>
              <w:rPr>
                <w:color w:val="auto"/>
              </w:rPr>
            </w:pPr>
            <w:r>
              <w:rPr>
                <w:color w:val="auto"/>
              </w:rPr>
              <w:object>
                <v:shape id="_x0000_i1026" o:spt="75" type="#_x0000_t75" style="height:570.55pt;width:395.3pt;" o:ole="t" filled="f" o:preferrelative="t" stroked="f" coordsize="21600,21600">
                  <v:path/>
                  <v:fill on="f" focussize="0,0"/>
                  <v:stroke on="f" joinstyle="miter"/>
                  <v:imagedata r:id="rId14" o:title=""/>
                  <o:lock v:ext="edit" aspectratio="t"/>
                  <w10:wrap type="none"/>
                  <w10:anchorlock/>
                </v:shape>
                <o:OLEObject Type="Embed" ProgID="Visio.Drawing.11" ShapeID="_x0000_i1026" DrawAspect="Content" ObjectID="_1468075726">
                  <o:LockedField>false</o:LockedField>
                </o:OLEObject>
              </w:object>
            </w:r>
            <w:r>
              <w:rPr>
                <w:rFonts w:hint="eastAsia"/>
                <w:color w:val="auto"/>
              </w:rPr>
              <w:t>图2</w:t>
            </w:r>
            <w:r>
              <w:rPr>
                <w:color w:val="auto"/>
              </w:rPr>
              <w:t xml:space="preserve">.2-1 </w:t>
            </w:r>
            <w:r>
              <w:rPr>
                <w:rFonts w:hint="eastAsia"/>
                <w:color w:val="auto"/>
              </w:rPr>
              <w:t>工艺流程及产污节点图</w:t>
            </w:r>
          </w:p>
          <w:p>
            <w:pPr>
              <w:pStyle w:val="63"/>
              <w:rPr>
                <w:color w:val="auto"/>
                <w:lang w:val="en-US"/>
              </w:rPr>
            </w:pPr>
          </w:p>
          <w:p>
            <w:pPr>
              <w:pStyle w:val="80"/>
              <w:ind w:firstLine="482"/>
              <w:rPr>
                <w:color w:val="auto"/>
              </w:rPr>
            </w:pPr>
            <w:r>
              <w:rPr>
                <w:color w:val="auto"/>
              </w:rPr>
              <w:t>工艺流程及产污环节简述：</w:t>
            </w:r>
          </w:p>
          <w:p>
            <w:pPr>
              <w:ind w:firstLine="480"/>
              <w:rPr>
                <w:color w:val="auto"/>
              </w:rPr>
            </w:pPr>
            <w:r>
              <w:rPr>
                <w:rFonts w:hint="eastAsia"/>
                <w:color w:val="auto"/>
              </w:rPr>
              <w:t>本次技改主要内容为：年产30万吨热退火酸洗生产线退火炉燃烧系统由焦炉煤气燃烧系统改造为天然气燃烧系统，</w:t>
            </w:r>
            <w:r>
              <w:rPr>
                <w:color w:val="auto"/>
              </w:rPr>
              <w:t>重新</w:t>
            </w:r>
            <w:r>
              <w:rPr>
                <w:rFonts w:hint="eastAsia"/>
                <w:color w:val="auto"/>
              </w:rPr>
              <w:t>设计</w:t>
            </w:r>
            <w:r>
              <w:rPr>
                <w:color w:val="auto"/>
              </w:rPr>
              <w:t>配置</w:t>
            </w:r>
            <w:r>
              <w:rPr>
                <w:rFonts w:hint="eastAsia"/>
                <w:color w:val="auto"/>
              </w:rPr>
              <w:t>并</w:t>
            </w:r>
            <w:r>
              <w:rPr>
                <w:color w:val="auto"/>
              </w:rPr>
              <w:t>安装</w:t>
            </w:r>
            <w:r>
              <w:rPr>
                <w:rFonts w:hint="eastAsia"/>
                <w:color w:val="auto"/>
              </w:rPr>
              <w:t>DN250</w:t>
            </w:r>
            <w:r>
              <w:rPr>
                <w:color w:val="auto"/>
              </w:rPr>
              <w:t>天然气</w:t>
            </w:r>
            <w:r>
              <w:rPr>
                <w:rFonts w:hint="eastAsia"/>
                <w:color w:val="auto"/>
              </w:rPr>
              <w:t>燃烧</w:t>
            </w:r>
            <w:r>
              <w:rPr>
                <w:color w:val="auto"/>
              </w:rPr>
              <w:t>系统</w:t>
            </w:r>
            <w:r>
              <w:rPr>
                <w:rFonts w:hint="eastAsia"/>
                <w:color w:val="auto"/>
              </w:rPr>
              <w:t>主管道</w:t>
            </w:r>
            <w:r>
              <w:rPr>
                <w:color w:val="auto"/>
              </w:rPr>
              <w:t>及</w:t>
            </w:r>
            <w:r>
              <w:rPr>
                <w:rFonts w:hint="eastAsia"/>
                <w:color w:val="auto"/>
              </w:rPr>
              <w:t>主调节阀组（包含</w:t>
            </w:r>
            <w:r>
              <w:rPr>
                <w:color w:val="auto"/>
              </w:rPr>
              <w:t>：</w:t>
            </w:r>
            <w:r>
              <w:rPr>
                <w:rFonts w:hint="eastAsia"/>
                <w:color w:val="auto"/>
              </w:rPr>
              <w:t>手动阀、盲板阀、</w:t>
            </w:r>
            <w:r>
              <w:rPr>
                <w:color w:val="auto"/>
              </w:rPr>
              <w:t>切断阀、</w:t>
            </w:r>
            <w:r>
              <w:rPr>
                <w:rFonts w:hint="eastAsia"/>
                <w:color w:val="auto"/>
              </w:rPr>
              <w:t>电动调</w:t>
            </w:r>
            <w:r>
              <w:rPr>
                <w:color w:val="auto"/>
              </w:rPr>
              <w:t>压阀</w:t>
            </w:r>
            <w:r>
              <w:rPr>
                <w:rFonts w:hint="eastAsia"/>
                <w:color w:val="auto"/>
              </w:rPr>
              <w:t>、手动阀</w:t>
            </w:r>
            <w:r>
              <w:rPr>
                <w:color w:val="auto"/>
              </w:rPr>
              <w:t>、</w:t>
            </w:r>
            <w:r>
              <w:rPr>
                <w:rFonts w:hint="eastAsia"/>
                <w:color w:val="auto"/>
              </w:rPr>
              <w:t>流量计等），</w:t>
            </w:r>
            <w:r>
              <w:rPr>
                <w:color w:val="auto"/>
              </w:rPr>
              <w:t>更换</w:t>
            </w:r>
            <w:r>
              <w:rPr>
                <w:rFonts w:hint="eastAsia"/>
                <w:color w:val="auto"/>
              </w:rPr>
              <w:t>66套</w:t>
            </w:r>
            <w:r>
              <w:rPr>
                <w:color w:val="auto"/>
              </w:rPr>
              <w:t>天然气烧嘴</w:t>
            </w:r>
            <w:r>
              <w:rPr>
                <w:rFonts w:hint="eastAsia"/>
                <w:color w:val="auto"/>
              </w:rPr>
              <w:t>内</w:t>
            </w:r>
            <w:r>
              <w:rPr>
                <w:color w:val="auto"/>
              </w:rPr>
              <w:t>部</w:t>
            </w:r>
            <w:r>
              <w:rPr>
                <w:rFonts w:hint="eastAsia"/>
                <w:color w:val="auto"/>
              </w:rPr>
              <w:t>燃烧</w:t>
            </w:r>
            <w:r>
              <w:rPr>
                <w:color w:val="auto"/>
              </w:rPr>
              <w:t>芯</w:t>
            </w:r>
            <w:r>
              <w:rPr>
                <w:rFonts w:hint="eastAsia"/>
                <w:color w:val="auto"/>
              </w:rPr>
              <w:t>（见附图2</w:t>
            </w:r>
            <w:r>
              <w:rPr>
                <w:color w:val="auto"/>
              </w:rPr>
              <w:t>）</w:t>
            </w:r>
            <w:r>
              <w:rPr>
                <w:rFonts w:hint="eastAsia"/>
                <w:color w:val="auto"/>
              </w:rPr>
              <w:t>，安装18组燃气</w:t>
            </w:r>
            <w:r>
              <w:rPr>
                <w:rFonts w:hint="eastAsia"/>
                <w:color w:val="auto"/>
                <w:lang w:eastAsia="zh-CN"/>
              </w:rPr>
              <w:t>过滤器</w:t>
            </w:r>
            <w:r>
              <w:rPr>
                <w:rFonts w:hint="eastAsia"/>
                <w:color w:val="auto"/>
              </w:rPr>
              <w:t>、燃气比例阀、空气调节阀，安装66组燃气电磁阀，安装3套氧含量检测控制系统，安装2套炉压传讯控制器。</w:t>
            </w:r>
          </w:p>
          <w:p>
            <w:pPr>
              <w:pStyle w:val="63"/>
              <w:rPr>
                <w:color w:val="auto"/>
              </w:rPr>
            </w:pPr>
            <w:r>
              <w:rPr>
                <w:rFonts w:hint="eastAsia"/>
                <w:color w:val="auto"/>
                <w:lang w:val="en-US" w:eastAsia="zh-CN"/>
              </w:rPr>
              <w:drawing>
                <wp:inline distT="0" distB="0" distL="114300" distR="114300">
                  <wp:extent cx="4849495" cy="1501140"/>
                  <wp:effectExtent l="19050" t="19050" r="27305" b="22860"/>
                  <wp:docPr id="2" name="图片 2" descr="dcd798d636ca215f59b33f955bf7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cd798d636ca215f59b33f955bf7bfb"/>
                          <pic:cNvPicPr>
                            <a:picLocks noChangeAspect="1"/>
                          </pic:cNvPicPr>
                        </pic:nvPicPr>
                        <pic:blipFill>
                          <a:blip r:embed="rId15"/>
                          <a:stretch>
                            <a:fillRect/>
                          </a:stretch>
                        </pic:blipFill>
                        <pic:spPr>
                          <a:xfrm>
                            <a:off x="0" y="0"/>
                            <a:ext cx="4865407" cy="1506177"/>
                          </a:xfrm>
                          <a:prstGeom prst="rect">
                            <a:avLst/>
                          </a:prstGeom>
                          <a:ln>
                            <a:solidFill>
                              <a:schemeClr val="tx1"/>
                            </a:solidFill>
                          </a:ln>
                        </pic:spPr>
                      </pic:pic>
                    </a:graphicData>
                  </a:graphic>
                </wp:inline>
              </w:drawing>
            </w:r>
          </w:p>
          <w:p>
            <w:pPr>
              <w:pStyle w:val="66"/>
              <w:rPr>
                <w:color w:val="auto"/>
              </w:rPr>
            </w:pPr>
            <w:r>
              <w:rPr>
                <w:rFonts w:hint="eastAsia"/>
                <w:color w:val="auto"/>
              </w:rPr>
              <w:t>图2</w:t>
            </w:r>
            <w:r>
              <w:rPr>
                <w:color w:val="auto"/>
              </w:rPr>
              <w:t xml:space="preserve">.2.1 </w:t>
            </w:r>
            <w:r>
              <w:rPr>
                <w:rFonts w:hint="eastAsia"/>
                <w:color w:val="auto"/>
              </w:rPr>
              <w:t>天</w:t>
            </w:r>
            <w:r>
              <w:rPr>
                <w:color w:val="auto"/>
              </w:rPr>
              <w:t>然气</w:t>
            </w:r>
            <w:r>
              <w:rPr>
                <w:rFonts w:hint="eastAsia"/>
                <w:color w:val="auto"/>
              </w:rPr>
              <w:t>燃烧系统主管道及主调节阀组PID图</w:t>
            </w:r>
          </w:p>
          <w:p>
            <w:pPr>
              <w:ind w:firstLine="480"/>
              <w:rPr>
                <w:color w:val="auto"/>
              </w:rPr>
            </w:pPr>
            <w:r>
              <w:rPr>
                <w:rFonts w:hint="eastAsia"/>
                <w:color w:val="auto"/>
              </w:rPr>
              <w:t>保证退火炉退火能力TV值90m/min.mm，并满足工艺速度Vmax35m/min稳定生产运行的退火充分条件，炉温T炉mxa1200℃，带钢温度(材温)T材mxa11</w:t>
            </w:r>
            <w:r>
              <w:rPr>
                <w:color w:val="auto"/>
              </w:rPr>
              <w:t>5</w:t>
            </w:r>
            <w:r>
              <w:rPr>
                <w:rFonts w:hint="eastAsia"/>
                <w:color w:val="auto"/>
              </w:rPr>
              <w:t>0℃，天然气主管路可自动/手动安全打开和切断，不低于66个烧嘴可现场和远程手动/自动控制点火、熄火，根据材温、工艺速度设定自动调整炉温和烧嘴功率，每区炉温也可人工间接调整；手动安全吹扫及排放天然气主管路，升级优化与天然气燃烧系统相匹配的自动化控制系统，炉尾炉压检测并基础手/自动调整控制，高温区氧含量检测三个点；最终实现退火炉退火能力，与带钢各规格、速度相匹配的炉温、材温、产品性能，吨钢天然气消耗（正常生产期间）不高于行业同类型退火炉值，以及生产能力等达到相关要求。对不可利旧不再使用的原焦炉煤气烧嘴进行科学合理有效方法措施封堵，并保证原安装烧嘴附件的炉壳在后期生产过程不出现被烧红现象。同时拆除部分焦炉煤气管线。</w:t>
            </w:r>
          </w:p>
          <w:p>
            <w:pPr>
              <w:ind w:firstLine="480"/>
              <w:rPr>
                <w:color w:val="auto"/>
              </w:rPr>
            </w:pPr>
            <w:r>
              <w:rPr>
                <w:rFonts w:hint="eastAsia"/>
                <w:color w:val="auto"/>
              </w:rPr>
              <w:t>由于本次技改仅涉及热退火炉燃烧系统，不改变后端工序抛丸、酸洗、烘干等现有生产工艺，故本次技改工艺流程较为简单，天然气燃烧烟气</w:t>
            </w:r>
            <w:r>
              <w:rPr>
                <w:color w:val="auto"/>
              </w:rPr>
              <w:t>经管道全部引入热风干燥工段作为热源，高压风机吹入的空气在换热器内和退火炉烟气进行热交换后预热至120℃用于对带钢表面水蒸气进行干燥</w:t>
            </w:r>
            <w:r>
              <w:rPr>
                <w:rFonts w:hint="eastAsia"/>
                <w:color w:val="auto"/>
              </w:rPr>
              <w:t>，最后经直径为800mm、高18m的</w:t>
            </w:r>
            <w:r>
              <w:rPr>
                <w:color w:val="auto"/>
              </w:rPr>
              <w:t>DA003</w:t>
            </w:r>
            <w:r>
              <w:rPr>
                <w:rFonts w:hint="eastAsia"/>
                <w:color w:val="auto"/>
              </w:rPr>
              <w:t>废气排放口排放。</w:t>
            </w:r>
          </w:p>
          <w:p>
            <w:pPr>
              <w:pStyle w:val="56"/>
              <w:spacing w:before="60" w:after="60"/>
              <w:rPr>
                <w:color w:val="auto"/>
              </w:rPr>
            </w:pPr>
            <w:r>
              <w:rPr>
                <w:rFonts w:hint="eastAsia"/>
                <w:color w:val="auto"/>
              </w:rPr>
              <w:t>2.2.2污染工序识别</w:t>
            </w:r>
          </w:p>
          <w:p>
            <w:pPr>
              <w:ind w:firstLine="480"/>
              <w:rPr>
                <w:color w:val="auto"/>
              </w:rPr>
            </w:pPr>
            <w:r>
              <w:rPr>
                <w:rFonts w:hint="eastAsia"/>
                <w:color w:val="auto"/>
              </w:rPr>
              <w:t>本项目营运期影响因子识别如下：</w:t>
            </w:r>
          </w:p>
          <w:p>
            <w:pPr>
              <w:pStyle w:val="66"/>
              <w:rPr>
                <w:color w:val="auto"/>
              </w:rPr>
            </w:pPr>
            <w:r>
              <w:rPr>
                <w:color w:val="auto"/>
              </w:rPr>
              <w:t>表</w:t>
            </w:r>
            <w:r>
              <w:rPr>
                <w:rFonts w:hint="eastAsia"/>
                <w:color w:val="auto"/>
              </w:rPr>
              <w:t>2</w:t>
            </w:r>
            <w:r>
              <w:rPr>
                <w:color w:val="auto"/>
              </w:rPr>
              <w:t>.2-1 运营期主要污染工序一览表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278"/>
              <w:gridCol w:w="2240"/>
              <w:gridCol w:w="3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pct"/>
                  <w:vAlign w:val="center"/>
                </w:tcPr>
                <w:p>
                  <w:pPr>
                    <w:pStyle w:val="63"/>
                    <w:rPr>
                      <w:color w:val="auto"/>
                    </w:rPr>
                  </w:pPr>
                  <w:r>
                    <w:rPr>
                      <w:color w:val="auto"/>
                    </w:rPr>
                    <w:t>污染源类别</w:t>
                  </w:r>
                </w:p>
              </w:tc>
              <w:tc>
                <w:tcPr>
                  <w:tcW w:w="815" w:type="pct"/>
                  <w:vAlign w:val="center"/>
                </w:tcPr>
                <w:p>
                  <w:pPr>
                    <w:pStyle w:val="63"/>
                    <w:rPr>
                      <w:color w:val="auto"/>
                      <w:lang w:eastAsia="zh-CN"/>
                    </w:rPr>
                  </w:pPr>
                  <w:r>
                    <w:rPr>
                      <w:color w:val="auto"/>
                    </w:rPr>
                    <w:t>污染</w:t>
                  </w:r>
                  <w:r>
                    <w:rPr>
                      <w:rFonts w:hint="eastAsia"/>
                      <w:color w:val="auto"/>
                      <w:lang w:eastAsia="zh-CN"/>
                    </w:rPr>
                    <w:t>物</w:t>
                  </w:r>
                </w:p>
              </w:tc>
              <w:tc>
                <w:tcPr>
                  <w:tcW w:w="1428" w:type="pct"/>
                  <w:vAlign w:val="center"/>
                </w:tcPr>
                <w:p>
                  <w:pPr>
                    <w:pStyle w:val="63"/>
                    <w:rPr>
                      <w:color w:val="auto"/>
                    </w:rPr>
                  </w:pPr>
                  <w:r>
                    <w:rPr>
                      <w:color w:val="auto"/>
                    </w:rPr>
                    <w:t>产生工序</w:t>
                  </w:r>
                </w:p>
              </w:tc>
              <w:tc>
                <w:tcPr>
                  <w:tcW w:w="2054" w:type="pct"/>
                  <w:vAlign w:val="center"/>
                </w:tcPr>
                <w:p>
                  <w:pPr>
                    <w:pStyle w:val="63"/>
                    <w:rPr>
                      <w:color w:val="auto"/>
                    </w:rPr>
                  </w:pPr>
                  <w:r>
                    <w:rPr>
                      <w:color w:val="auto"/>
                    </w:rPr>
                    <w:t>主要污染因子或污染物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pct"/>
                  <w:vAlign w:val="center"/>
                </w:tcPr>
                <w:p>
                  <w:pPr>
                    <w:pStyle w:val="63"/>
                    <w:rPr>
                      <w:color w:val="auto"/>
                    </w:rPr>
                  </w:pPr>
                  <w:r>
                    <w:rPr>
                      <w:color w:val="auto"/>
                    </w:rPr>
                    <w:t>废气</w:t>
                  </w:r>
                </w:p>
              </w:tc>
              <w:tc>
                <w:tcPr>
                  <w:tcW w:w="815" w:type="pct"/>
                  <w:vAlign w:val="center"/>
                </w:tcPr>
                <w:p>
                  <w:pPr>
                    <w:pStyle w:val="63"/>
                    <w:rPr>
                      <w:color w:val="auto"/>
                      <w:lang w:eastAsia="zh-CN"/>
                    </w:rPr>
                  </w:pPr>
                  <w:r>
                    <w:rPr>
                      <w:rFonts w:hint="eastAsia"/>
                      <w:color w:val="auto"/>
                      <w:lang w:eastAsia="zh-CN"/>
                    </w:rPr>
                    <w:t>燃烧废气</w:t>
                  </w:r>
                </w:p>
              </w:tc>
              <w:tc>
                <w:tcPr>
                  <w:tcW w:w="1428" w:type="pct"/>
                  <w:vAlign w:val="center"/>
                </w:tcPr>
                <w:p>
                  <w:pPr>
                    <w:pStyle w:val="63"/>
                    <w:rPr>
                      <w:color w:val="auto"/>
                      <w:lang w:eastAsia="zh-CN"/>
                    </w:rPr>
                  </w:pPr>
                  <w:r>
                    <w:rPr>
                      <w:rFonts w:hint="eastAsia"/>
                      <w:color w:val="auto"/>
                      <w:lang w:eastAsia="zh-CN"/>
                    </w:rPr>
                    <w:t>热退火炉</w:t>
                  </w:r>
                </w:p>
              </w:tc>
              <w:tc>
                <w:tcPr>
                  <w:tcW w:w="2054" w:type="pct"/>
                  <w:vAlign w:val="center"/>
                </w:tcPr>
                <w:p>
                  <w:pPr>
                    <w:pStyle w:val="63"/>
                    <w:rPr>
                      <w:color w:val="auto"/>
                      <w:lang w:eastAsia="zh-CN"/>
                    </w:rPr>
                  </w:pPr>
                  <w:r>
                    <w:rPr>
                      <w:rFonts w:hint="eastAsia"/>
                      <w:color w:val="auto"/>
                      <w:lang w:eastAsia="zh-CN"/>
                    </w:rPr>
                    <w:t>颗粒物、二氧化硫、氮氧化物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pct"/>
                  <w:vAlign w:val="center"/>
                </w:tcPr>
                <w:p>
                  <w:pPr>
                    <w:pStyle w:val="63"/>
                    <w:rPr>
                      <w:color w:val="auto"/>
                    </w:rPr>
                  </w:pPr>
                  <w:r>
                    <w:rPr>
                      <w:color w:val="auto"/>
                    </w:rPr>
                    <w:t>噪声</w:t>
                  </w:r>
                </w:p>
              </w:tc>
              <w:tc>
                <w:tcPr>
                  <w:tcW w:w="815" w:type="pct"/>
                  <w:vAlign w:val="center"/>
                </w:tcPr>
                <w:p>
                  <w:pPr>
                    <w:pStyle w:val="63"/>
                    <w:rPr>
                      <w:color w:val="auto"/>
                    </w:rPr>
                  </w:pPr>
                  <w:r>
                    <w:rPr>
                      <w:color w:val="auto"/>
                    </w:rPr>
                    <w:t>噪声</w:t>
                  </w:r>
                </w:p>
              </w:tc>
              <w:tc>
                <w:tcPr>
                  <w:tcW w:w="1428" w:type="pct"/>
                  <w:vAlign w:val="center"/>
                </w:tcPr>
                <w:p>
                  <w:pPr>
                    <w:pStyle w:val="63"/>
                    <w:rPr>
                      <w:color w:val="auto"/>
                    </w:rPr>
                  </w:pPr>
                  <w:r>
                    <w:rPr>
                      <w:rFonts w:hint="eastAsia"/>
                      <w:color w:val="auto"/>
                      <w:lang w:eastAsia="zh-CN"/>
                    </w:rPr>
                    <w:t>高压风机、排放口风机</w:t>
                  </w:r>
                </w:p>
              </w:tc>
              <w:tc>
                <w:tcPr>
                  <w:tcW w:w="2054" w:type="pct"/>
                  <w:vAlign w:val="center"/>
                </w:tcPr>
                <w:p>
                  <w:pPr>
                    <w:pStyle w:val="63"/>
                    <w:rPr>
                      <w:color w:val="auto"/>
                      <w:lang w:val="en-US" w:eastAsia="zh-CN"/>
                    </w:rPr>
                  </w:pPr>
                  <w:r>
                    <w:rPr>
                      <w:rFonts w:hint="eastAsia"/>
                      <w:color w:val="auto"/>
                      <w:lang w:val="en-US" w:eastAsia="zh-CN"/>
                    </w:rPr>
                    <w:t>L</w:t>
                  </w:r>
                  <w:r>
                    <w:rPr>
                      <w:color w:val="auto"/>
                      <w:lang w:val="en-US" w:eastAsia="zh-CN"/>
                    </w:rPr>
                    <w:t>eq</w:t>
                  </w:r>
                  <w:r>
                    <w:rPr>
                      <w:rFonts w:hint="eastAsia"/>
                      <w:color w:val="auto"/>
                      <w:lang w:val="en-US" w:eastAsia="zh-CN"/>
                    </w:rPr>
                    <w:t>（A）</w:t>
                  </w:r>
                </w:p>
              </w:tc>
            </w:tr>
          </w:tbl>
          <w:p>
            <w:pPr>
              <w:ind w:firstLine="0" w:firstLineChars="0"/>
              <w:rPr>
                <w:color w:val="auto"/>
              </w:rPr>
            </w:pPr>
            <w:r>
              <w:rPr>
                <w:rFonts w:hint="eastAsia"/>
                <w:color w:val="auto"/>
              </w:rPr>
              <w:t xml:space="preserve"> </w:t>
            </w:r>
            <w:r>
              <w:rPr>
                <w:color w:val="auto"/>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68" w:type="pct"/>
            <w:vAlign w:val="center"/>
          </w:tcPr>
          <w:p>
            <w:pPr>
              <w:pStyle w:val="54"/>
              <w:rPr>
                <w:color w:val="auto"/>
              </w:rPr>
            </w:pPr>
            <w:r>
              <w:rPr>
                <w:rFonts w:hint="eastAsia"/>
                <w:color w:val="auto"/>
              </w:rPr>
              <w:t>与项目有关的原有环境污染问题</w:t>
            </w:r>
          </w:p>
        </w:tc>
        <w:tc>
          <w:tcPr>
            <w:tcW w:w="4732" w:type="pct"/>
          </w:tcPr>
          <w:p>
            <w:pPr>
              <w:pStyle w:val="51"/>
              <w:spacing w:before="120" w:after="120"/>
              <w:rPr>
                <w:color w:val="auto"/>
              </w:rPr>
            </w:pPr>
            <w:r>
              <w:rPr>
                <w:rFonts w:hint="eastAsia"/>
                <w:color w:val="auto"/>
              </w:rPr>
              <w:t>2</w:t>
            </w:r>
            <w:r>
              <w:rPr>
                <w:color w:val="auto"/>
              </w:rPr>
              <w:t>.3</w:t>
            </w:r>
            <w:r>
              <w:rPr>
                <w:rFonts w:hint="eastAsia"/>
                <w:color w:val="auto"/>
              </w:rPr>
              <w:t>与项目有关的原有环境污染问题</w:t>
            </w:r>
          </w:p>
          <w:p>
            <w:pPr>
              <w:ind w:firstLine="480"/>
              <w:rPr>
                <w:color w:val="auto"/>
              </w:rPr>
            </w:pPr>
            <w:r>
              <w:rPr>
                <w:rFonts w:hint="eastAsia"/>
                <w:bCs/>
                <w:color w:val="auto"/>
              </w:rPr>
              <w:t>师宗县沃莱迪金属材料有限公司在天高镍业公司内共设置了3个项目，分别为：</w:t>
            </w:r>
            <w:r>
              <w:rPr>
                <w:rFonts w:hint="eastAsia"/>
                <w:color w:val="auto"/>
              </w:rPr>
              <w:t>年产1</w:t>
            </w:r>
            <w:r>
              <w:rPr>
                <w:color w:val="auto"/>
              </w:rPr>
              <w:t>40</w:t>
            </w:r>
            <w:r>
              <w:rPr>
                <w:rFonts w:hint="eastAsia"/>
                <w:color w:val="auto"/>
              </w:rPr>
              <w:t>万吨热轧生产线建设项目、年产3</w:t>
            </w:r>
            <w:r>
              <w:rPr>
                <w:color w:val="auto"/>
              </w:rPr>
              <w:t>0</w:t>
            </w:r>
            <w:r>
              <w:rPr>
                <w:rFonts w:hint="eastAsia"/>
                <w:color w:val="auto"/>
              </w:rPr>
              <w:t>万吨热退火酸洗生产线建设项目、不锈钢卷隧道式退火炉建设项目。</w:t>
            </w:r>
          </w:p>
          <w:p>
            <w:pPr>
              <w:ind w:firstLine="480"/>
              <w:rPr>
                <w:color w:val="auto"/>
              </w:rPr>
            </w:pPr>
            <w:r>
              <w:rPr>
                <w:rFonts w:hint="eastAsia"/>
                <w:color w:val="auto"/>
              </w:rPr>
              <w:t>其中年产1</w:t>
            </w:r>
            <w:r>
              <w:rPr>
                <w:color w:val="auto"/>
              </w:rPr>
              <w:t>40</w:t>
            </w:r>
            <w:r>
              <w:rPr>
                <w:rFonts w:hint="eastAsia"/>
                <w:color w:val="auto"/>
              </w:rPr>
              <w:t>万吨热轧生产线建设项目、不锈钢卷隧道式退火炉建设项目均为独立的项目，与本项目无太大的关联。年产3</w:t>
            </w:r>
            <w:r>
              <w:rPr>
                <w:color w:val="auto"/>
              </w:rPr>
              <w:t>0</w:t>
            </w:r>
            <w:r>
              <w:rPr>
                <w:rFonts w:hint="eastAsia"/>
                <w:color w:val="auto"/>
              </w:rPr>
              <w:t>万吨热退火酸洗生产线建设项目为本次技改的对象。</w:t>
            </w:r>
          </w:p>
          <w:p>
            <w:pPr>
              <w:ind w:firstLine="480"/>
              <w:rPr>
                <w:color w:val="auto"/>
              </w:rPr>
            </w:pPr>
            <w:r>
              <w:rPr>
                <w:rFonts w:hint="eastAsia"/>
                <w:color w:val="auto"/>
              </w:rPr>
              <w:t>鉴于</w:t>
            </w:r>
            <w:r>
              <w:rPr>
                <w:rFonts w:hint="eastAsia"/>
                <w:bCs/>
                <w:color w:val="auto"/>
              </w:rPr>
              <w:t>师宗县沃莱迪金属材料有限公司现有</w:t>
            </w:r>
            <w:r>
              <w:rPr>
                <w:rFonts w:hint="eastAsia"/>
                <w:color w:val="auto"/>
              </w:rPr>
              <w:t>排污许可证废气许可总量包含了上述三个项目，全厂“三本账”核算需要</w:t>
            </w:r>
            <w:r>
              <w:rPr>
                <w:rFonts w:hint="eastAsia"/>
                <w:color w:val="auto"/>
                <w:lang w:eastAsia="zh-CN"/>
              </w:rPr>
              <w:t>清理</w:t>
            </w:r>
            <w:r>
              <w:rPr>
                <w:rFonts w:hint="eastAsia"/>
                <w:color w:val="auto"/>
              </w:rPr>
              <w:t>全厂所有项目有组织废气污染物排放情况，以及本次技改项目氮氧化物排放总量指标需从全厂角度来调配。因此本节分析内容也包含年产1</w:t>
            </w:r>
            <w:r>
              <w:rPr>
                <w:color w:val="auto"/>
              </w:rPr>
              <w:t>40</w:t>
            </w:r>
            <w:r>
              <w:rPr>
                <w:rFonts w:hint="eastAsia"/>
                <w:color w:val="auto"/>
              </w:rPr>
              <w:t>万吨热轧生产线建设项目、年产3</w:t>
            </w:r>
            <w:r>
              <w:rPr>
                <w:color w:val="auto"/>
              </w:rPr>
              <w:t>0</w:t>
            </w:r>
            <w:r>
              <w:rPr>
                <w:rFonts w:hint="eastAsia"/>
                <w:color w:val="auto"/>
              </w:rPr>
              <w:t>万吨热退火酸洗生产线建设项目。</w:t>
            </w:r>
          </w:p>
          <w:p>
            <w:pPr>
              <w:pStyle w:val="56"/>
              <w:spacing w:before="60" w:after="60"/>
              <w:rPr>
                <w:color w:val="auto"/>
              </w:rPr>
            </w:pPr>
            <w:r>
              <w:rPr>
                <w:color w:val="auto"/>
              </w:rPr>
              <w:t>2.3.1</w:t>
            </w:r>
            <w:r>
              <w:rPr>
                <w:rFonts w:hint="eastAsia"/>
                <w:color w:val="auto"/>
              </w:rPr>
              <w:t>现有工程履行环境影响评价情况</w:t>
            </w:r>
          </w:p>
          <w:p>
            <w:pPr>
              <w:ind w:firstLine="480"/>
              <w:rPr>
                <w:color w:val="auto"/>
              </w:rPr>
            </w:pPr>
            <w:r>
              <w:rPr>
                <w:rFonts w:hint="eastAsia"/>
                <w:color w:val="auto"/>
              </w:rPr>
              <w:t>与本项目有关的现有工程环境影响评价手续办理情况见下表：</w:t>
            </w:r>
          </w:p>
          <w:p>
            <w:pPr>
              <w:pStyle w:val="66"/>
              <w:rPr>
                <w:color w:val="auto"/>
              </w:rPr>
            </w:pPr>
            <w:r>
              <w:rPr>
                <w:rFonts w:hint="eastAsia"/>
                <w:color w:val="auto"/>
              </w:rPr>
              <w:t>表2</w:t>
            </w:r>
            <w:r>
              <w:rPr>
                <w:color w:val="auto"/>
              </w:rPr>
              <w:t xml:space="preserve">.3-1 </w:t>
            </w:r>
            <w:r>
              <w:rPr>
                <w:rFonts w:hint="eastAsia"/>
                <w:color w:val="auto"/>
              </w:rPr>
              <w:t>现有工程环评手续一览表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127"/>
              <w:gridCol w:w="3260"/>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80" w:type="dxa"/>
                  <w:vAlign w:val="center"/>
                </w:tcPr>
                <w:p>
                  <w:pPr>
                    <w:pStyle w:val="63"/>
                    <w:rPr>
                      <w:color w:val="auto"/>
                    </w:rPr>
                  </w:pPr>
                  <w:r>
                    <w:rPr>
                      <w:rFonts w:hint="eastAsia"/>
                      <w:color w:val="auto"/>
                      <w:lang w:eastAsia="zh-CN"/>
                    </w:rPr>
                    <w:t>序号</w:t>
                  </w:r>
                </w:p>
              </w:tc>
              <w:tc>
                <w:tcPr>
                  <w:tcW w:w="2127" w:type="dxa"/>
                  <w:vAlign w:val="center"/>
                </w:tcPr>
                <w:p>
                  <w:pPr>
                    <w:pStyle w:val="63"/>
                    <w:rPr>
                      <w:color w:val="auto"/>
                    </w:rPr>
                  </w:pPr>
                  <w:r>
                    <w:rPr>
                      <w:rFonts w:hint="eastAsia"/>
                      <w:color w:val="auto"/>
                      <w:lang w:eastAsia="zh-CN"/>
                    </w:rPr>
                    <w:t>项目名称</w:t>
                  </w:r>
                </w:p>
              </w:tc>
              <w:tc>
                <w:tcPr>
                  <w:tcW w:w="3260" w:type="dxa"/>
                  <w:vAlign w:val="center"/>
                </w:tcPr>
                <w:p>
                  <w:pPr>
                    <w:pStyle w:val="63"/>
                    <w:rPr>
                      <w:color w:val="auto"/>
                    </w:rPr>
                  </w:pPr>
                  <w:r>
                    <w:rPr>
                      <w:rFonts w:hint="eastAsia"/>
                      <w:color w:val="auto"/>
                      <w:lang w:eastAsia="zh-CN"/>
                    </w:rPr>
                    <w:t>批复文号</w:t>
                  </w:r>
                </w:p>
              </w:tc>
              <w:tc>
                <w:tcPr>
                  <w:tcW w:w="1768" w:type="dxa"/>
                  <w:vAlign w:val="center"/>
                </w:tcPr>
                <w:p>
                  <w:pPr>
                    <w:pStyle w:val="63"/>
                    <w:rPr>
                      <w:color w:val="auto"/>
                    </w:rPr>
                  </w:pPr>
                  <w:r>
                    <w:rPr>
                      <w:rFonts w:hint="eastAsia"/>
                      <w:color w:val="auto"/>
                      <w:lang w:eastAsia="zh-CN"/>
                    </w:rPr>
                    <w:t>批复时间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80" w:type="dxa"/>
                  <w:vAlign w:val="center"/>
                </w:tcPr>
                <w:p>
                  <w:pPr>
                    <w:pStyle w:val="63"/>
                    <w:rPr>
                      <w:color w:val="auto"/>
                      <w:lang w:eastAsia="zh-CN"/>
                    </w:rPr>
                  </w:pPr>
                  <w:r>
                    <w:rPr>
                      <w:rFonts w:hint="eastAsia"/>
                      <w:color w:val="auto"/>
                      <w:lang w:eastAsia="zh-CN"/>
                    </w:rPr>
                    <w:t>1</w:t>
                  </w:r>
                </w:p>
              </w:tc>
              <w:tc>
                <w:tcPr>
                  <w:tcW w:w="2127" w:type="dxa"/>
                  <w:vAlign w:val="center"/>
                </w:tcPr>
                <w:p>
                  <w:pPr>
                    <w:pStyle w:val="63"/>
                    <w:rPr>
                      <w:color w:val="auto"/>
                    </w:rPr>
                  </w:pPr>
                  <w:r>
                    <w:rPr>
                      <w:rFonts w:hint="eastAsia"/>
                      <w:color w:val="auto"/>
                      <w:lang w:val="en-US"/>
                    </w:rPr>
                    <w:t>年产1</w:t>
                  </w:r>
                  <w:r>
                    <w:rPr>
                      <w:color w:val="auto"/>
                      <w:lang w:val="en-US"/>
                    </w:rPr>
                    <w:t>40</w:t>
                  </w:r>
                  <w:r>
                    <w:rPr>
                      <w:rFonts w:hint="eastAsia"/>
                      <w:color w:val="auto"/>
                      <w:lang w:val="en-US"/>
                    </w:rPr>
                    <w:t>万吨热轧生产线建设项目</w:t>
                  </w:r>
                </w:p>
              </w:tc>
              <w:tc>
                <w:tcPr>
                  <w:tcW w:w="3260" w:type="dxa"/>
                  <w:vAlign w:val="center"/>
                </w:tcPr>
                <w:p>
                  <w:pPr>
                    <w:pStyle w:val="63"/>
                    <w:rPr>
                      <w:color w:val="auto"/>
                    </w:rPr>
                  </w:pPr>
                  <w:r>
                    <w:rPr>
                      <w:rFonts w:hint="eastAsia"/>
                      <w:color w:val="auto"/>
                      <w:lang w:val="en-US" w:eastAsia="zh-CN"/>
                    </w:rPr>
                    <w:t>师宗县环境保护局《关于对师宗县沃莱迪金属材料有限公司年产1</w:t>
                  </w:r>
                  <w:r>
                    <w:rPr>
                      <w:color w:val="auto"/>
                      <w:lang w:val="en-US" w:eastAsia="zh-CN"/>
                    </w:rPr>
                    <w:t>40</w:t>
                  </w:r>
                  <w:r>
                    <w:rPr>
                      <w:rFonts w:hint="eastAsia"/>
                      <w:color w:val="auto"/>
                      <w:lang w:val="en-US" w:eastAsia="zh-CN"/>
                    </w:rPr>
                    <w:t>万吨热轧生产线建设项目环境影响报告表的批复》（</w:t>
                  </w:r>
                  <w:r>
                    <w:rPr>
                      <w:rFonts w:hint="eastAsia"/>
                      <w:color w:val="auto"/>
                      <w:lang w:val="en-US"/>
                    </w:rPr>
                    <w:t>师环审〔2</w:t>
                  </w:r>
                  <w:r>
                    <w:rPr>
                      <w:color w:val="auto"/>
                      <w:lang w:val="en-US"/>
                    </w:rPr>
                    <w:t>019</w:t>
                  </w:r>
                  <w:r>
                    <w:rPr>
                      <w:rFonts w:hint="eastAsia"/>
                      <w:color w:val="auto"/>
                      <w:lang w:val="en-US"/>
                    </w:rPr>
                    <w:t>〕</w:t>
                  </w:r>
                  <w:r>
                    <w:rPr>
                      <w:color w:val="auto"/>
                      <w:lang w:val="en-US"/>
                    </w:rPr>
                    <w:t>9</w:t>
                  </w:r>
                  <w:r>
                    <w:rPr>
                      <w:rFonts w:hint="eastAsia"/>
                      <w:color w:val="auto"/>
                      <w:lang w:val="en-US"/>
                    </w:rPr>
                    <w:t>号</w:t>
                  </w:r>
                  <w:r>
                    <w:rPr>
                      <w:rFonts w:hint="eastAsia"/>
                      <w:color w:val="auto"/>
                      <w:lang w:val="en-US" w:eastAsia="zh-CN"/>
                    </w:rPr>
                    <w:t>）</w:t>
                  </w:r>
                </w:p>
              </w:tc>
              <w:tc>
                <w:tcPr>
                  <w:tcW w:w="1768" w:type="dxa"/>
                  <w:vAlign w:val="center"/>
                </w:tcPr>
                <w:p>
                  <w:pPr>
                    <w:pStyle w:val="63"/>
                    <w:rPr>
                      <w:color w:val="auto"/>
                    </w:rPr>
                  </w:pPr>
                  <w:r>
                    <w:rPr>
                      <w:rFonts w:hint="eastAsia"/>
                      <w:color w:val="auto"/>
                      <w:lang w:val="en-US"/>
                    </w:rPr>
                    <w:t>2</w:t>
                  </w:r>
                  <w:r>
                    <w:rPr>
                      <w:color w:val="auto"/>
                      <w:lang w:val="en-US"/>
                    </w:rPr>
                    <w:t>019</w:t>
                  </w:r>
                  <w:r>
                    <w:rPr>
                      <w:rFonts w:hint="eastAsia"/>
                      <w:color w:val="auto"/>
                      <w:lang w:val="en-US"/>
                    </w:rPr>
                    <w:t>年</w:t>
                  </w:r>
                  <w:r>
                    <w:rPr>
                      <w:color w:val="auto"/>
                      <w:lang w:val="en-US"/>
                    </w:rPr>
                    <w:t>3</w:t>
                  </w:r>
                  <w:r>
                    <w:rPr>
                      <w:rFonts w:hint="eastAsia"/>
                      <w:color w:val="auto"/>
                      <w:lang w:val="en-US"/>
                    </w:rPr>
                    <w:t>月</w:t>
                  </w:r>
                  <w:r>
                    <w:rPr>
                      <w:color w:val="auto"/>
                      <w:lang w:val="en-US"/>
                    </w:rPr>
                    <w:t>28</w:t>
                  </w:r>
                  <w:r>
                    <w:rPr>
                      <w:rFonts w:hint="eastAsia"/>
                      <w:color w:val="auto"/>
                      <w:lang w:val="en-U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80" w:type="dxa"/>
                  <w:vAlign w:val="center"/>
                </w:tcPr>
                <w:p>
                  <w:pPr>
                    <w:pStyle w:val="63"/>
                    <w:rPr>
                      <w:color w:val="auto"/>
                      <w:lang w:eastAsia="zh-CN"/>
                    </w:rPr>
                  </w:pPr>
                  <w:r>
                    <w:rPr>
                      <w:rFonts w:hint="eastAsia"/>
                      <w:color w:val="auto"/>
                      <w:lang w:eastAsia="zh-CN"/>
                    </w:rPr>
                    <w:t>2</w:t>
                  </w:r>
                </w:p>
              </w:tc>
              <w:tc>
                <w:tcPr>
                  <w:tcW w:w="2127" w:type="dxa"/>
                  <w:vAlign w:val="center"/>
                </w:tcPr>
                <w:p>
                  <w:pPr>
                    <w:pStyle w:val="63"/>
                    <w:rPr>
                      <w:color w:val="auto"/>
                    </w:rPr>
                  </w:pPr>
                  <w:r>
                    <w:rPr>
                      <w:rFonts w:hint="eastAsia"/>
                      <w:color w:val="auto"/>
                      <w:lang w:val="en-US"/>
                    </w:rPr>
                    <w:t>年产3</w:t>
                  </w:r>
                  <w:r>
                    <w:rPr>
                      <w:color w:val="auto"/>
                      <w:lang w:val="en-US"/>
                    </w:rPr>
                    <w:t>0</w:t>
                  </w:r>
                  <w:r>
                    <w:rPr>
                      <w:rFonts w:hint="eastAsia"/>
                      <w:color w:val="auto"/>
                      <w:lang w:val="en-US"/>
                    </w:rPr>
                    <w:t>万吨热退火酸洗生产线建设项目</w:t>
                  </w:r>
                </w:p>
              </w:tc>
              <w:tc>
                <w:tcPr>
                  <w:tcW w:w="3260" w:type="dxa"/>
                  <w:vAlign w:val="center"/>
                </w:tcPr>
                <w:p>
                  <w:pPr>
                    <w:pStyle w:val="63"/>
                    <w:rPr>
                      <w:color w:val="auto"/>
                    </w:rPr>
                  </w:pPr>
                  <w:r>
                    <w:rPr>
                      <w:rFonts w:hint="eastAsia"/>
                      <w:color w:val="auto"/>
                      <w:lang w:val="en-US" w:eastAsia="zh-CN"/>
                    </w:rPr>
                    <w:t>曲靖市生态环境局师宗分局《关于对</w:t>
                  </w:r>
                  <w:r>
                    <w:rPr>
                      <w:rFonts w:hint="eastAsia"/>
                      <w:color w:val="auto"/>
                      <w:lang w:val="en-US"/>
                    </w:rPr>
                    <w:t>年产3</w:t>
                  </w:r>
                  <w:r>
                    <w:rPr>
                      <w:color w:val="auto"/>
                      <w:lang w:val="en-US"/>
                    </w:rPr>
                    <w:t>0</w:t>
                  </w:r>
                  <w:r>
                    <w:rPr>
                      <w:rFonts w:hint="eastAsia"/>
                      <w:color w:val="auto"/>
                      <w:lang w:val="en-US"/>
                    </w:rPr>
                    <w:t>万吨热退火酸洗生产线建设项目</w:t>
                  </w:r>
                  <w:r>
                    <w:rPr>
                      <w:rFonts w:hint="eastAsia"/>
                      <w:color w:val="auto"/>
                      <w:lang w:val="en-US" w:eastAsia="zh-CN"/>
                    </w:rPr>
                    <w:t>环境影响报告表的批复》（</w:t>
                  </w:r>
                  <w:r>
                    <w:rPr>
                      <w:rFonts w:hint="eastAsia"/>
                      <w:color w:val="auto"/>
                      <w:lang w:val="en-US"/>
                    </w:rPr>
                    <w:t>曲师环审〔2</w:t>
                  </w:r>
                  <w:r>
                    <w:rPr>
                      <w:color w:val="auto"/>
                      <w:lang w:val="en-US"/>
                    </w:rPr>
                    <w:t>019</w:t>
                  </w:r>
                  <w:r>
                    <w:rPr>
                      <w:rFonts w:hint="eastAsia"/>
                      <w:color w:val="auto"/>
                      <w:lang w:val="en-US"/>
                    </w:rPr>
                    <w:t>〕</w:t>
                  </w:r>
                  <w:r>
                    <w:rPr>
                      <w:color w:val="auto"/>
                      <w:lang w:val="en-US"/>
                    </w:rPr>
                    <w:t>14</w:t>
                  </w:r>
                  <w:r>
                    <w:rPr>
                      <w:rFonts w:hint="eastAsia"/>
                      <w:color w:val="auto"/>
                      <w:lang w:val="en-US"/>
                    </w:rPr>
                    <w:t>号</w:t>
                  </w:r>
                  <w:r>
                    <w:rPr>
                      <w:rFonts w:hint="eastAsia"/>
                      <w:color w:val="auto"/>
                      <w:lang w:val="en-US" w:eastAsia="zh-CN"/>
                    </w:rPr>
                    <w:t>）</w:t>
                  </w:r>
                </w:p>
              </w:tc>
              <w:tc>
                <w:tcPr>
                  <w:tcW w:w="1768" w:type="dxa"/>
                  <w:vAlign w:val="center"/>
                </w:tcPr>
                <w:p>
                  <w:pPr>
                    <w:pStyle w:val="63"/>
                    <w:rPr>
                      <w:color w:val="auto"/>
                    </w:rPr>
                  </w:pPr>
                  <w:r>
                    <w:rPr>
                      <w:rFonts w:hint="eastAsia"/>
                      <w:color w:val="auto"/>
                      <w:lang w:val="en-US"/>
                    </w:rPr>
                    <w:t>2</w:t>
                  </w:r>
                  <w:r>
                    <w:rPr>
                      <w:color w:val="auto"/>
                      <w:lang w:val="en-US"/>
                    </w:rPr>
                    <w:t>019</w:t>
                  </w:r>
                  <w:r>
                    <w:rPr>
                      <w:rFonts w:hint="eastAsia"/>
                      <w:color w:val="auto"/>
                      <w:lang w:val="en-US"/>
                    </w:rPr>
                    <w:t>年</w:t>
                  </w:r>
                  <w:r>
                    <w:rPr>
                      <w:color w:val="auto"/>
                      <w:lang w:val="en-US"/>
                    </w:rPr>
                    <w:t>7</w:t>
                  </w:r>
                  <w:r>
                    <w:rPr>
                      <w:rFonts w:hint="eastAsia"/>
                      <w:color w:val="auto"/>
                      <w:lang w:val="en-US"/>
                    </w:rPr>
                    <w:t>月1</w:t>
                  </w:r>
                  <w:r>
                    <w:rPr>
                      <w:color w:val="auto"/>
                      <w:lang w:val="en-US"/>
                    </w:rPr>
                    <w:t>9</w:t>
                  </w:r>
                  <w:r>
                    <w:rPr>
                      <w:rFonts w:hint="eastAsia"/>
                      <w:color w:val="auto"/>
                      <w:lang w:val="en-U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80" w:type="dxa"/>
                  <w:vAlign w:val="center"/>
                </w:tcPr>
                <w:p>
                  <w:pPr>
                    <w:pStyle w:val="63"/>
                    <w:rPr>
                      <w:color w:val="auto"/>
                      <w:lang w:eastAsia="zh-CN"/>
                    </w:rPr>
                  </w:pPr>
                  <w:r>
                    <w:rPr>
                      <w:rFonts w:hint="eastAsia"/>
                      <w:color w:val="auto"/>
                      <w:lang w:eastAsia="zh-CN"/>
                    </w:rPr>
                    <w:t>3</w:t>
                  </w:r>
                </w:p>
              </w:tc>
              <w:tc>
                <w:tcPr>
                  <w:tcW w:w="2127" w:type="dxa"/>
                  <w:vAlign w:val="center"/>
                </w:tcPr>
                <w:p>
                  <w:pPr>
                    <w:pStyle w:val="63"/>
                    <w:rPr>
                      <w:color w:val="auto"/>
                    </w:rPr>
                  </w:pPr>
                  <w:r>
                    <w:rPr>
                      <w:rFonts w:hint="eastAsia"/>
                      <w:color w:val="auto"/>
                      <w:lang w:val="en-US"/>
                    </w:rPr>
                    <w:t>不锈钢卷隧道式退火炉建设项目</w:t>
                  </w:r>
                </w:p>
              </w:tc>
              <w:tc>
                <w:tcPr>
                  <w:tcW w:w="3260" w:type="dxa"/>
                  <w:vAlign w:val="center"/>
                </w:tcPr>
                <w:p>
                  <w:pPr>
                    <w:pStyle w:val="63"/>
                    <w:rPr>
                      <w:color w:val="auto"/>
                    </w:rPr>
                  </w:pPr>
                  <w:r>
                    <w:rPr>
                      <w:rFonts w:hint="eastAsia"/>
                      <w:color w:val="auto"/>
                      <w:lang w:val="en-US" w:eastAsia="zh-CN"/>
                    </w:rPr>
                    <w:t>曲靖市生态环境局师宗分局《关于</w:t>
                  </w:r>
                  <w:r>
                    <w:rPr>
                      <w:rFonts w:hint="eastAsia"/>
                      <w:color w:val="auto"/>
                      <w:lang w:val="en-US"/>
                    </w:rPr>
                    <w:t>不锈钢卷隧道式退火炉建设项目</w:t>
                  </w:r>
                  <w:r>
                    <w:rPr>
                      <w:rFonts w:hint="eastAsia"/>
                      <w:color w:val="auto"/>
                      <w:lang w:val="en-US" w:eastAsia="zh-CN"/>
                    </w:rPr>
                    <w:t>环境影响报告表的批复》（</w:t>
                  </w:r>
                  <w:r>
                    <w:rPr>
                      <w:rFonts w:hint="eastAsia"/>
                      <w:color w:val="auto"/>
                      <w:lang w:val="en-US"/>
                    </w:rPr>
                    <w:t>曲师环审〔2</w:t>
                  </w:r>
                  <w:r>
                    <w:rPr>
                      <w:color w:val="auto"/>
                      <w:lang w:val="en-US"/>
                    </w:rPr>
                    <w:t>022</w:t>
                  </w:r>
                  <w:r>
                    <w:rPr>
                      <w:rFonts w:hint="eastAsia"/>
                      <w:color w:val="auto"/>
                      <w:lang w:val="en-US"/>
                    </w:rPr>
                    <w:t>〕3</w:t>
                  </w:r>
                  <w:r>
                    <w:rPr>
                      <w:color w:val="auto"/>
                      <w:lang w:val="en-US"/>
                    </w:rPr>
                    <w:t>5</w:t>
                  </w:r>
                  <w:r>
                    <w:rPr>
                      <w:rFonts w:hint="eastAsia"/>
                      <w:color w:val="auto"/>
                      <w:lang w:val="en-US"/>
                    </w:rPr>
                    <w:t>号</w:t>
                  </w:r>
                  <w:r>
                    <w:rPr>
                      <w:rFonts w:hint="eastAsia"/>
                      <w:color w:val="auto"/>
                      <w:lang w:val="en-US" w:eastAsia="zh-CN"/>
                    </w:rPr>
                    <w:t>）</w:t>
                  </w:r>
                </w:p>
              </w:tc>
              <w:tc>
                <w:tcPr>
                  <w:tcW w:w="1768" w:type="dxa"/>
                  <w:vAlign w:val="center"/>
                </w:tcPr>
                <w:p>
                  <w:pPr>
                    <w:pStyle w:val="63"/>
                    <w:rPr>
                      <w:color w:val="auto"/>
                    </w:rPr>
                  </w:pPr>
                  <w:r>
                    <w:rPr>
                      <w:rFonts w:hint="eastAsia"/>
                      <w:color w:val="auto"/>
                      <w:lang w:val="en-US"/>
                    </w:rPr>
                    <w:t>2</w:t>
                  </w:r>
                  <w:r>
                    <w:rPr>
                      <w:color w:val="auto"/>
                      <w:lang w:val="en-US"/>
                    </w:rPr>
                    <w:t>022</w:t>
                  </w:r>
                  <w:r>
                    <w:rPr>
                      <w:rFonts w:hint="eastAsia"/>
                      <w:color w:val="auto"/>
                      <w:lang w:val="en-US"/>
                    </w:rPr>
                    <w:t>年1</w:t>
                  </w:r>
                  <w:r>
                    <w:rPr>
                      <w:color w:val="auto"/>
                      <w:lang w:val="en-US"/>
                    </w:rPr>
                    <w:t>0</w:t>
                  </w:r>
                  <w:r>
                    <w:rPr>
                      <w:rFonts w:hint="eastAsia"/>
                      <w:color w:val="auto"/>
                      <w:lang w:val="en-US"/>
                    </w:rPr>
                    <w:t>月1</w:t>
                  </w:r>
                  <w:r>
                    <w:rPr>
                      <w:color w:val="auto"/>
                      <w:lang w:val="en-US"/>
                    </w:rPr>
                    <w:t>7</w:t>
                  </w:r>
                  <w:r>
                    <w:rPr>
                      <w:rFonts w:hint="eastAsia"/>
                      <w:color w:val="auto"/>
                      <w:lang w:val="en-US"/>
                    </w:rPr>
                    <w:t>日</w:t>
                  </w:r>
                </w:p>
              </w:tc>
            </w:tr>
          </w:tbl>
          <w:p>
            <w:pPr>
              <w:pStyle w:val="63"/>
              <w:rPr>
                <w:color w:val="auto"/>
              </w:rPr>
            </w:pPr>
          </w:p>
          <w:p>
            <w:pPr>
              <w:pStyle w:val="56"/>
              <w:spacing w:before="60" w:after="60"/>
              <w:rPr>
                <w:color w:val="auto"/>
              </w:rPr>
            </w:pPr>
            <w:r>
              <w:rPr>
                <w:rFonts w:hint="eastAsia"/>
                <w:color w:val="auto"/>
              </w:rPr>
              <w:t>2</w:t>
            </w:r>
            <w:r>
              <w:rPr>
                <w:color w:val="auto"/>
              </w:rPr>
              <w:t>.3.2</w:t>
            </w:r>
            <w:r>
              <w:rPr>
                <w:rFonts w:hint="eastAsia"/>
                <w:color w:val="auto"/>
              </w:rPr>
              <w:t>现有工程履行竣工环境保护验收情况</w:t>
            </w:r>
          </w:p>
          <w:p>
            <w:pPr>
              <w:ind w:firstLine="480"/>
              <w:rPr>
                <w:color w:val="auto"/>
              </w:rPr>
            </w:pPr>
            <w:r>
              <w:rPr>
                <w:rFonts w:hint="eastAsia"/>
                <w:color w:val="auto"/>
              </w:rPr>
              <w:t>与本项目有关的现有工程竣工环境保护验收情况见下表：</w:t>
            </w:r>
          </w:p>
          <w:p>
            <w:pPr>
              <w:pStyle w:val="66"/>
              <w:rPr>
                <w:color w:val="auto"/>
              </w:rPr>
            </w:pPr>
            <w:r>
              <w:rPr>
                <w:rFonts w:hint="eastAsia"/>
                <w:color w:val="auto"/>
              </w:rPr>
              <w:t>表2</w:t>
            </w:r>
            <w:r>
              <w:rPr>
                <w:color w:val="auto"/>
              </w:rPr>
              <w:t xml:space="preserve">.3-2 </w:t>
            </w:r>
            <w:r>
              <w:rPr>
                <w:rFonts w:hint="eastAsia"/>
                <w:color w:val="auto"/>
              </w:rPr>
              <w:t>现有工程验收手续一览表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843"/>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pStyle w:val="63"/>
                    <w:rPr>
                      <w:color w:val="auto"/>
                    </w:rPr>
                  </w:pPr>
                  <w:r>
                    <w:rPr>
                      <w:rFonts w:hint="eastAsia"/>
                      <w:color w:val="auto"/>
                      <w:lang w:eastAsia="zh-CN"/>
                    </w:rPr>
                    <w:t>序号</w:t>
                  </w:r>
                </w:p>
              </w:tc>
              <w:tc>
                <w:tcPr>
                  <w:tcW w:w="1843" w:type="dxa"/>
                  <w:vAlign w:val="center"/>
                </w:tcPr>
                <w:p>
                  <w:pPr>
                    <w:pStyle w:val="63"/>
                    <w:rPr>
                      <w:color w:val="auto"/>
                    </w:rPr>
                  </w:pPr>
                  <w:r>
                    <w:rPr>
                      <w:rFonts w:hint="eastAsia"/>
                      <w:color w:val="auto"/>
                      <w:lang w:eastAsia="zh-CN"/>
                    </w:rPr>
                    <w:t>项目名称</w:t>
                  </w:r>
                </w:p>
              </w:tc>
              <w:tc>
                <w:tcPr>
                  <w:tcW w:w="5245" w:type="dxa"/>
                  <w:vAlign w:val="center"/>
                </w:tcPr>
                <w:p>
                  <w:pPr>
                    <w:pStyle w:val="63"/>
                    <w:rPr>
                      <w:color w:val="auto"/>
                    </w:rPr>
                  </w:pPr>
                  <w:r>
                    <w:rPr>
                      <w:rFonts w:hint="eastAsia"/>
                      <w:color w:val="auto"/>
                      <w:lang w:eastAsia="zh-CN"/>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pStyle w:val="63"/>
                    <w:rPr>
                      <w:color w:val="auto"/>
                      <w:lang w:eastAsia="zh-CN"/>
                    </w:rPr>
                  </w:pPr>
                  <w:r>
                    <w:rPr>
                      <w:rFonts w:hint="eastAsia"/>
                      <w:color w:val="auto"/>
                      <w:lang w:eastAsia="zh-CN"/>
                    </w:rPr>
                    <w:t>1</w:t>
                  </w:r>
                </w:p>
              </w:tc>
              <w:tc>
                <w:tcPr>
                  <w:tcW w:w="1843" w:type="dxa"/>
                  <w:vAlign w:val="center"/>
                </w:tcPr>
                <w:p>
                  <w:pPr>
                    <w:pStyle w:val="63"/>
                    <w:rPr>
                      <w:color w:val="auto"/>
                    </w:rPr>
                  </w:pPr>
                  <w:r>
                    <w:rPr>
                      <w:rFonts w:hint="eastAsia"/>
                      <w:color w:val="auto"/>
                      <w:lang w:val="en-US"/>
                    </w:rPr>
                    <w:t>年产1</w:t>
                  </w:r>
                  <w:r>
                    <w:rPr>
                      <w:color w:val="auto"/>
                      <w:lang w:val="en-US"/>
                    </w:rPr>
                    <w:t>40</w:t>
                  </w:r>
                  <w:r>
                    <w:rPr>
                      <w:rFonts w:hint="eastAsia"/>
                      <w:color w:val="auto"/>
                      <w:lang w:val="en-US"/>
                    </w:rPr>
                    <w:t>万吨热轧生产线建设项目</w:t>
                  </w:r>
                </w:p>
              </w:tc>
              <w:tc>
                <w:tcPr>
                  <w:tcW w:w="5245" w:type="dxa"/>
                  <w:vAlign w:val="center"/>
                </w:tcPr>
                <w:p>
                  <w:pPr>
                    <w:pStyle w:val="63"/>
                    <w:rPr>
                      <w:color w:val="auto"/>
                      <w:lang w:eastAsia="zh-CN"/>
                    </w:rPr>
                  </w:pPr>
                  <w:r>
                    <w:rPr>
                      <w:rFonts w:hint="eastAsia"/>
                      <w:color w:val="auto"/>
                      <w:lang w:eastAsia="zh-CN"/>
                    </w:rPr>
                    <w:t>2</w:t>
                  </w:r>
                  <w:r>
                    <w:rPr>
                      <w:color w:val="auto"/>
                      <w:lang w:eastAsia="zh-CN"/>
                    </w:rPr>
                    <w:t>021</w:t>
                  </w:r>
                  <w:r>
                    <w:rPr>
                      <w:rFonts w:hint="eastAsia"/>
                      <w:color w:val="auto"/>
                      <w:lang w:eastAsia="zh-CN"/>
                    </w:rPr>
                    <w:t>年5月1</w:t>
                  </w:r>
                  <w:r>
                    <w:rPr>
                      <w:color w:val="auto"/>
                      <w:lang w:eastAsia="zh-CN"/>
                    </w:rPr>
                    <w:t>1</w:t>
                  </w:r>
                  <w:r>
                    <w:rPr>
                      <w:rFonts w:hint="eastAsia"/>
                      <w:color w:val="auto"/>
                      <w:lang w:eastAsia="zh-CN"/>
                    </w:rPr>
                    <w:t>日，建设单位组织验收监测单位云南苏源环境监测有限公司、专家组等对项目现场进行核查，形成《</w:t>
                  </w:r>
                  <w:r>
                    <w:rPr>
                      <w:rFonts w:hint="eastAsia"/>
                      <w:color w:val="auto"/>
                      <w:lang w:val="en-US"/>
                    </w:rPr>
                    <w:t>年产1</w:t>
                  </w:r>
                  <w:r>
                    <w:rPr>
                      <w:color w:val="auto"/>
                      <w:lang w:val="en-US"/>
                    </w:rPr>
                    <w:t>40</w:t>
                  </w:r>
                  <w:r>
                    <w:rPr>
                      <w:rFonts w:hint="eastAsia"/>
                      <w:color w:val="auto"/>
                      <w:lang w:val="en-US"/>
                    </w:rPr>
                    <w:t>万吨热轧生产线建设项目</w:t>
                  </w:r>
                  <w:r>
                    <w:rPr>
                      <w:rFonts w:hint="eastAsia"/>
                      <w:color w:val="auto"/>
                      <w:lang w:val="en-US" w:eastAsia="zh-CN"/>
                    </w:rPr>
                    <w:t>竣工环境保护验收意见</w:t>
                  </w:r>
                  <w:r>
                    <w:rPr>
                      <w:rFonts w:hint="eastAsia"/>
                      <w:color w:val="auto"/>
                      <w:lang w:eastAsia="zh-CN"/>
                    </w:rPr>
                    <w:t>》，同意项目通过竣工环境保护验收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pStyle w:val="63"/>
                    <w:rPr>
                      <w:color w:val="auto"/>
                      <w:lang w:eastAsia="zh-CN"/>
                    </w:rPr>
                  </w:pPr>
                  <w:r>
                    <w:rPr>
                      <w:rFonts w:hint="eastAsia"/>
                      <w:color w:val="auto"/>
                      <w:lang w:eastAsia="zh-CN"/>
                    </w:rPr>
                    <w:t>2</w:t>
                  </w:r>
                </w:p>
              </w:tc>
              <w:tc>
                <w:tcPr>
                  <w:tcW w:w="1843" w:type="dxa"/>
                  <w:vAlign w:val="center"/>
                </w:tcPr>
                <w:p>
                  <w:pPr>
                    <w:pStyle w:val="63"/>
                    <w:rPr>
                      <w:color w:val="auto"/>
                    </w:rPr>
                  </w:pPr>
                  <w:r>
                    <w:rPr>
                      <w:rFonts w:hint="eastAsia"/>
                      <w:color w:val="auto"/>
                      <w:lang w:val="en-US"/>
                    </w:rPr>
                    <w:t>年产3</w:t>
                  </w:r>
                  <w:r>
                    <w:rPr>
                      <w:color w:val="auto"/>
                      <w:lang w:val="en-US"/>
                    </w:rPr>
                    <w:t>0</w:t>
                  </w:r>
                  <w:r>
                    <w:rPr>
                      <w:rFonts w:hint="eastAsia"/>
                      <w:color w:val="auto"/>
                      <w:lang w:val="en-US"/>
                    </w:rPr>
                    <w:t>万吨热退火酸洗生产线建设项目</w:t>
                  </w:r>
                </w:p>
              </w:tc>
              <w:tc>
                <w:tcPr>
                  <w:tcW w:w="5245" w:type="dxa"/>
                  <w:vAlign w:val="center"/>
                </w:tcPr>
                <w:p>
                  <w:pPr>
                    <w:pStyle w:val="63"/>
                    <w:rPr>
                      <w:color w:val="auto"/>
                    </w:rPr>
                  </w:pPr>
                  <w:r>
                    <w:rPr>
                      <w:rFonts w:hint="eastAsia"/>
                      <w:color w:val="auto"/>
                      <w:lang w:eastAsia="zh-CN"/>
                    </w:rPr>
                    <w:t>2</w:t>
                  </w:r>
                  <w:r>
                    <w:rPr>
                      <w:color w:val="auto"/>
                      <w:lang w:eastAsia="zh-CN"/>
                    </w:rPr>
                    <w:t>021</w:t>
                  </w:r>
                  <w:r>
                    <w:rPr>
                      <w:rFonts w:hint="eastAsia"/>
                      <w:color w:val="auto"/>
                      <w:lang w:eastAsia="zh-CN"/>
                    </w:rPr>
                    <w:t>年5月1</w:t>
                  </w:r>
                  <w:r>
                    <w:rPr>
                      <w:color w:val="auto"/>
                      <w:lang w:eastAsia="zh-CN"/>
                    </w:rPr>
                    <w:t>1</w:t>
                  </w:r>
                  <w:r>
                    <w:rPr>
                      <w:rFonts w:hint="eastAsia"/>
                      <w:color w:val="auto"/>
                      <w:lang w:eastAsia="zh-CN"/>
                    </w:rPr>
                    <w:t>日，建设单位组织验收监测单位云南苏源环境监测有限公司、专家组等对项目现场进行核查，形成《</w:t>
                  </w:r>
                  <w:r>
                    <w:rPr>
                      <w:rFonts w:hint="eastAsia"/>
                      <w:color w:val="auto"/>
                      <w:lang w:val="en-US"/>
                    </w:rPr>
                    <w:t>年产3</w:t>
                  </w:r>
                  <w:r>
                    <w:rPr>
                      <w:color w:val="auto"/>
                      <w:lang w:val="en-US"/>
                    </w:rPr>
                    <w:t>0</w:t>
                  </w:r>
                  <w:r>
                    <w:rPr>
                      <w:rFonts w:hint="eastAsia"/>
                      <w:color w:val="auto"/>
                      <w:lang w:val="en-US"/>
                    </w:rPr>
                    <w:t>万吨热退火酸洗生产线建设项目</w:t>
                  </w:r>
                  <w:r>
                    <w:rPr>
                      <w:rFonts w:hint="eastAsia"/>
                      <w:color w:val="auto"/>
                      <w:lang w:val="en-US" w:eastAsia="zh-CN"/>
                    </w:rPr>
                    <w:t>竣工环境保护验收意见</w:t>
                  </w:r>
                  <w:r>
                    <w:rPr>
                      <w:rFonts w:hint="eastAsia"/>
                      <w:color w:val="auto"/>
                      <w:lang w:eastAsia="zh-CN"/>
                    </w:rPr>
                    <w:t>》，同意项目通过竣工环境保护验收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0" w:type="dxa"/>
                  <w:vAlign w:val="center"/>
                </w:tcPr>
                <w:p>
                  <w:pPr>
                    <w:pStyle w:val="63"/>
                    <w:rPr>
                      <w:color w:val="auto"/>
                      <w:lang w:eastAsia="zh-CN"/>
                    </w:rPr>
                  </w:pPr>
                  <w:r>
                    <w:rPr>
                      <w:rFonts w:hint="eastAsia"/>
                      <w:color w:val="auto"/>
                      <w:lang w:eastAsia="zh-CN"/>
                    </w:rPr>
                    <w:t>3</w:t>
                  </w:r>
                </w:p>
              </w:tc>
              <w:tc>
                <w:tcPr>
                  <w:tcW w:w="1843" w:type="dxa"/>
                  <w:vAlign w:val="center"/>
                </w:tcPr>
                <w:p>
                  <w:pPr>
                    <w:pStyle w:val="63"/>
                    <w:rPr>
                      <w:color w:val="auto"/>
                    </w:rPr>
                  </w:pPr>
                  <w:r>
                    <w:rPr>
                      <w:rFonts w:hint="eastAsia"/>
                      <w:color w:val="auto"/>
                      <w:lang w:val="en-US"/>
                    </w:rPr>
                    <w:t>不锈钢卷隧道式退火炉建设项目</w:t>
                  </w:r>
                </w:p>
              </w:tc>
              <w:tc>
                <w:tcPr>
                  <w:tcW w:w="5245" w:type="dxa"/>
                  <w:vAlign w:val="center"/>
                </w:tcPr>
                <w:p>
                  <w:pPr>
                    <w:pStyle w:val="63"/>
                    <w:rPr>
                      <w:color w:val="auto"/>
                      <w:lang w:eastAsia="zh-CN"/>
                    </w:rPr>
                  </w:pPr>
                  <w:r>
                    <w:rPr>
                      <w:rFonts w:hint="eastAsia"/>
                      <w:color w:val="auto"/>
                      <w:lang w:eastAsia="zh-CN"/>
                    </w:rPr>
                    <w:t>已基本建成，正在进行设备调试，尚未投入正式生产</w:t>
                  </w:r>
                </w:p>
              </w:tc>
            </w:tr>
          </w:tbl>
          <w:p>
            <w:pPr>
              <w:pStyle w:val="56"/>
              <w:spacing w:before="60" w:after="60"/>
              <w:rPr>
                <w:color w:val="auto"/>
              </w:rPr>
            </w:pPr>
            <w:r>
              <w:rPr>
                <w:rFonts w:hint="eastAsia"/>
                <w:color w:val="auto"/>
              </w:rPr>
              <w:t>2</w:t>
            </w:r>
            <w:r>
              <w:rPr>
                <w:color w:val="auto"/>
              </w:rPr>
              <w:t>.3.3</w:t>
            </w:r>
            <w:r>
              <w:rPr>
                <w:rFonts w:hint="eastAsia"/>
                <w:color w:val="auto"/>
              </w:rPr>
              <w:t>现有工程履行排污许可证执行情况</w:t>
            </w:r>
          </w:p>
          <w:p>
            <w:pPr>
              <w:ind w:firstLine="480"/>
              <w:rPr>
                <w:color w:val="auto"/>
              </w:rPr>
            </w:pPr>
            <w:r>
              <w:rPr>
                <w:rFonts w:hint="eastAsia"/>
                <w:color w:val="auto"/>
              </w:rPr>
              <w:t>2</w:t>
            </w:r>
            <w:r>
              <w:rPr>
                <w:color w:val="auto"/>
              </w:rPr>
              <w:t>020</w:t>
            </w:r>
            <w:r>
              <w:rPr>
                <w:rFonts w:hint="eastAsia"/>
                <w:color w:val="auto"/>
              </w:rPr>
              <w:t>年</w:t>
            </w:r>
            <w:r>
              <w:rPr>
                <w:color w:val="auto"/>
              </w:rPr>
              <w:t>4</w:t>
            </w:r>
            <w:r>
              <w:rPr>
                <w:rFonts w:hint="eastAsia"/>
                <w:color w:val="auto"/>
              </w:rPr>
              <w:t>月，师宗县沃莱迪金属材料有限公司首次向曲靖市生态环境局申请排污许可证，2</w:t>
            </w:r>
            <w:r>
              <w:rPr>
                <w:color w:val="auto"/>
              </w:rPr>
              <w:t>023</w:t>
            </w:r>
            <w:r>
              <w:rPr>
                <w:rFonts w:hint="eastAsia"/>
                <w:color w:val="auto"/>
              </w:rPr>
              <w:t>年1</w:t>
            </w:r>
            <w:r>
              <w:rPr>
                <w:color w:val="auto"/>
              </w:rPr>
              <w:t>1</w:t>
            </w:r>
            <w:r>
              <w:rPr>
                <w:rFonts w:hint="eastAsia"/>
                <w:color w:val="auto"/>
              </w:rPr>
              <w:t>月，建设单位重新申请排污许可证，2</w:t>
            </w:r>
            <w:r>
              <w:rPr>
                <w:color w:val="auto"/>
              </w:rPr>
              <w:t>023</w:t>
            </w:r>
            <w:r>
              <w:rPr>
                <w:rFonts w:hint="eastAsia"/>
                <w:color w:val="auto"/>
              </w:rPr>
              <w:t>年1</w:t>
            </w:r>
            <w:r>
              <w:rPr>
                <w:color w:val="auto"/>
              </w:rPr>
              <w:t>1</w:t>
            </w:r>
            <w:r>
              <w:rPr>
                <w:rFonts w:hint="eastAsia"/>
                <w:color w:val="auto"/>
              </w:rPr>
              <w:t>月</w:t>
            </w:r>
            <w:r>
              <w:rPr>
                <w:color w:val="auto"/>
              </w:rPr>
              <w:t>8</w:t>
            </w:r>
            <w:r>
              <w:rPr>
                <w:rFonts w:hint="eastAsia"/>
                <w:color w:val="auto"/>
              </w:rPr>
              <w:t>日，曲靖市生态环境局核发了师宗县沃莱迪金属材料有限公司排污许可证，排污许可证编号</w:t>
            </w:r>
            <w:r>
              <w:rPr>
                <w:color w:val="auto"/>
              </w:rPr>
              <w:t>91530323MA6N0YP27F001R</w:t>
            </w:r>
            <w:r>
              <w:rPr>
                <w:rFonts w:hint="eastAsia"/>
                <w:color w:val="auto"/>
              </w:rPr>
              <w:t>，证书有效期2</w:t>
            </w:r>
            <w:r>
              <w:rPr>
                <w:color w:val="auto"/>
              </w:rPr>
              <w:t>023</w:t>
            </w:r>
            <w:r>
              <w:rPr>
                <w:rFonts w:hint="eastAsia"/>
                <w:color w:val="auto"/>
              </w:rPr>
              <w:t>年1</w:t>
            </w:r>
            <w:r>
              <w:rPr>
                <w:color w:val="auto"/>
              </w:rPr>
              <w:t>1</w:t>
            </w:r>
            <w:r>
              <w:rPr>
                <w:rFonts w:hint="eastAsia"/>
                <w:color w:val="auto"/>
              </w:rPr>
              <w:t>月8日至2</w:t>
            </w:r>
            <w:r>
              <w:rPr>
                <w:color w:val="auto"/>
              </w:rPr>
              <w:t>028</w:t>
            </w:r>
            <w:r>
              <w:rPr>
                <w:rFonts w:hint="eastAsia"/>
                <w:color w:val="auto"/>
              </w:rPr>
              <w:t>年1</w:t>
            </w:r>
            <w:r>
              <w:rPr>
                <w:color w:val="auto"/>
              </w:rPr>
              <w:t>1</w:t>
            </w:r>
            <w:r>
              <w:rPr>
                <w:rFonts w:hint="eastAsia"/>
                <w:color w:val="auto"/>
              </w:rPr>
              <w:t>月7日。</w:t>
            </w:r>
          </w:p>
          <w:p>
            <w:pPr>
              <w:ind w:firstLine="480"/>
              <w:rPr>
                <w:color w:val="auto"/>
              </w:rPr>
            </w:pPr>
            <w:r>
              <w:rPr>
                <w:rFonts w:hint="eastAsia"/>
                <w:color w:val="auto"/>
              </w:rPr>
              <w:t>根据全国排污许可证信息管理平台-公开端发布的数据，取得排污许可证至今，师宗县沃莱迪金属材料有限公司按排污许可证要求开展了自行监测，监测结果均满足排污许可证要求，并按时提交了执行报告。</w:t>
            </w:r>
          </w:p>
          <w:p>
            <w:pPr>
              <w:pStyle w:val="56"/>
              <w:spacing w:before="60" w:after="60"/>
              <w:rPr>
                <w:color w:val="auto"/>
              </w:rPr>
            </w:pPr>
            <w:r>
              <w:rPr>
                <w:rFonts w:hint="eastAsia"/>
                <w:color w:val="auto"/>
              </w:rPr>
              <w:t>2</w:t>
            </w:r>
            <w:r>
              <w:rPr>
                <w:color w:val="auto"/>
              </w:rPr>
              <w:t>.3.4</w:t>
            </w:r>
            <w:r>
              <w:rPr>
                <w:rFonts w:hint="eastAsia"/>
                <w:color w:val="auto"/>
              </w:rPr>
              <w:t>突发环境事件应急预案编制情况</w:t>
            </w:r>
          </w:p>
          <w:p>
            <w:pPr>
              <w:ind w:firstLine="480"/>
              <w:rPr>
                <w:color w:val="auto"/>
              </w:rPr>
            </w:pPr>
            <w:r>
              <w:rPr>
                <w:rFonts w:hint="eastAsia"/>
                <w:color w:val="auto"/>
              </w:rPr>
              <w:t>2</w:t>
            </w:r>
            <w:r>
              <w:rPr>
                <w:color w:val="auto"/>
              </w:rPr>
              <w:t>023</w:t>
            </w:r>
            <w:r>
              <w:rPr>
                <w:rFonts w:hint="eastAsia"/>
                <w:color w:val="auto"/>
              </w:rPr>
              <w:t>年1</w:t>
            </w:r>
            <w:r>
              <w:rPr>
                <w:color w:val="auto"/>
              </w:rPr>
              <w:t>1</w:t>
            </w:r>
            <w:r>
              <w:rPr>
                <w:rFonts w:hint="eastAsia"/>
                <w:color w:val="auto"/>
              </w:rPr>
              <w:t>月1</w:t>
            </w:r>
            <w:r>
              <w:rPr>
                <w:color w:val="auto"/>
              </w:rPr>
              <w:t>3</w:t>
            </w:r>
            <w:r>
              <w:rPr>
                <w:rFonts w:hint="eastAsia"/>
                <w:color w:val="auto"/>
              </w:rPr>
              <w:t>日，建设单位编制《师宗县沃莱迪金属材料有限公司突发环境事件应急预案（第二版）》报送曲靖市生态环境局师宗分局备案，备案号5</w:t>
            </w:r>
            <w:r>
              <w:rPr>
                <w:color w:val="auto"/>
              </w:rPr>
              <w:t>30323-2023-025-M</w:t>
            </w:r>
            <w:r>
              <w:rPr>
                <w:rFonts w:hint="eastAsia"/>
                <w:color w:val="auto"/>
              </w:rPr>
              <w:t>，应急预案包含年产1</w:t>
            </w:r>
            <w:r>
              <w:rPr>
                <w:color w:val="auto"/>
              </w:rPr>
              <w:t>40</w:t>
            </w:r>
            <w:r>
              <w:rPr>
                <w:rFonts w:hint="eastAsia"/>
                <w:color w:val="auto"/>
              </w:rPr>
              <w:t>万吨热轧生产线建设项目、年产3</w:t>
            </w:r>
            <w:r>
              <w:rPr>
                <w:color w:val="auto"/>
              </w:rPr>
              <w:t>0</w:t>
            </w:r>
            <w:r>
              <w:rPr>
                <w:rFonts w:hint="eastAsia"/>
                <w:color w:val="auto"/>
              </w:rPr>
              <w:t>万吨热退火酸洗生产线建设项目、不锈钢卷隧道式退火炉建设项目。</w:t>
            </w:r>
          </w:p>
          <w:p>
            <w:pPr>
              <w:pStyle w:val="56"/>
              <w:spacing w:before="60" w:after="60"/>
              <w:rPr>
                <w:color w:val="auto"/>
              </w:rPr>
            </w:pPr>
            <w:r>
              <w:rPr>
                <w:rFonts w:hint="eastAsia"/>
                <w:color w:val="auto"/>
              </w:rPr>
              <w:t>2</w:t>
            </w:r>
            <w:r>
              <w:rPr>
                <w:color w:val="auto"/>
              </w:rPr>
              <w:t>.3.5</w:t>
            </w:r>
            <w:r>
              <w:rPr>
                <w:rFonts w:hint="eastAsia"/>
                <w:color w:val="auto"/>
              </w:rPr>
              <w:t>现有项目污染物产生及排放情况</w:t>
            </w:r>
          </w:p>
          <w:p>
            <w:pPr>
              <w:ind w:firstLine="480"/>
              <w:rPr>
                <w:color w:val="auto"/>
              </w:rPr>
            </w:pPr>
            <w:r>
              <w:rPr>
                <w:rFonts w:hint="eastAsia"/>
                <w:color w:val="auto"/>
              </w:rPr>
              <w:t>根据上文分析，由于</w:t>
            </w:r>
            <w:r>
              <w:rPr>
                <w:rFonts w:hint="eastAsia"/>
                <w:bCs/>
                <w:color w:val="auto"/>
              </w:rPr>
              <w:t>师宗县沃莱迪金属材料有限公司现有</w:t>
            </w:r>
            <w:r>
              <w:rPr>
                <w:rFonts w:hint="eastAsia"/>
                <w:color w:val="auto"/>
              </w:rPr>
              <w:t>排污许可证废气许可总量包含了上述三个项目，因此现有项目污染物产生及排放情况包括年产1</w:t>
            </w:r>
            <w:r>
              <w:rPr>
                <w:color w:val="auto"/>
              </w:rPr>
              <w:t>40</w:t>
            </w:r>
            <w:r>
              <w:rPr>
                <w:rFonts w:hint="eastAsia"/>
                <w:color w:val="auto"/>
              </w:rPr>
              <w:t>万吨热轧生产线建设项目和不锈钢卷隧道式退火炉建设项目（仅核算有组织、无组织废气，不含废水和固废）。</w:t>
            </w:r>
          </w:p>
          <w:p>
            <w:pPr>
              <w:ind w:firstLine="480"/>
              <w:rPr>
                <w:color w:val="auto"/>
              </w:rPr>
            </w:pPr>
            <w:r>
              <w:rPr>
                <w:rFonts w:hint="eastAsia"/>
                <w:color w:val="auto"/>
              </w:rPr>
              <w:t>年产140万吨热轧生产线建设项目废气有组织实际排放总量采用2</w:t>
            </w:r>
            <w:r>
              <w:rPr>
                <w:color w:val="auto"/>
              </w:rPr>
              <w:t>022</w:t>
            </w:r>
            <w:r>
              <w:rPr>
                <w:rFonts w:hint="eastAsia"/>
                <w:color w:val="auto"/>
              </w:rPr>
              <w:t>、2</w:t>
            </w:r>
            <w:r>
              <w:rPr>
                <w:color w:val="auto"/>
              </w:rPr>
              <w:t>023</w:t>
            </w:r>
            <w:r>
              <w:rPr>
                <w:rFonts w:hint="eastAsia"/>
                <w:color w:val="auto"/>
              </w:rPr>
              <w:t>自行监测报告进行核算，取平均值（由于该项目2</w:t>
            </w:r>
            <w:r>
              <w:rPr>
                <w:color w:val="auto"/>
              </w:rPr>
              <w:t>023</w:t>
            </w:r>
            <w:r>
              <w:rPr>
                <w:rFonts w:hint="eastAsia"/>
                <w:color w:val="auto"/>
              </w:rPr>
              <w:t>年第一、第二季度基本未投入生产，2</w:t>
            </w:r>
            <w:r>
              <w:rPr>
                <w:color w:val="auto"/>
              </w:rPr>
              <w:t>023</w:t>
            </w:r>
            <w:r>
              <w:rPr>
                <w:rFonts w:hint="eastAsia"/>
                <w:color w:val="auto"/>
              </w:rPr>
              <w:t>年第一、第二季度自行监测数据不纳入统计）；废气无组织排放量采用该项目环评核算结果，不对废水、固废进行核算。</w:t>
            </w:r>
          </w:p>
          <w:p>
            <w:pPr>
              <w:ind w:firstLine="480"/>
              <w:rPr>
                <w:color w:val="auto"/>
              </w:rPr>
            </w:pPr>
            <w:r>
              <w:rPr>
                <w:rFonts w:hint="eastAsia"/>
                <w:color w:val="auto"/>
              </w:rPr>
              <w:t>年产30万吨热退火酸洗生产线建设项目废气有组织实际排放总量采用2</w:t>
            </w:r>
            <w:r>
              <w:rPr>
                <w:color w:val="auto"/>
              </w:rPr>
              <w:t>022</w:t>
            </w:r>
            <w:r>
              <w:rPr>
                <w:rFonts w:hint="eastAsia"/>
                <w:color w:val="auto"/>
              </w:rPr>
              <w:t>、2</w:t>
            </w:r>
            <w:r>
              <w:rPr>
                <w:color w:val="auto"/>
              </w:rPr>
              <w:t>023</w:t>
            </w:r>
            <w:r>
              <w:rPr>
                <w:rFonts w:hint="eastAsia"/>
                <w:color w:val="auto"/>
              </w:rPr>
              <w:t>自行监测报告进行核算（由于该项目2</w:t>
            </w:r>
            <w:r>
              <w:rPr>
                <w:color w:val="auto"/>
              </w:rPr>
              <w:t>023</w:t>
            </w:r>
            <w:r>
              <w:rPr>
                <w:rFonts w:hint="eastAsia"/>
                <w:color w:val="auto"/>
              </w:rPr>
              <w:t>年第一、第二季度基本未投入生产，2</w:t>
            </w:r>
            <w:r>
              <w:rPr>
                <w:color w:val="auto"/>
              </w:rPr>
              <w:t>023</w:t>
            </w:r>
            <w:r>
              <w:rPr>
                <w:rFonts w:hint="eastAsia"/>
                <w:color w:val="auto"/>
              </w:rPr>
              <w:t>年第一、第二季度自行监测数据不纳入统计），取平均值；废气无组织排放量采用该项目环评核算结果，废水、固废采用验收报告核算结果。</w:t>
            </w:r>
          </w:p>
          <w:p>
            <w:pPr>
              <w:ind w:firstLine="480"/>
              <w:rPr>
                <w:color w:val="auto"/>
              </w:rPr>
            </w:pPr>
            <w:r>
              <w:rPr>
                <w:rFonts w:hint="eastAsia"/>
                <w:color w:val="auto"/>
              </w:rPr>
              <w:t>不锈钢卷隧道式退火炉建设项目由于未投入运营，废气有组织、无组织排放量采用环评核算结果，不对废水、固废进行核算。</w:t>
            </w:r>
          </w:p>
          <w:p>
            <w:pPr>
              <w:pStyle w:val="66"/>
              <w:rPr>
                <w:color w:val="auto"/>
              </w:rPr>
            </w:pPr>
            <w:r>
              <w:rPr>
                <w:rFonts w:hint="eastAsia"/>
                <w:color w:val="auto"/>
              </w:rPr>
              <w:t>表2</w:t>
            </w:r>
            <w:r>
              <w:rPr>
                <w:color w:val="auto"/>
              </w:rPr>
              <w:t xml:space="preserve">.3-3 </w:t>
            </w:r>
            <w:r>
              <w:rPr>
                <w:rFonts w:hint="eastAsia"/>
                <w:color w:val="auto"/>
              </w:rPr>
              <w:t>热轧生产线、隧道式退火炉项目废气处置措施及排放去向一览表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0"/>
              <w:gridCol w:w="1843"/>
              <w:gridCol w:w="1836"/>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60" w:type="dxa"/>
                  <w:vAlign w:val="center"/>
                </w:tcPr>
                <w:p>
                  <w:pPr>
                    <w:pStyle w:val="63"/>
                    <w:rPr>
                      <w:color w:val="auto"/>
                    </w:rPr>
                  </w:pPr>
                  <w:r>
                    <w:rPr>
                      <w:rFonts w:hint="eastAsia"/>
                      <w:color w:val="auto"/>
                    </w:rPr>
                    <w:t>类别</w:t>
                  </w:r>
                </w:p>
              </w:tc>
              <w:tc>
                <w:tcPr>
                  <w:tcW w:w="1843" w:type="dxa"/>
                  <w:vAlign w:val="center"/>
                </w:tcPr>
                <w:p>
                  <w:pPr>
                    <w:pStyle w:val="63"/>
                    <w:rPr>
                      <w:color w:val="auto"/>
                      <w:lang w:eastAsia="zh-CN"/>
                    </w:rPr>
                  </w:pPr>
                  <w:r>
                    <w:rPr>
                      <w:rFonts w:hint="eastAsia"/>
                      <w:color w:val="auto"/>
                    </w:rPr>
                    <w:t>污染</w:t>
                  </w:r>
                  <w:r>
                    <w:rPr>
                      <w:rFonts w:hint="eastAsia"/>
                      <w:color w:val="auto"/>
                      <w:lang w:eastAsia="zh-CN"/>
                    </w:rPr>
                    <w:t>物</w:t>
                  </w:r>
                </w:p>
              </w:tc>
              <w:tc>
                <w:tcPr>
                  <w:tcW w:w="1836" w:type="dxa"/>
                  <w:vAlign w:val="center"/>
                </w:tcPr>
                <w:p>
                  <w:pPr>
                    <w:pStyle w:val="63"/>
                    <w:rPr>
                      <w:color w:val="auto"/>
                    </w:rPr>
                  </w:pPr>
                  <w:r>
                    <w:rPr>
                      <w:rFonts w:hint="eastAsia"/>
                      <w:color w:val="auto"/>
                    </w:rPr>
                    <w:t>治理措施</w:t>
                  </w:r>
                </w:p>
              </w:tc>
              <w:tc>
                <w:tcPr>
                  <w:tcW w:w="2201" w:type="dxa"/>
                  <w:vAlign w:val="center"/>
                </w:tcPr>
                <w:p>
                  <w:pPr>
                    <w:pStyle w:val="63"/>
                    <w:rPr>
                      <w:color w:val="auto"/>
                      <w:lang w:eastAsia="zh-CN"/>
                    </w:rPr>
                  </w:pPr>
                  <w:r>
                    <w:rPr>
                      <w:rFonts w:hint="eastAsia"/>
                      <w:color w:val="auto"/>
                      <w:lang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60" w:type="dxa"/>
                  <w:vMerge w:val="restart"/>
                  <w:vAlign w:val="center"/>
                </w:tcPr>
                <w:p>
                  <w:pPr>
                    <w:pStyle w:val="63"/>
                    <w:rPr>
                      <w:color w:val="auto"/>
                    </w:rPr>
                  </w:pPr>
                  <w:r>
                    <w:rPr>
                      <w:rFonts w:hint="eastAsia"/>
                      <w:color w:val="auto"/>
                    </w:rPr>
                    <w:t>年产1</w:t>
                  </w:r>
                  <w:r>
                    <w:rPr>
                      <w:color w:val="auto"/>
                    </w:rPr>
                    <w:t>40</w:t>
                  </w:r>
                  <w:r>
                    <w:rPr>
                      <w:rFonts w:hint="eastAsia"/>
                      <w:color w:val="auto"/>
                    </w:rPr>
                    <w:t>万吨热轧生产线建设项目</w:t>
                  </w:r>
                </w:p>
              </w:tc>
              <w:tc>
                <w:tcPr>
                  <w:tcW w:w="1843" w:type="dxa"/>
                  <w:vAlign w:val="center"/>
                </w:tcPr>
                <w:p>
                  <w:pPr>
                    <w:pStyle w:val="63"/>
                    <w:rPr>
                      <w:color w:val="auto"/>
                    </w:rPr>
                  </w:pPr>
                  <w:r>
                    <w:rPr>
                      <w:rFonts w:hint="eastAsia"/>
                      <w:color w:val="auto"/>
                      <w:lang w:eastAsia="zh-CN"/>
                    </w:rPr>
                    <w:t>热处理炉烟气</w:t>
                  </w:r>
                </w:p>
              </w:tc>
              <w:tc>
                <w:tcPr>
                  <w:tcW w:w="1836" w:type="dxa"/>
                  <w:vAlign w:val="center"/>
                </w:tcPr>
                <w:p>
                  <w:pPr>
                    <w:pStyle w:val="63"/>
                    <w:rPr>
                      <w:color w:val="auto"/>
                      <w:lang w:eastAsia="zh-CN"/>
                    </w:rPr>
                  </w:pPr>
                  <w:r>
                    <w:rPr>
                      <w:rFonts w:hint="eastAsia"/>
                      <w:color w:val="auto"/>
                      <w:lang w:eastAsia="zh-CN"/>
                    </w:rPr>
                    <w:t>/</w:t>
                  </w:r>
                </w:p>
              </w:tc>
              <w:tc>
                <w:tcPr>
                  <w:tcW w:w="2201" w:type="dxa"/>
                  <w:vAlign w:val="center"/>
                </w:tcPr>
                <w:p>
                  <w:pPr>
                    <w:pStyle w:val="63"/>
                    <w:rPr>
                      <w:color w:val="auto"/>
                    </w:rPr>
                  </w:pPr>
                  <w:r>
                    <w:rPr>
                      <w:rFonts w:hint="eastAsia"/>
                      <w:color w:val="auto"/>
                      <w:lang w:eastAsia="zh-CN"/>
                    </w:rPr>
                    <w:t>D</w:t>
                  </w:r>
                  <w:r>
                    <w:rPr>
                      <w:color w:val="auto"/>
                      <w:lang w:eastAsia="zh-CN"/>
                    </w:rPr>
                    <w:t>A001</w:t>
                  </w:r>
                  <w:r>
                    <w:rPr>
                      <w:rFonts w:hint="eastAsia"/>
                      <w:color w:val="auto"/>
                      <w:lang w:eastAsia="zh-CN"/>
                    </w:rPr>
                    <w:t>排放口排放，H</w:t>
                  </w:r>
                  <w:r>
                    <w:rPr>
                      <w:color w:val="auto"/>
                      <w:lang w:eastAsia="zh-CN"/>
                    </w:rPr>
                    <w:t>=90</w:t>
                  </w:r>
                  <w:r>
                    <w:rPr>
                      <w:rFonts w:hint="eastAsia"/>
                      <w:color w:val="auto"/>
                      <w:lang w:eastAsia="zh-CN"/>
                    </w:rPr>
                    <w:t>m，d</w:t>
                  </w:r>
                  <w:r>
                    <w:rPr>
                      <w:color w:val="auto"/>
                      <w:lang w:eastAsia="zh-CN"/>
                    </w:rPr>
                    <w:t>=2800</w:t>
                  </w:r>
                  <w:r>
                    <w:rPr>
                      <w:rFonts w:hint="eastAsia"/>
                      <w:color w:val="auto"/>
                      <w:lang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60" w:type="dxa"/>
                  <w:vMerge w:val="continue"/>
                  <w:vAlign w:val="center"/>
                </w:tcPr>
                <w:p>
                  <w:pPr>
                    <w:pStyle w:val="63"/>
                    <w:rPr>
                      <w:color w:val="auto"/>
                    </w:rPr>
                  </w:pPr>
                </w:p>
              </w:tc>
              <w:tc>
                <w:tcPr>
                  <w:tcW w:w="1843" w:type="dxa"/>
                  <w:vAlign w:val="center"/>
                </w:tcPr>
                <w:p>
                  <w:pPr>
                    <w:pStyle w:val="63"/>
                    <w:rPr>
                      <w:color w:val="auto"/>
                    </w:rPr>
                  </w:pPr>
                  <w:r>
                    <w:rPr>
                      <w:rFonts w:hint="eastAsia"/>
                      <w:color w:val="auto"/>
                      <w:lang w:eastAsia="zh-CN"/>
                    </w:rPr>
                    <w:t>卷取炉废气</w:t>
                  </w:r>
                </w:p>
              </w:tc>
              <w:tc>
                <w:tcPr>
                  <w:tcW w:w="1836" w:type="dxa"/>
                  <w:vAlign w:val="center"/>
                </w:tcPr>
                <w:p>
                  <w:pPr>
                    <w:pStyle w:val="63"/>
                    <w:rPr>
                      <w:color w:val="auto"/>
                      <w:lang w:val="en-US" w:eastAsia="zh-CN"/>
                    </w:rPr>
                  </w:pPr>
                  <w:r>
                    <w:rPr>
                      <w:rFonts w:hint="eastAsia"/>
                      <w:color w:val="auto"/>
                      <w:lang w:val="en-US" w:eastAsia="zh-CN"/>
                    </w:rPr>
                    <w:t>/</w:t>
                  </w:r>
                </w:p>
              </w:tc>
              <w:tc>
                <w:tcPr>
                  <w:tcW w:w="2201" w:type="dxa"/>
                  <w:vAlign w:val="center"/>
                </w:tcPr>
                <w:p>
                  <w:pPr>
                    <w:pStyle w:val="63"/>
                    <w:rPr>
                      <w:color w:val="auto"/>
                    </w:rPr>
                  </w:pPr>
                  <w:r>
                    <w:rPr>
                      <w:rFonts w:hint="eastAsia"/>
                      <w:color w:val="auto"/>
                      <w:lang w:eastAsia="zh-CN"/>
                    </w:rPr>
                    <w:t>D</w:t>
                  </w:r>
                  <w:r>
                    <w:rPr>
                      <w:color w:val="auto"/>
                      <w:lang w:eastAsia="zh-CN"/>
                    </w:rPr>
                    <w:t>A002</w:t>
                  </w:r>
                  <w:r>
                    <w:rPr>
                      <w:rFonts w:hint="eastAsia"/>
                      <w:color w:val="auto"/>
                      <w:lang w:eastAsia="zh-CN"/>
                    </w:rPr>
                    <w:t>排放口排放，H</w:t>
                  </w:r>
                  <w:r>
                    <w:rPr>
                      <w:color w:val="auto"/>
                      <w:lang w:eastAsia="zh-CN"/>
                    </w:rPr>
                    <w:t>=955</w:t>
                  </w:r>
                  <w:r>
                    <w:rPr>
                      <w:rFonts w:hint="eastAsia"/>
                      <w:color w:val="auto"/>
                      <w:lang w:eastAsia="zh-CN"/>
                    </w:rPr>
                    <w:t>m，d</w:t>
                  </w:r>
                  <w:r>
                    <w:rPr>
                      <w:color w:val="auto"/>
                      <w:lang w:eastAsia="zh-CN"/>
                    </w:rPr>
                    <w:t>=1400</w:t>
                  </w:r>
                  <w:r>
                    <w:rPr>
                      <w:rFonts w:hint="eastAsia"/>
                      <w:color w:val="auto"/>
                      <w:lang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60" w:type="dxa"/>
                  <w:vAlign w:val="center"/>
                </w:tcPr>
                <w:p>
                  <w:pPr>
                    <w:pStyle w:val="63"/>
                    <w:rPr>
                      <w:color w:val="auto"/>
                    </w:rPr>
                  </w:pPr>
                  <w:r>
                    <w:rPr>
                      <w:rFonts w:hint="eastAsia"/>
                      <w:color w:val="auto"/>
                    </w:rPr>
                    <w:t>不锈钢卷隧道式退火炉建设项目</w:t>
                  </w:r>
                </w:p>
              </w:tc>
              <w:tc>
                <w:tcPr>
                  <w:tcW w:w="1843" w:type="dxa"/>
                  <w:vAlign w:val="center"/>
                </w:tcPr>
                <w:p>
                  <w:pPr>
                    <w:pStyle w:val="63"/>
                    <w:rPr>
                      <w:color w:val="auto"/>
                    </w:rPr>
                  </w:pPr>
                  <w:r>
                    <w:rPr>
                      <w:color w:val="auto"/>
                      <w:lang w:val="en-US"/>
                    </w:rPr>
                    <w:t>退火炉废气</w:t>
                  </w:r>
                </w:p>
              </w:tc>
              <w:tc>
                <w:tcPr>
                  <w:tcW w:w="1836" w:type="dxa"/>
                  <w:vAlign w:val="center"/>
                </w:tcPr>
                <w:p>
                  <w:pPr>
                    <w:pStyle w:val="63"/>
                    <w:rPr>
                      <w:color w:val="auto"/>
                      <w:lang w:val="en-US"/>
                    </w:rPr>
                  </w:pPr>
                  <w:r>
                    <w:rPr>
                      <w:rFonts w:hint="eastAsia"/>
                      <w:color w:val="auto"/>
                      <w:lang w:val="en-US"/>
                    </w:rPr>
                    <w:t>1套</w:t>
                  </w:r>
                  <w:r>
                    <w:rPr>
                      <w:color w:val="auto"/>
                      <w:lang w:val="en-US"/>
                    </w:rPr>
                    <w:t>覆膜针刺毡高温布袋除尘器</w:t>
                  </w:r>
                </w:p>
              </w:tc>
              <w:tc>
                <w:tcPr>
                  <w:tcW w:w="2201" w:type="dxa"/>
                  <w:vAlign w:val="center"/>
                </w:tcPr>
                <w:p>
                  <w:pPr>
                    <w:pStyle w:val="63"/>
                    <w:rPr>
                      <w:color w:val="auto"/>
                    </w:rPr>
                  </w:pPr>
                  <w:r>
                    <w:rPr>
                      <w:color w:val="auto"/>
                      <w:lang w:val="en-US"/>
                    </w:rPr>
                    <w:t>DA007</w:t>
                  </w:r>
                  <w:r>
                    <w:rPr>
                      <w:rFonts w:hint="eastAsia"/>
                      <w:color w:val="auto"/>
                      <w:lang w:val="en-US" w:eastAsia="zh-CN"/>
                    </w:rPr>
                    <w:t>排放口</w:t>
                  </w:r>
                  <w:r>
                    <w:rPr>
                      <w:rFonts w:hint="eastAsia"/>
                      <w:color w:val="auto"/>
                      <w:lang w:val="en-US"/>
                    </w:rPr>
                    <w:t>排放，</w:t>
                  </w:r>
                  <w:r>
                    <w:rPr>
                      <w:rFonts w:hint="eastAsia"/>
                      <w:color w:val="auto"/>
                      <w:lang w:eastAsia="zh-CN"/>
                    </w:rPr>
                    <w:t>H</w:t>
                  </w:r>
                  <w:r>
                    <w:rPr>
                      <w:color w:val="auto"/>
                      <w:lang w:eastAsia="zh-CN"/>
                    </w:rPr>
                    <w:t>=22</w:t>
                  </w:r>
                  <w:r>
                    <w:rPr>
                      <w:rFonts w:hint="eastAsia"/>
                      <w:color w:val="auto"/>
                      <w:lang w:eastAsia="zh-CN"/>
                    </w:rPr>
                    <w:t>m，d</w:t>
                  </w:r>
                  <w:r>
                    <w:rPr>
                      <w:color w:val="auto"/>
                      <w:lang w:eastAsia="zh-CN"/>
                    </w:rPr>
                    <w:t>=1280</w:t>
                  </w:r>
                  <w:r>
                    <w:rPr>
                      <w:rFonts w:hint="eastAsia"/>
                      <w:color w:val="auto"/>
                      <w:lang w:eastAsia="zh-CN"/>
                    </w:rPr>
                    <w:t>mm</w:t>
                  </w:r>
                </w:p>
              </w:tc>
            </w:tr>
          </w:tbl>
          <w:p>
            <w:pPr>
              <w:pStyle w:val="63"/>
              <w:rPr>
                <w:color w:val="auto"/>
              </w:rPr>
            </w:pPr>
          </w:p>
          <w:p>
            <w:pPr>
              <w:pStyle w:val="66"/>
              <w:rPr>
                <w:color w:val="auto"/>
              </w:rPr>
            </w:pPr>
            <w:r>
              <w:rPr>
                <w:rFonts w:hint="eastAsia"/>
                <w:color w:val="auto"/>
              </w:rPr>
              <w:t>表2</w:t>
            </w:r>
            <w:r>
              <w:rPr>
                <w:color w:val="auto"/>
              </w:rPr>
              <w:t xml:space="preserve">.3-4 </w:t>
            </w:r>
            <w:r>
              <w:rPr>
                <w:rFonts w:hint="eastAsia"/>
                <w:color w:val="auto"/>
              </w:rPr>
              <w:t>年产3</w:t>
            </w:r>
            <w:r>
              <w:rPr>
                <w:color w:val="auto"/>
              </w:rPr>
              <w:t>0</w:t>
            </w:r>
            <w:r>
              <w:rPr>
                <w:rFonts w:hint="eastAsia"/>
                <w:color w:val="auto"/>
              </w:rPr>
              <w:t>万吨热退火酸洗生产线建设项目三废处置措施及排放去向一览表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559"/>
              <w:gridCol w:w="3254"/>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5" w:type="dxa"/>
                  <w:gridSpan w:val="2"/>
                  <w:vAlign w:val="center"/>
                </w:tcPr>
                <w:p>
                  <w:pPr>
                    <w:pStyle w:val="63"/>
                    <w:rPr>
                      <w:color w:val="auto"/>
                      <w:lang w:eastAsia="zh-CN"/>
                    </w:rPr>
                  </w:pPr>
                  <w:r>
                    <w:rPr>
                      <w:rFonts w:hint="eastAsia"/>
                      <w:color w:val="auto"/>
                    </w:rPr>
                    <w:t>污染</w:t>
                  </w:r>
                  <w:r>
                    <w:rPr>
                      <w:rFonts w:hint="eastAsia"/>
                      <w:color w:val="auto"/>
                      <w:lang w:eastAsia="zh-CN"/>
                    </w:rPr>
                    <w:t>物类别</w:t>
                  </w:r>
                </w:p>
              </w:tc>
              <w:tc>
                <w:tcPr>
                  <w:tcW w:w="3254" w:type="dxa"/>
                  <w:vAlign w:val="center"/>
                </w:tcPr>
                <w:p>
                  <w:pPr>
                    <w:pStyle w:val="63"/>
                    <w:rPr>
                      <w:color w:val="auto"/>
                    </w:rPr>
                  </w:pPr>
                  <w:r>
                    <w:rPr>
                      <w:rFonts w:hint="eastAsia"/>
                      <w:color w:val="auto"/>
                    </w:rPr>
                    <w:t>治理措施</w:t>
                  </w:r>
                </w:p>
              </w:tc>
              <w:tc>
                <w:tcPr>
                  <w:tcW w:w="2201" w:type="dxa"/>
                  <w:vAlign w:val="center"/>
                </w:tcPr>
                <w:p>
                  <w:pPr>
                    <w:pStyle w:val="63"/>
                    <w:rPr>
                      <w:color w:val="auto"/>
                      <w:lang w:eastAsia="zh-CN"/>
                    </w:rPr>
                  </w:pPr>
                  <w:r>
                    <w:rPr>
                      <w:rFonts w:hint="eastAsia"/>
                      <w:color w:val="auto"/>
                      <w:lang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5" w:type="dxa"/>
                  <w:gridSpan w:val="2"/>
                  <w:vAlign w:val="center"/>
                </w:tcPr>
                <w:p>
                  <w:pPr>
                    <w:pStyle w:val="63"/>
                    <w:rPr>
                      <w:color w:val="auto"/>
                      <w:lang w:eastAsia="zh-CN"/>
                    </w:rPr>
                  </w:pPr>
                  <w:r>
                    <w:rPr>
                      <w:rFonts w:hint="eastAsia"/>
                      <w:color w:val="auto"/>
                      <w:lang w:eastAsia="zh-CN"/>
                    </w:rPr>
                    <w:t>热退火炉废气</w:t>
                  </w:r>
                </w:p>
              </w:tc>
              <w:tc>
                <w:tcPr>
                  <w:tcW w:w="3254" w:type="dxa"/>
                  <w:vAlign w:val="center"/>
                </w:tcPr>
                <w:p>
                  <w:pPr>
                    <w:pStyle w:val="63"/>
                    <w:rPr>
                      <w:color w:val="auto"/>
                      <w:lang w:val="en-US"/>
                    </w:rPr>
                  </w:pPr>
                  <w:r>
                    <w:rPr>
                      <w:rFonts w:hint="eastAsia"/>
                      <w:color w:val="auto"/>
                      <w:lang w:eastAsia="zh-CN"/>
                    </w:rPr>
                    <w:t>经管道引入热风干燥和烘干工序作为热源</w:t>
                  </w:r>
                </w:p>
              </w:tc>
              <w:tc>
                <w:tcPr>
                  <w:tcW w:w="2201" w:type="dxa"/>
                  <w:vAlign w:val="center"/>
                </w:tcPr>
                <w:p>
                  <w:pPr>
                    <w:pStyle w:val="63"/>
                    <w:rPr>
                      <w:color w:val="auto"/>
                      <w:lang w:eastAsia="zh-CN"/>
                    </w:rPr>
                  </w:pPr>
                  <w:r>
                    <w:rPr>
                      <w:rFonts w:hint="eastAsia"/>
                      <w:color w:val="auto"/>
                      <w:lang w:eastAsia="zh-CN"/>
                    </w:rPr>
                    <w:t>D</w:t>
                  </w:r>
                  <w:r>
                    <w:rPr>
                      <w:color w:val="auto"/>
                      <w:lang w:eastAsia="zh-CN"/>
                    </w:rPr>
                    <w:t>A003</w:t>
                  </w:r>
                  <w:r>
                    <w:rPr>
                      <w:rFonts w:hint="eastAsia"/>
                      <w:color w:val="auto"/>
                      <w:lang w:eastAsia="zh-CN"/>
                    </w:rPr>
                    <w:t>排放口排放，H</w:t>
                  </w:r>
                  <w:r>
                    <w:rPr>
                      <w:color w:val="auto"/>
                      <w:lang w:eastAsia="zh-CN"/>
                    </w:rPr>
                    <w:t>=18</w:t>
                  </w:r>
                  <w:r>
                    <w:rPr>
                      <w:rFonts w:hint="eastAsia"/>
                      <w:color w:val="auto"/>
                      <w:lang w:eastAsia="zh-CN"/>
                    </w:rPr>
                    <w:t>m，d</w:t>
                  </w:r>
                  <w:r>
                    <w:rPr>
                      <w:color w:val="auto"/>
                      <w:lang w:eastAsia="zh-CN"/>
                    </w:rPr>
                    <w:t>=800</w:t>
                  </w:r>
                  <w:r>
                    <w:rPr>
                      <w:rFonts w:hint="eastAsia"/>
                      <w:color w:val="auto"/>
                      <w:lang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5" w:type="dxa"/>
                  <w:gridSpan w:val="2"/>
                  <w:vAlign w:val="center"/>
                </w:tcPr>
                <w:p>
                  <w:pPr>
                    <w:pStyle w:val="63"/>
                    <w:rPr>
                      <w:color w:val="auto"/>
                    </w:rPr>
                  </w:pPr>
                  <w:r>
                    <w:rPr>
                      <w:color w:val="auto"/>
                      <w:lang w:val="en-US"/>
                    </w:rPr>
                    <w:t>气冷废气</w:t>
                  </w:r>
                </w:p>
              </w:tc>
              <w:tc>
                <w:tcPr>
                  <w:tcW w:w="3254" w:type="dxa"/>
                  <w:vAlign w:val="center"/>
                </w:tcPr>
                <w:p>
                  <w:pPr>
                    <w:pStyle w:val="63"/>
                    <w:rPr>
                      <w:color w:val="auto"/>
                      <w:lang w:val="en-US"/>
                    </w:rPr>
                  </w:pPr>
                  <w:r>
                    <w:rPr>
                      <w:rFonts w:hint="eastAsia"/>
                      <w:color w:val="auto"/>
                      <w:lang w:val="en-US"/>
                    </w:rPr>
                    <w:t>高压风机+集气罩+湿式除尘器</w:t>
                  </w:r>
                </w:p>
              </w:tc>
              <w:tc>
                <w:tcPr>
                  <w:tcW w:w="2201" w:type="dxa"/>
                  <w:vAlign w:val="center"/>
                </w:tcPr>
                <w:p>
                  <w:pPr>
                    <w:pStyle w:val="63"/>
                    <w:rPr>
                      <w:color w:val="auto"/>
                    </w:rPr>
                  </w:pPr>
                  <w:r>
                    <w:rPr>
                      <w:rFonts w:hint="eastAsia"/>
                      <w:color w:val="auto"/>
                      <w:lang w:eastAsia="zh-CN"/>
                    </w:rPr>
                    <w:t>D</w:t>
                  </w:r>
                  <w:r>
                    <w:rPr>
                      <w:color w:val="auto"/>
                      <w:lang w:eastAsia="zh-CN"/>
                    </w:rPr>
                    <w:t>A004</w:t>
                  </w:r>
                  <w:r>
                    <w:rPr>
                      <w:rFonts w:hint="eastAsia"/>
                      <w:color w:val="auto"/>
                      <w:lang w:eastAsia="zh-CN"/>
                    </w:rPr>
                    <w:t>排放口排放，H</w:t>
                  </w:r>
                  <w:r>
                    <w:rPr>
                      <w:color w:val="auto"/>
                      <w:lang w:eastAsia="zh-CN"/>
                    </w:rPr>
                    <w:t>=18</w:t>
                  </w:r>
                  <w:r>
                    <w:rPr>
                      <w:rFonts w:hint="eastAsia"/>
                      <w:color w:val="auto"/>
                      <w:lang w:eastAsia="zh-CN"/>
                    </w:rPr>
                    <w:t>m，d</w:t>
                  </w:r>
                  <w:r>
                    <w:rPr>
                      <w:color w:val="auto"/>
                      <w:lang w:eastAsia="zh-CN"/>
                    </w:rPr>
                    <w:t>=800</w:t>
                  </w:r>
                  <w:r>
                    <w:rPr>
                      <w:rFonts w:hint="eastAsia"/>
                      <w:color w:val="auto"/>
                      <w:lang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5" w:type="dxa"/>
                  <w:gridSpan w:val="2"/>
                  <w:vAlign w:val="center"/>
                </w:tcPr>
                <w:p>
                  <w:pPr>
                    <w:pStyle w:val="63"/>
                    <w:rPr>
                      <w:color w:val="auto"/>
                    </w:rPr>
                  </w:pPr>
                  <w:r>
                    <w:rPr>
                      <w:color w:val="auto"/>
                      <w:lang w:val="en-US"/>
                    </w:rPr>
                    <w:t>抛丸废气</w:t>
                  </w:r>
                </w:p>
              </w:tc>
              <w:tc>
                <w:tcPr>
                  <w:tcW w:w="3254" w:type="dxa"/>
                  <w:vAlign w:val="center"/>
                </w:tcPr>
                <w:p>
                  <w:pPr>
                    <w:pStyle w:val="63"/>
                    <w:rPr>
                      <w:color w:val="auto"/>
                      <w:lang w:val="en-US"/>
                    </w:rPr>
                  </w:pPr>
                  <w:r>
                    <w:rPr>
                      <w:rFonts w:hint="eastAsia"/>
                      <w:color w:val="auto"/>
                      <w:lang w:val="en-US"/>
                    </w:rPr>
                    <w:t>风机+集气罩+布袋除尘器</w:t>
                  </w:r>
                </w:p>
              </w:tc>
              <w:tc>
                <w:tcPr>
                  <w:tcW w:w="2201" w:type="dxa"/>
                  <w:vAlign w:val="center"/>
                </w:tcPr>
                <w:p>
                  <w:pPr>
                    <w:pStyle w:val="63"/>
                    <w:rPr>
                      <w:color w:val="auto"/>
                    </w:rPr>
                  </w:pPr>
                  <w:r>
                    <w:rPr>
                      <w:rFonts w:hint="eastAsia"/>
                      <w:color w:val="auto"/>
                      <w:lang w:eastAsia="zh-CN"/>
                    </w:rPr>
                    <w:t>D</w:t>
                  </w:r>
                  <w:r>
                    <w:rPr>
                      <w:color w:val="auto"/>
                      <w:lang w:eastAsia="zh-CN"/>
                    </w:rPr>
                    <w:t>A005</w:t>
                  </w:r>
                  <w:r>
                    <w:rPr>
                      <w:rFonts w:hint="eastAsia"/>
                      <w:color w:val="auto"/>
                      <w:lang w:eastAsia="zh-CN"/>
                    </w:rPr>
                    <w:t>排放口排放，H</w:t>
                  </w:r>
                  <w:r>
                    <w:rPr>
                      <w:color w:val="auto"/>
                      <w:lang w:eastAsia="zh-CN"/>
                    </w:rPr>
                    <w:t>=18</w:t>
                  </w:r>
                  <w:r>
                    <w:rPr>
                      <w:rFonts w:hint="eastAsia"/>
                      <w:color w:val="auto"/>
                      <w:lang w:eastAsia="zh-CN"/>
                    </w:rPr>
                    <w:t>m，d</w:t>
                  </w:r>
                  <w:r>
                    <w:rPr>
                      <w:color w:val="auto"/>
                      <w:lang w:eastAsia="zh-CN"/>
                    </w:rPr>
                    <w:t>=1000</w:t>
                  </w:r>
                  <w:r>
                    <w:rPr>
                      <w:rFonts w:hint="eastAsia"/>
                      <w:color w:val="auto"/>
                      <w:lang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5" w:type="dxa"/>
                  <w:gridSpan w:val="2"/>
                  <w:vAlign w:val="center"/>
                </w:tcPr>
                <w:p>
                  <w:pPr>
                    <w:pStyle w:val="63"/>
                    <w:rPr>
                      <w:color w:val="auto"/>
                    </w:rPr>
                  </w:pPr>
                  <w:r>
                    <w:rPr>
                      <w:rFonts w:hint="eastAsia"/>
                      <w:color w:val="auto"/>
                      <w:lang w:eastAsia="zh-CN"/>
                    </w:rPr>
                    <w:t>酸洗废气</w:t>
                  </w:r>
                </w:p>
              </w:tc>
              <w:tc>
                <w:tcPr>
                  <w:tcW w:w="3254" w:type="dxa"/>
                  <w:vAlign w:val="center"/>
                </w:tcPr>
                <w:p>
                  <w:pPr>
                    <w:pStyle w:val="63"/>
                    <w:rPr>
                      <w:color w:val="auto"/>
                      <w:lang w:val="en-US"/>
                    </w:rPr>
                  </w:pPr>
                  <w:r>
                    <w:rPr>
                      <w:rFonts w:hint="eastAsia"/>
                      <w:color w:val="auto"/>
                      <w:lang w:val="en-US"/>
                    </w:rPr>
                    <w:t>酸洗槽水封+酸雾洗涤塔+风机</w:t>
                  </w:r>
                </w:p>
              </w:tc>
              <w:tc>
                <w:tcPr>
                  <w:tcW w:w="2201" w:type="dxa"/>
                  <w:vAlign w:val="center"/>
                </w:tcPr>
                <w:p>
                  <w:pPr>
                    <w:pStyle w:val="63"/>
                    <w:rPr>
                      <w:color w:val="auto"/>
                    </w:rPr>
                  </w:pPr>
                  <w:r>
                    <w:rPr>
                      <w:rFonts w:hint="eastAsia"/>
                      <w:color w:val="auto"/>
                      <w:lang w:eastAsia="zh-CN"/>
                    </w:rPr>
                    <w:t>D</w:t>
                  </w:r>
                  <w:r>
                    <w:rPr>
                      <w:color w:val="auto"/>
                      <w:lang w:eastAsia="zh-CN"/>
                    </w:rPr>
                    <w:t>A006</w:t>
                  </w:r>
                  <w:r>
                    <w:rPr>
                      <w:rFonts w:hint="eastAsia"/>
                      <w:color w:val="auto"/>
                      <w:lang w:eastAsia="zh-CN"/>
                    </w:rPr>
                    <w:t>排放口排放，H</w:t>
                  </w:r>
                  <w:r>
                    <w:rPr>
                      <w:color w:val="auto"/>
                      <w:lang w:eastAsia="zh-CN"/>
                    </w:rPr>
                    <w:t>=18</w:t>
                  </w:r>
                  <w:r>
                    <w:rPr>
                      <w:rFonts w:hint="eastAsia"/>
                      <w:color w:val="auto"/>
                      <w:lang w:eastAsia="zh-CN"/>
                    </w:rPr>
                    <w:t>m，d</w:t>
                  </w:r>
                  <w:r>
                    <w:rPr>
                      <w:color w:val="auto"/>
                      <w:lang w:eastAsia="zh-CN"/>
                    </w:rPr>
                    <w:t>=700</w:t>
                  </w:r>
                  <w:r>
                    <w:rPr>
                      <w:rFonts w:hint="eastAsia"/>
                      <w:color w:val="auto"/>
                      <w:lang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5" w:type="dxa"/>
                  <w:gridSpan w:val="2"/>
                  <w:vAlign w:val="center"/>
                </w:tcPr>
                <w:p>
                  <w:pPr>
                    <w:pStyle w:val="63"/>
                    <w:rPr>
                      <w:color w:val="auto"/>
                    </w:rPr>
                  </w:pPr>
                  <w:r>
                    <w:rPr>
                      <w:rFonts w:hint="eastAsia"/>
                      <w:color w:val="auto"/>
                      <w:lang w:eastAsia="zh-CN"/>
                    </w:rPr>
                    <w:t>生产废水</w:t>
                  </w:r>
                </w:p>
              </w:tc>
              <w:tc>
                <w:tcPr>
                  <w:tcW w:w="3254" w:type="dxa"/>
                  <w:vAlign w:val="center"/>
                </w:tcPr>
                <w:p>
                  <w:pPr>
                    <w:pStyle w:val="63"/>
                    <w:rPr>
                      <w:color w:val="auto"/>
                      <w:lang w:val="en-US"/>
                    </w:rPr>
                  </w:pPr>
                  <w:r>
                    <w:rPr>
                      <w:rFonts w:hint="eastAsia"/>
                      <w:color w:val="auto"/>
                      <w:lang w:val="en-US" w:eastAsia="zh-CN"/>
                    </w:rPr>
                    <w:t>净循环系统1套、浊循环系统1套、酸性废水处理系统1套</w:t>
                  </w:r>
                </w:p>
              </w:tc>
              <w:tc>
                <w:tcPr>
                  <w:tcW w:w="2201" w:type="dxa"/>
                  <w:vAlign w:val="center"/>
                </w:tcPr>
                <w:p>
                  <w:pPr>
                    <w:pStyle w:val="63"/>
                    <w:rPr>
                      <w:color w:val="auto"/>
                    </w:rPr>
                  </w:pPr>
                  <w:r>
                    <w:rPr>
                      <w:rFonts w:hint="eastAsia"/>
                      <w:color w:val="auto"/>
                      <w:lang w:eastAsia="zh-CN"/>
                    </w:rPr>
                    <w:t>全部回用不外排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5" w:type="dxa"/>
                  <w:gridSpan w:val="2"/>
                  <w:vAlign w:val="center"/>
                </w:tcPr>
                <w:p>
                  <w:pPr>
                    <w:pStyle w:val="63"/>
                    <w:rPr>
                      <w:color w:val="auto"/>
                    </w:rPr>
                  </w:pPr>
                  <w:r>
                    <w:rPr>
                      <w:rFonts w:hint="eastAsia"/>
                      <w:color w:val="auto"/>
                    </w:rPr>
                    <w:t>生活污水</w:t>
                  </w:r>
                </w:p>
              </w:tc>
              <w:tc>
                <w:tcPr>
                  <w:tcW w:w="3254" w:type="dxa"/>
                  <w:vAlign w:val="center"/>
                </w:tcPr>
                <w:p>
                  <w:pPr>
                    <w:pStyle w:val="63"/>
                    <w:rPr>
                      <w:color w:val="auto"/>
                      <w:lang w:val="en-US"/>
                    </w:rPr>
                  </w:pPr>
                  <w:r>
                    <w:rPr>
                      <w:rFonts w:hint="eastAsia"/>
                      <w:color w:val="auto"/>
                      <w:lang w:val="en-US"/>
                    </w:rPr>
                    <w:t>依托云南天高镍业有限公司现有生活污水处理站</w:t>
                  </w:r>
                </w:p>
              </w:tc>
              <w:tc>
                <w:tcPr>
                  <w:tcW w:w="2201" w:type="dxa"/>
                  <w:vAlign w:val="center"/>
                </w:tcPr>
                <w:p>
                  <w:pPr>
                    <w:pStyle w:val="63"/>
                    <w:rPr>
                      <w:color w:val="auto"/>
                    </w:rPr>
                  </w:pPr>
                  <w:r>
                    <w:rPr>
                      <w:rFonts w:hint="eastAsia"/>
                      <w:color w:val="auto"/>
                      <w:lang w:val="en-US"/>
                    </w:rPr>
                    <w:t>回用于云南天高镍业有限公司炼钢循环补充水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826" w:type="dxa"/>
                  <w:vMerge w:val="restart"/>
                  <w:vAlign w:val="center"/>
                </w:tcPr>
                <w:p>
                  <w:pPr>
                    <w:pStyle w:val="63"/>
                    <w:rPr>
                      <w:color w:val="auto"/>
                    </w:rPr>
                  </w:pPr>
                  <w:r>
                    <w:rPr>
                      <w:rFonts w:hint="eastAsia"/>
                      <w:color w:val="auto"/>
                    </w:rPr>
                    <w:t>一般工业固废</w:t>
                  </w:r>
                </w:p>
              </w:tc>
              <w:tc>
                <w:tcPr>
                  <w:tcW w:w="1559" w:type="dxa"/>
                  <w:vAlign w:val="center"/>
                </w:tcPr>
                <w:p>
                  <w:pPr>
                    <w:pStyle w:val="63"/>
                    <w:rPr>
                      <w:color w:val="auto"/>
                    </w:rPr>
                  </w:pPr>
                  <w:r>
                    <w:rPr>
                      <w:rFonts w:hint="eastAsia"/>
                      <w:color w:val="auto"/>
                      <w:lang w:eastAsia="zh-CN"/>
                    </w:rPr>
                    <w:t>收尘灰</w:t>
                  </w:r>
                </w:p>
              </w:tc>
              <w:tc>
                <w:tcPr>
                  <w:tcW w:w="5455" w:type="dxa"/>
                  <w:gridSpan w:val="2"/>
                  <w:vAlign w:val="center"/>
                </w:tcPr>
                <w:p>
                  <w:pPr>
                    <w:pStyle w:val="63"/>
                    <w:rPr>
                      <w:color w:val="auto"/>
                      <w:lang w:eastAsia="zh-CN"/>
                    </w:rPr>
                  </w:pPr>
                  <w:r>
                    <w:rPr>
                      <w:rFonts w:hint="eastAsia"/>
                      <w:color w:val="auto"/>
                      <w:lang w:eastAsia="zh-CN"/>
                    </w:rPr>
                    <w:t>经布袋除尘器下方吨袋统一收集后</w:t>
                  </w:r>
                  <w:r>
                    <w:rPr>
                      <w:rFonts w:hint="eastAsia"/>
                      <w:color w:val="auto"/>
                    </w:rPr>
                    <w:t>返回云南天高镍业有限公司炼钢工段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826" w:type="dxa"/>
                  <w:vMerge w:val="continue"/>
                  <w:vAlign w:val="center"/>
                </w:tcPr>
                <w:p>
                  <w:pPr>
                    <w:pStyle w:val="63"/>
                    <w:rPr>
                      <w:color w:val="auto"/>
                    </w:rPr>
                  </w:pPr>
                </w:p>
              </w:tc>
              <w:tc>
                <w:tcPr>
                  <w:tcW w:w="1559" w:type="dxa"/>
                  <w:vAlign w:val="center"/>
                </w:tcPr>
                <w:p>
                  <w:pPr>
                    <w:pStyle w:val="63"/>
                    <w:rPr>
                      <w:color w:val="auto"/>
                      <w:lang w:eastAsia="zh-CN"/>
                    </w:rPr>
                  </w:pPr>
                  <w:r>
                    <w:rPr>
                      <w:color w:val="auto"/>
                      <w:lang w:val="en-US" w:eastAsia="zh-CN"/>
                    </w:rPr>
                    <w:t>废钢</w:t>
                  </w:r>
                  <w:r>
                    <w:rPr>
                      <w:rFonts w:hint="eastAsia"/>
                      <w:color w:val="auto"/>
                      <w:lang w:eastAsia="zh-CN"/>
                    </w:rPr>
                    <w:t>及边角料</w:t>
                  </w:r>
                </w:p>
              </w:tc>
              <w:tc>
                <w:tcPr>
                  <w:tcW w:w="5455" w:type="dxa"/>
                  <w:gridSpan w:val="2"/>
                  <w:vAlign w:val="center"/>
                </w:tcPr>
                <w:p>
                  <w:pPr>
                    <w:pStyle w:val="63"/>
                    <w:rPr>
                      <w:color w:val="auto"/>
                      <w:lang w:eastAsia="zh-CN"/>
                    </w:rPr>
                  </w:pPr>
                  <w:r>
                    <w:rPr>
                      <w:rFonts w:hint="eastAsia"/>
                      <w:color w:val="auto"/>
                      <w:lang w:eastAsia="zh-CN"/>
                    </w:rPr>
                    <w:t>统一收集后</w:t>
                  </w:r>
                  <w:r>
                    <w:rPr>
                      <w:color w:val="auto"/>
                      <w:lang w:val="en-US" w:eastAsia="zh-CN"/>
                    </w:rPr>
                    <w:t>返回云南天高镍业有限公司炼钢工段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826" w:type="dxa"/>
                  <w:vMerge w:val="continue"/>
                  <w:vAlign w:val="center"/>
                </w:tcPr>
                <w:p>
                  <w:pPr>
                    <w:pStyle w:val="63"/>
                    <w:rPr>
                      <w:color w:val="auto"/>
                    </w:rPr>
                  </w:pPr>
                </w:p>
              </w:tc>
              <w:tc>
                <w:tcPr>
                  <w:tcW w:w="1559" w:type="dxa"/>
                  <w:vAlign w:val="center"/>
                </w:tcPr>
                <w:p>
                  <w:pPr>
                    <w:pStyle w:val="63"/>
                    <w:rPr>
                      <w:color w:val="auto"/>
                      <w:lang w:val="en-US" w:eastAsia="zh-CN"/>
                    </w:rPr>
                  </w:pPr>
                  <w:r>
                    <w:rPr>
                      <w:color w:val="auto"/>
                      <w:lang w:val="en-US" w:eastAsia="zh-CN"/>
                    </w:rPr>
                    <w:t>湿式除尘污泥</w:t>
                  </w:r>
                </w:p>
              </w:tc>
              <w:tc>
                <w:tcPr>
                  <w:tcW w:w="5455" w:type="dxa"/>
                  <w:gridSpan w:val="2"/>
                  <w:vAlign w:val="center"/>
                </w:tcPr>
                <w:p>
                  <w:pPr>
                    <w:pStyle w:val="63"/>
                    <w:rPr>
                      <w:color w:val="auto"/>
                      <w:lang w:val="en-US" w:eastAsia="zh-CN"/>
                    </w:rPr>
                  </w:pPr>
                  <w:r>
                    <w:rPr>
                      <w:rFonts w:hint="eastAsia"/>
                      <w:color w:val="auto"/>
                    </w:rPr>
                    <w:t>排入就近的平流沉淀池经压滤干化处理后返回云南天高镍业有限公司炼钢工段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826" w:type="dxa"/>
                  <w:vMerge w:val="continue"/>
                  <w:vAlign w:val="center"/>
                </w:tcPr>
                <w:p>
                  <w:pPr>
                    <w:pStyle w:val="63"/>
                    <w:rPr>
                      <w:color w:val="auto"/>
                    </w:rPr>
                  </w:pPr>
                </w:p>
              </w:tc>
              <w:tc>
                <w:tcPr>
                  <w:tcW w:w="1559" w:type="dxa"/>
                  <w:vAlign w:val="center"/>
                </w:tcPr>
                <w:p>
                  <w:pPr>
                    <w:pStyle w:val="63"/>
                    <w:rPr>
                      <w:color w:val="auto"/>
                      <w:lang w:eastAsia="zh-CN"/>
                    </w:rPr>
                  </w:pPr>
                  <w:r>
                    <w:rPr>
                      <w:rFonts w:hint="eastAsia"/>
                      <w:color w:val="auto"/>
                      <w:lang w:eastAsia="zh-CN"/>
                    </w:rPr>
                    <w:t>氧化铁皮</w:t>
                  </w:r>
                </w:p>
              </w:tc>
              <w:tc>
                <w:tcPr>
                  <w:tcW w:w="5455" w:type="dxa"/>
                  <w:gridSpan w:val="2"/>
                  <w:vAlign w:val="center"/>
                </w:tcPr>
                <w:p>
                  <w:pPr>
                    <w:pStyle w:val="63"/>
                    <w:rPr>
                      <w:color w:val="auto"/>
                      <w:lang w:eastAsia="zh-CN"/>
                    </w:rPr>
                  </w:pPr>
                  <w:r>
                    <w:rPr>
                      <w:rFonts w:hint="eastAsia"/>
                      <w:color w:val="auto"/>
                      <w:lang w:eastAsia="zh-CN"/>
                    </w:rPr>
                    <w:t>收集后作为</w:t>
                  </w:r>
                  <w:r>
                    <w:rPr>
                      <w:rFonts w:hint="eastAsia"/>
                      <w:color w:val="auto"/>
                      <w:lang w:val="en-US"/>
                    </w:rPr>
                    <w:t>云南天高镍业有限公司</w:t>
                  </w:r>
                  <w:r>
                    <w:rPr>
                      <w:rFonts w:hint="eastAsia"/>
                      <w:color w:val="auto"/>
                      <w:lang w:val="en-US" w:eastAsia="zh-CN"/>
                    </w:rPr>
                    <w:t>生产原料使用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26" w:type="dxa"/>
                  <w:vMerge w:val="restart"/>
                  <w:vAlign w:val="center"/>
                </w:tcPr>
                <w:p>
                  <w:pPr>
                    <w:pStyle w:val="63"/>
                    <w:rPr>
                      <w:color w:val="auto"/>
                    </w:rPr>
                  </w:pPr>
                  <w:r>
                    <w:rPr>
                      <w:rFonts w:hint="eastAsia"/>
                      <w:color w:val="auto"/>
                    </w:rPr>
                    <w:t>危险废物</w:t>
                  </w:r>
                </w:p>
              </w:tc>
              <w:tc>
                <w:tcPr>
                  <w:tcW w:w="1559" w:type="dxa"/>
                  <w:vAlign w:val="center"/>
                </w:tcPr>
                <w:p>
                  <w:pPr>
                    <w:pStyle w:val="63"/>
                    <w:rPr>
                      <w:color w:val="auto"/>
                      <w:lang w:eastAsia="zh-CN"/>
                    </w:rPr>
                  </w:pPr>
                  <w:r>
                    <w:rPr>
                      <w:rFonts w:hint="eastAsia"/>
                      <w:color w:val="auto"/>
                      <w:lang w:eastAsia="zh-CN"/>
                    </w:rPr>
                    <w:t>酸性废水处理污泥</w:t>
                  </w:r>
                </w:p>
              </w:tc>
              <w:tc>
                <w:tcPr>
                  <w:tcW w:w="3254" w:type="dxa"/>
                  <w:vAlign w:val="center"/>
                </w:tcPr>
                <w:p>
                  <w:pPr>
                    <w:pStyle w:val="63"/>
                    <w:rPr>
                      <w:color w:val="auto"/>
                      <w:lang w:val="en-US"/>
                    </w:rPr>
                  </w:pPr>
                  <w:r>
                    <w:rPr>
                      <w:rFonts w:hint="eastAsia"/>
                      <w:color w:val="auto"/>
                    </w:rPr>
                    <w:t>经浓缩、压滤后收集于污泥暂存间（25m</w:t>
                  </w:r>
                  <w:r>
                    <w:rPr>
                      <w:rFonts w:hint="eastAsia"/>
                      <w:color w:val="auto"/>
                      <w:vertAlign w:val="superscript"/>
                    </w:rPr>
                    <w:t>2</w:t>
                  </w:r>
                  <w:r>
                    <w:rPr>
                      <w:rFonts w:hint="eastAsia"/>
                      <w:color w:val="auto"/>
                    </w:rPr>
                    <w:t>）内，待一定量后转运到危废暂存间（850m</w:t>
                  </w:r>
                  <w:r>
                    <w:rPr>
                      <w:rFonts w:hint="eastAsia"/>
                      <w:color w:val="auto"/>
                      <w:vertAlign w:val="superscript"/>
                    </w:rPr>
                    <w:t>2</w:t>
                  </w:r>
                  <w:r>
                    <w:rPr>
                      <w:rFonts w:hint="eastAsia"/>
                      <w:color w:val="auto"/>
                    </w:rPr>
                    <w:t>）</w:t>
                  </w:r>
                </w:p>
              </w:tc>
              <w:tc>
                <w:tcPr>
                  <w:tcW w:w="2201" w:type="dxa"/>
                  <w:vAlign w:val="center"/>
                </w:tcPr>
                <w:p>
                  <w:pPr>
                    <w:pStyle w:val="63"/>
                    <w:rPr>
                      <w:color w:val="auto"/>
                      <w:lang w:eastAsia="zh-CN"/>
                    </w:rPr>
                  </w:pPr>
                  <w:r>
                    <w:rPr>
                      <w:rFonts w:hint="eastAsia"/>
                      <w:color w:val="auto"/>
                    </w:rPr>
                    <w:t>汉源金炉科技有限公司</w:t>
                  </w:r>
                  <w:r>
                    <w:rPr>
                      <w:rFonts w:hint="eastAsia"/>
                      <w:color w:val="auto"/>
                      <w:lang w:eastAsia="zh-CN"/>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26" w:type="dxa"/>
                  <w:vMerge w:val="continue"/>
                  <w:vAlign w:val="center"/>
                </w:tcPr>
                <w:p>
                  <w:pPr>
                    <w:pStyle w:val="63"/>
                    <w:rPr>
                      <w:color w:val="auto"/>
                    </w:rPr>
                  </w:pPr>
                </w:p>
              </w:tc>
              <w:tc>
                <w:tcPr>
                  <w:tcW w:w="1559" w:type="dxa"/>
                  <w:vAlign w:val="center"/>
                </w:tcPr>
                <w:p>
                  <w:pPr>
                    <w:pStyle w:val="63"/>
                    <w:rPr>
                      <w:color w:val="auto"/>
                    </w:rPr>
                  </w:pPr>
                  <w:r>
                    <w:rPr>
                      <w:rFonts w:hint="eastAsia"/>
                      <w:color w:val="auto"/>
                      <w:lang w:eastAsia="zh-CN"/>
                    </w:rPr>
                    <w:t>废矿物油</w:t>
                  </w:r>
                </w:p>
              </w:tc>
              <w:tc>
                <w:tcPr>
                  <w:tcW w:w="3254" w:type="dxa"/>
                  <w:vAlign w:val="center"/>
                </w:tcPr>
                <w:p>
                  <w:pPr>
                    <w:pStyle w:val="63"/>
                    <w:rPr>
                      <w:color w:val="auto"/>
                      <w:lang w:val="en-US"/>
                    </w:rPr>
                  </w:pPr>
                  <w:r>
                    <w:rPr>
                      <w:rFonts w:hint="eastAsia"/>
                      <w:color w:val="auto"/>
                      <w:lang w:val="en-US"/>
                    </w:rPr>
                    <w:t>暂存于危废暂存间</w:t>
                  </w:r>
                </w:p>
              </w:tc>
              <w:tc>
                <w:tcPr>
                  <w:tcW w:w="2201" w:type="dxa"/>
                  <w:vAlign w:val="center"/>
                </w:tcPr>
                <w:p>
                  <w:pPr>
                    <w:pStyle w:val="63"/>
                    <w:rPr>
                      <w:color w:val="auto"/>
                    </w:rPr>
                  </w:pPr>
                  <w:r>
                    <w:rPr>
                      <w:rFonts w:hint="eastAsia"/>
                      <w:color w:val="auto"/>
                      <w:lang w:eastAsia="zh-CN"/>
                    </w:rPr>
                    <w:t>云南新昊环保科技有限公司处置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5" w:type="dxa"/>
                  <w:gridSpan w:val="2"/>
                  <w:vAlign w:val="center"/>
                </w:tcPr>
                <w:p>
                  <w:pPr>
                    <w:pStyle w:val="63"/>
                    <w:rPr>
                      <w:color w:val="auto"/>
                      <w:lang w:val="en-US"/>
                    </w:rPr>
                  </w:pPr>
                  <w:r>
                    <w:rPr>
                      <w:rFonts w:hint="eastAsia"/>
                      <w:color w:val="auto"/>
                      <w:lang w:val="en-US"/>
                    </w:rPr>
                    <w:t>生活垃圾</w:t>
                  </w:r>
                </w:p>
              </w:tc>
              <w:tc>
                <w:tcPr>
                  <w:tcW w:w="5455" w:type="dxa"/>
                  <w:gridSpan w:val="2"/>
                  <w:vAlign w:val="center"/>
                </w:tcPr>
                <w:p>
                  <w:pPr>
                    <w:pStyle w:val="63"/>
                    <w:rPr>
                      <w:color w:val="auto"/>
                    </w:rPr>
                  </w:pPr>
                  <w:r>
                    <w:rPr>
                      <w:rFonts w:hint="eastAsia"/>
                      <w:color w:val="auto"/>
                    </w:rPr>
                    <w:t>园区环卫部门清运处置</w:t>
                  </w:r>
                </w:p>
              </w:tc>
            </w:tr>
          </w:tbl>
          <w:p>
            <w:pPr>
              <w:pStyle w:val="66"/>
              <w:rPr>
                <w:color w:val="auto"/>
              </w:rPr>
            </w:pPr>
            <w:r>
              <w:rPr>
                <w:rFonts w:hint="eastAsia"/>
                <w:color w:val="auto"/>
              </w:rPr>
              <w:t>表2</w:t>
            </w:r>
            <w:r>
              <w:rPr>
                <w:color w:val="auto"/>
              </w:rPr>
              <w:t xml:space="preserve">.3-5 </w:t>
            </w:r>
            <w:r>
              <w:rPr>
                <w:rFonts w:hint="eastAsia"/>
                <w:color w:val="auto"/>
              </w:rPr>
              <w:t>全厂废气排放量核算一览表</w:t>
            </w:r>
          </w:p>
          <w:tbl>
            <w:tblPr>
              <w:tblStyle w:val="27"/>
              <w:tblW w:w="49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9"/>
              <w:gridCol w:w="2467"/>
              <w:gridCol w:w="1121"/>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63"/>
                    <w:rPr>
                      <w:color w:val="auto"/>
                    </w:rPr>
                  </w:pPr>
                  <w:r>
                    <w:rPr>
                      <w:rFonts w:hint="eastAsia"/>
                      <w:color w:val="auto"/>
                    </w:rPr>
                    <w:t>污染物类型</w:t>
                  </w:r>
                </w:p>
              </w:tc>
              <w:tc>
                <w:tcPr>
                  <w:tcW w:w="1000" w:type="pct"/>
                  <w:vAlign w:val="center"/>
                </w:tcPr>
                <w:p>
                  <w:pPr>
                    <w:pStyle w:val="63"/>
                    <w:rPr>
                      <w:color w:val="auto"/>
                      <w:lang w:eastAsia="zh-CN"/>
                    </w:rPr>
                  </w:pPr>
                  <w:r>
                    <w:rPr>
                      <w:rFonts w:hint="eastAsia"/>
                      <w:color w:val="auto"/>
                      <w:lang w:eastAsia="zh-CN"/>
                    </w:rPr>
                    <w:t>排放速率</w:t>
                  </w:r>
                </w:p>
                <w:p>
                  <w:pPr>
                    <w:pStyle w:val="63"/>
                    <w:rPr>
                      <w:color w:val="auto"/>
                    </w:rPr>
                  </w:pPr>
                  <w:r>
                    <w:rPr>
                      <w:rFonts w:hint="eastAsia"/>
                      <w:color w:val="auto"/>
                      <w:lang w:val="en-US"/>
                    </w:rPr>
                    <w:t>（kg/h）</w:t>
                  </w:r>
                </w:p>
              </w:tc>
              <w:tc>
                <w:tcPr>
                  <w:tcW w:w="1593" w:type="pct"/>
                  <w:vAlign w:val="center"/>
                </w:tcPr>
                <w:p>
                  <w:pPr>
                    <w:pStyle w:val="63"/>
                    <w:rPr>
                      <w:color w:val="auto"/>
                    </w:rPr>
                  </w:pPr>
                  <w:r>
                    <w:rPr>
                      <w:rFonts w:hint="eastAsia"/>
                      <w:color w:val="auto"/>
                      <w:lang w:eastAsia="zh-CN"/>
                    </w:rPr>
                    <w:t>数据来源</w:t>
                  </w:r>
                </w:p>
              </w:tc>
              <w:tc>
                <w:tcPr>
                  <w:tcW w:w="724" w:type="pct"/>
                  <w:vAlign w:val="center"/>
                </w:tcPr>
                <w:p>
                  <w:pPr>
                    <w:pStyle w:val="63"/>
                    <w:rPr>
                      <w:color w:val="auto"/>
                      <w:lang w:eastAsia="zh-CN"/>
                    </w:rPr>
                  </w:pPr>
                  <w:r>
                    <w:rPr>
                      <w:rFonts w:hint="eastAsia"/>
                      <w:color w:val="auto"/>
                      <w:lang w:eastAsia="zh-CN"/>
                    </w:rPr>
                    <w:t>平均值</w:t>
                  </w:r>
                </w:p>
                <w:p>
                  <w:pPr>
                    <w:pStyle w:val="63"/>
                    <w:rPr>
                      <w:color w:val="auto"/>
                    </w:rPr>
                  </w:pPr>
                  <w:r>
                    <w:rPr>
                      <w:rFonts w:hint="eastAsia"/>
                      <w:color w:val="auto"/>
                      <w:lang w:val="en-US"/>
                    </w:rPr>
                    <w:t>（kg/h）</w:t>
                  </w:r>
                </w:p>
              </w:tc>
              <w:tc>
                <w:tcPr>
                  <w:tcW w:w="683" w:type="pct"/>
                  <w:vAlign w:val="center"/>
                </w:tcPr>
                <w:p>
                  <w:pPr>
                    <w:pStyle w:val="63"/>
                    <w:rPr>
                      <w:color w:val="auto"/>
                      <w:lang w:eastAsia="zh-CN"/>
                    </w:rPr>
                  </w:pPr>
                  <w:r>
                    <w:rPr>
                      <w:rFonts w:hint="eastAsia"/>
                      <w:color w:val="auto"/>
                      <w:lang w:eastAsia="zh-CN"/>
                    </w:rPr>
                    <w:t>排放量</w:t>
                  </w:r>
                </w:p>
                <w:p>
                  <w:pPr>
                    <w:pStyle w:val="63"/>
                    <w:rPr>
                      <w:color w:val="auto"/>
                    </w:rPr>
                  </w:pPr>
                  <w:r>
                    <w:rPr>
                      <w:rFonts w:hint="eastAsia"/>
                      <w:color w:val="auto"/>
                      <w:lang w:val="en-US"/>
                    </w:rPr>
                    <w:t>（</w:t>
                  </w:r>
                  <w:r>
                    <w:rPr>
                      <w:rFonts w:hint="eastAsia"/>
                      <w:color w:val="auto"/>
                      <w:lang w:val="en-US" w:eastAsia="zh-CN"/>
                    </w:rPr>
                    <w:t>t</w:t>
                  </w:r>
                  <w:r>
                    <w:rPr>
                      <w:rFonts w:hint="eastAsia"/>
                      <w:color w:val="auto"/>
                      <w:lang w:val="en-US"/>
                    </w:rPr>
                    <w:t>/</w:t>
                  </w:r>
                  <w:r>
                    <w:rPr>
                      <w:rFonts w:hint="eastAsia"/>
                      <w:color w:val="auto"/>
                      <w:lang w:val="en-US" w:eastAsia="zh-CN"/>
                    </w:rPr>
                    <w:t>a</w:t>
                  </w:r>
                  <w:r>
                    <w:rPr>
                      <w:rFonts w:hint="eastAsia"/>
                      <w:color w:val="auto"/>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63"/>
                    <w:rPr>
                      <w:color w:val="auto"/>
                      <w:lang w:eastAsia="zh-CN"/>
                    </w:rPr>
                  </w:pPr>
                  <w:r>
                    <w:rPr>
                      <w:rFonts w:hint="eastAsia"/>
                      <w:color w:val="auto"/>
                    </w:rPr>
                    <w:t>年产140万吨热轧生产线建设项目</w:t>
                  </w:r>
                  <w:r>
                    <w:rPr>
                      <w:rFonts w:hint="eastAsia"/>
                      <w:color w:val="auto"/>
                      <w:lang w:eastAsia="zh-CN"/>
                    </w:rPr>
                    <w:t>（D</w:t>
                  </w:r>
                  <w:r>
                    <w:rPr>
                      <w:color w:val="auto"/>
                      <w:lang w:eastAsia="zh-CN"/>
                    </w:rPr>
                    <w:t>A001</w:t>
                  </w:r>
                  <w:r>
                    <w:rPr>
                      <w:rFonts w:hint="eastAsia"/>
                      <w:color w:val="auto"/>
                      <w:lang w:eastAsia="zh-CN"/>
                    </w:rPr>
                    <w:t>，热处理炉）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pStyle w:val="63"/>
                    <w:rPr>
                      <w:color w:val="auto"/>
                      <w:lang w:val="en-US"/>
                    </w:rPr>
                  </w:pPr>
                  <w:r>
                    <w:rPr>
                      <w:rFonts w:hint="eastAsia"/>
                      <w:color w:val="auto"/>
                      <w:lang w:val="en-US" w:eastAsia="zh-CN"/>
                    </w:rPr>
                    <w:t>颗粒物</w:t>
                  </w:r>
                </w:p>
              </w:tc>
              <w:tc>
                <w:tcPr>
                  <w:tcW w:w="1000" w:type="pct"/>
                  <w:vAlign w:val="center"/>
                </w:tcPr>
                <w:p>
                  <w:pPr>
                    <w:pStyle w:val="63"/>
                    <w:rPr>
                      <w:color w:val="auto"/>
                    </w:rPr>
                  </w:pPr>
                  <w:r>
                    <w:rPr>
                      <w:rFonts w:hint="eastAsia"/>
                      <w:color w:val="auto"/>
                      <w:lang w:eastAsia="zh-CN"/>
                    </w:rPr>
                    <w:t>0</w:t>
                  </w:r>
                  <w:r>
                    <w:rPr>
                      <w:color w:val="auto"/>
                      <w:lang w:eastAsia="zh-CN"/>
                    </w:rPr>
                    <w:t>.213</w:t>
                  </w:r>
                </w:p>
              </w:tc>
              <w:tc>
                <w:tcPr>
                  <w:tcW w:w="1593" w:type="pct"/>
                  <w:vAlign w:val="center"/>
                </w:tcPr>
                <w:p>
                  <w:pPr>
                    <w:pStyle w:val="63"/>
                    <w:rPr>
                      <w:color w:val="auto"/>
                    </w:rPr>
                  </w:pPr>
                  <w:r>
                    <w:rPr>
                      <w:rFonts w:hint="eastAsia"/>
                      <w:color w:val="auto"/>
                      <w:lang w:eastAsia="zh-CN"/>
                    </w:rPr>
                    <w:t>2</w:t>
                  </w:r>
                  <w:r>
                    <w:rPr>
                      <w:color w:val="auto"/>
                      <w:lang w:eastAsia="zh-CN"/>
                    </w:rPr>
                    <w:t>022.03.21</w:t>
                  </w:r>
                  <w:r>
                    <w:rPr>
                      <w:rFonts w:hint="eastAsia"/>
                      <w:color w:val="auto"/>
                      <w:lang w:eastAsia="zh-CN"/>
                    </w:rPr>
                    <w:t>（自行监测）</w:t>
                  </w:r>
                </w:p>
              </w:tc>
              <w:tc>
                <w:tcPr>
                  <w:tcW w:w="724" w:type="pct"/>
                  <w:vMerge w:val="restart"/>
                  <w:vAlign w:val="center"/>
                </w:tcPr>
                <w:p>
                  <w:pPr>
                    <w:pStyle w:val="63"/>
                    <w:rPr>
                      <w:color w:val="auto"/>
                    </w:rPr>
                  </w:pPr>
                  <w:r>
                    <w:rPr>
                      <w:color w:val="auto"/>
                      <w:lang w:val="en-US"/>
                    </w:rPr>
                    <w:t>0.390</w:t>
                  </w:r>
                </w:p>
              </w:tc>
              <w:tc>
                <w:tcPr>
                  <w:tcW w:w="683" w:type="pct"/>
                  <w:vMerge w:val="restart"/>
                  <w:vAlign w:val="center"/>
                </w:tcPr>
                <w:p>
                  <w:pPr>
                    <w:pStyle w:val="63"/>
                    <w:rPr>
                      <w:color w:val="auto"/>
                      <w:lang w:eastAsia="zh-CN"/>
                    </w:rPr>
                  </w:pPr>
                  <w:r>
                    <w:rPr>
                      <w:color w:val="auto"/>
                      <w:lang w:eastAsia="zh-CN"/>
                    </w:rPr>
                    <w:t>2.527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rPr>
                  </w:pPr>
                  <w:r>
                    <w:rPr>
                      <w:rFonts w:hint="eastAsia"/>
                      <w:color w:val="auto"/>
                      <w:lang w:eastAsia="zh-CN"/>
                    </w:rPr>
                    <w:t>0</w:t>
                  </w:r>
                  <w:r>
                    <w:rPr>
                      <w:color w:val="auto"/>
                      <w:lang w:eastAsia="zh-CN"/>
                    </w:rPr>
                    <w:t>.243</w:t>
                  </w:r>
                </w:p>
              </w:tc>
              <w:tc>
                <w:tcPr>
                  <w:tcW w:w="1593" w:type="pct"/>
                  <w:vAlign w:val="center"/>
                </w:tcPr>
                <w:p>
                  <w:pPr>
                    <w:pStyle w:val="63"/>
                    <w:rPr>
                      <w:color w:val="auto"/>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rPr>
                  </w:pPr>
                  <w:r>
                    <w:rPr>
                      <w:rFonts w:hint="eastAsia"/>
                      <w:color w:val="auto"/>
                      <w:lang w:eastAsia="zh-CN"/>
                    </w:rPr>
                    <w:t>0</w:t>
                  </w:r>
                  <w:r>
                    <w:rPr>
                      <w:color w:val="auto"/>
                      <w:lang w:eastAsia="zh-CN"/>
                    </w:rPr>
                    <w:t>.249</w:t>
                  </w:r>
                </w:p>
              </w:tc>
              <w:tc>
                <w:tcPr>
                  <w:tcW w:w="1593" w:type="pct"/>
                  <w:vAlign w:val="center"/>
                </w:tcPr>
                <w:p>
                  <w:pPr>
                    <w:pStyle w:val="63"/>
                    <w:rPr>
                      <w:color w:val="auto"/>
                    </w:rPr>
                  </w:pPr>
                  <w:r>
                    <w:rPr>
                      <w:rFonts w:hint="eastAsia"/>
                      <w:color w:val="auto"/>
                      <w:lang w:eastAsia="zh-CN"/>
                    </w:rPr>
                    <w:t>2</w:t>
                  </w:r>
                  <w:r>
                    <w:rPr>
                      <w:color w:val="auto"/>
                      <w:lang w:eastAsia="zh-CN"/>
                    </w:rPr>
                    <w:t>022.07.25</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rPr>
                  </w:pPr>
                  <w:r>
                    <w:rPr>
                      <w:rFonts w:hint="eastAsia"/>
                      <w:color w:val="auto"/>
                      <w:lang w:eastAsia="zh-CN"/>
                    </w:rPr>
                    <w:t>0</w:t>
                  </w:r>
                  <w:r>
                    <w:rPr>
                      <w:color w:val="auto"/>
                      <w:lang w:eastAsia="zh-CN"/>
                    </w:rPr>
                    <w:t>.212</w:t>
                  </w:r>
                </w:p>
              </w:tc>
              <w:tc>
                <w:tcPr>
                  <w:tcW w:w="1593" w:type="pct"/>
                  <w:vAlign w:val="center"/>
                </w:tcPr>
                <w:p>
                  <w:pPr>
                    <w:pStyle w:val="63"/>
                    <w:rPr>
                      <w:color w:val="auto"/>
                    </w:rPr>
                  </w:pPr>
                  <w:r>
                    <w:rPr>
                      <w:rFonts w:hint="eastAsia"/>
                      <w:color w:val="auto"/>
                      <w:lang w:eastAsia="zh-CN"/>
                    </w:rPr>
                    <w:t>2</w:t>
                  </w:r>
                  <w:r>
                    <w:rPr>
                      <w:color w:val="auto"/>
                      <w:lang w:eastAsia="zh-CN"/>
                    </w:rPr>
                    <w:t>022.11.25</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rPr>
                  </w:pPr>
                  <w:r>
                    <w:rPr>
                      <w:rFonts w:hint="eastAsia"/>
                      <w:color w:val="auto"/>
                      <w:lang w:eastAsia="zh-CN"/>
                    </w:rPr>
                    <w:t>0</w:t>
                  </w:r>
                  <w:r>
                    <w:rPr>
                      <w:color w:val="auto"/>
                      <w:lang w:eastAsia="zh-CN"/>
                    </w:rPr>
                    <w:t>.42</w:t>
                  </w:r>
                </w:p>
              </w:tc>
              <w:tc>
                <w:tcPr>
                  <w:tcW w:w="1593" w:type="pct"/>
                  <w:vAlign w:val="center"/>
                </w:tcPr>
                <w:p>
                  <w:pPr>
                    <w:pStyle w:val="63"/>
                    <w:rPr>
                      <w:color w:val="auto"/>
                    </w:rPr>
                  </w:pPr>
                  <w:r>
                    <w:rPr>
                      <w:rFonts w:hint="eastAsia"/>
                      <w:color w:val="auto"/>
                      <w:lang w:eastAsia="zh-CN"/>
                    </w:rPr>
                    <w:t>2</w:t>
                  </w:r>
                  <w:r>
                    <w:rPr>
                      <w:color w:val="auto"/>
                      <w:lang w:eastAsia="zh-CN"/>
                    </w:rPr>
                    <w:t>023.09.08</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1</w:t>
                  </w:r>
                  <w:r>
                    <w:rPr>
                      <w:color w:val="auto"/>
                      <w:lang w:eastAsia="zh-CN"/>
                    </w:rPr>
                    <w:t>.0</w:t>
                  </w:r>
                </w:p>
              </w:tc>
              <w:tc>
                <w:tcPr>
                  <w:tcW w:w="1593" w:type="pct"/>
                  <w:vAlign w:val="center"/>
                </w:tcPr>
                <w:p>
                  <w:pPr>
                    <w:pStyle w:val="63"/>
                    <w:rPr>
                      <w:color w:val="auto"/>
                    </w:rPr>
                  </w:pPr>
                  <w:r>
                    <w:rPr>
                      <w:rFonts w:hint="eastAsia"/>
                      <w:color w:val="auto"/>
                      <w:lang w:eastAsia="zh-CN"/>
                    </w:rPr>
                    <w:t>2</w:t>
                  </w:r>
                  <w:r>
                    <w:rPr>
                      <w:color w:val="auto"/>
                      <w:lang w:eastAsia="zh-CN"/>
                    </w:rPr>
                    <w:t>023.10.31</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pStyle w:val="63"/>
                    <w:rPr>
                      <w:color w:val="auto"/>
                    </w:rPr>
                  </w:pPr>
                  <w:r>
                    <w:rPr>
                      <w:rFonts w:hint="eastAsia"/>
                      <w:color w:val="auto"/>
                      <w:lang w:eastAsia="zh-CN"/>
                    </w:rPr>
                    <w:t>二氧化硫</w:t>
                  </w:r>
                </w:p>
              </w:tc>
              <w:tc>
                <w:tcPr>
                  <w:tcW w:w="1000" w:type="pct"/>
                  <w:vAlign w:val="center"/>
                </w:tcPr>
                <w:p>
                  <w:pPr>
                    <w:pStyle w:val="63"/>
                    <w:rPr>
                      <w:color w:val="auto"/>
                      <w:lang w:eastAsia="zh-CN"/>
                    </w:rPr>
                  </w:pPr>
                  <w:r>
                    <w:rPr>
                      <w:rFonts w:hint="eastAsia"/>
                      <w:color w:val="auto"/>
                      <w:lang w:eastAsia="zh-CN"/>
                    </w:rPr>
                    <w:t>1</w:t>
                  </w:r>
                  <w:r>
                    <w:rPr>
                      <w:color w:val="auto"/>
                      <w:lang w:eastAsia="zh-CN"/>
                    </w:rPr>
                    <w:t>.14</w:t>
                  </w:r>
                </w:p>
              </w:tc>
              <w:tc>
                <w:tcPr>
                  <w:tcW w:w="1593" w:type="pct"/>
                  <w:vAlign w:val="center"/>
                </w:tcPr>
                <w:p>
                  <w:pPr>
                    <w:pStyle w:val="63"/>
                    <w:rPr>
                      <w:color w:val="auto"/>
                      <w:lang w:eastAsia="zh-CN"/>
                    </w:rPr>
                  </w:pPr>
                  <w:r>
                    <w:rPr>
                      <w:rFonts w:hint="eastAsia"/>
                      <w:color w:val="auto"/>
                      <w:lang w:eastAsia="zh-CN"/>
                    </w:rPr>
                    <w:t>2</w:t>
                  </w:r>
                  <w:r>
                    <w:rPr>
                      <w:color w:val="auto"/>
                      <w:lang w:eastAsia="zh-CN"/>
                    </w:rPr>
                    <w:t>022.03.21</w:t>
                  </w:r>
                  <w:r>
                    <w:rPr>
                      <w:rFonts w:hint="eastAsia"/>
                      <w:color w:val="auto"/>
                      <w:lang w:eastAsia="zh-CN"/>
                    </w:rPr>
                    <w:t>（自行监测）</w:t>
                  </w:r>
                </w:p>
              </w:tc>
              <w:tc>
                <w:tcPr>
                  <w:tcW w:w="724" w:type="pct"/>
                  <w:vMerge w:val="restart"/>
                  <w:vAlign w:val="center"/>
                </w:tcPr>
                <w:p>
                  <w:pPr>
                    <w:pStyle w:val="63"/>
                    <w:rPr>
                      <w:color w:val="auto"/>
                    </w:rPr>
                  </w:pPr>
                  <w:r>
                    <w:rPr>
                      <w:color w:val="auto"/>
                      <w:lang w:val="en-US"/>
                    </w:rPr>
                    <w:t>0.917</w:t>
                  </w:r>
                </w:p>
              </w:tc>
              <w:tc>
                <w:tcPr>
                  <w:tcW w:w="683" w:type="pct"/>
                  <w:vMerge w:val="restart"/>
                  <w:vAlign w:val="center"/>
                </w:tcPr>
                <w:p>
                  <w:pPr>
                    <w:pStyle w:val="63"/>
                    <w:rPr>
                      <w:color w:val="auto"/>
                      <w:lang w:eastAsia="zh-CN"/>
                    </w:rPr>
                  </w:pPr>
                  <w:r>
                    <w:rPr>
                      <w:color w:val="auto"/>
                      <w:lang w:eastAsia="zh-CN"/>
                    </w:rPr>
                    <w:t>5.842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1</w:t>
                  </w:r>
                  <w:r>
                    <w:rPr>
                      <w:color w:val="auto"/>
                      <w:lang w:eastAsia="zh-CN"/>
                    </w:rPr>
                    <w:t>.13</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1</w:t>
                  </w:r>
                  <w:r>
                    <w:rPr>
                      <w:color w:val="auto"/>
                      <w:lang w:eastAsia="zh-CN"/>
                    </w:rPr>
                    <w:t>.30</w:t>
                  </w:r>
                </w:p>
              </w:tc>
              <w:tc>
                <w:tcPr>
                  <w:tcW w:w="1593" w:type="pct"/>
                  <w:vAlign w:val="center"/>
                </w:tcPr>
                <w:p>
                  <w:pPr>
                    <w:pStyle w:val="63"/>
                    <w:rPr>
                      <w:color w:val="auto"/>
                      <w:lang w:eastAsia="zh-CN"/>
                    </w:rPr>
                  </w:pPr>
                  <w:r>
                    <w:rPr>
                      <w:rFonts w:hint="eastAsia"/>
                      <w:color w:val="auto"/>
                      <w:lang w:eastAsia="zh-CN"/>
                    </w:rPr>
                    <w:t>2</w:t>
                  </w:r>
                  <w:r>
                    <w:rPr>
                      <w:color w:val="auto"/>
                      <w:lang w:eastAsia="zh-CN"/>
                    </w:rPr>
                    <w:t>022.07.25</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1</w:t>
                  </w:r>
                  <w:r>
                    <w:rPr>
                      <w:color w:val="auto"/>
                      <w:lang w:eastAsia="zh-CN"/>
                    </w:rPr>
                    <w:t>.04</w:t>
                  </w:r>
                </w:p>
              </w:tc>
              <w:tc>
                <w:tcPr>
                  <w:tcW w:w="1593" w:type="pct"/>
                  <w:vAlign w:val="center"/>
                </w:tcPr>
                <w:p>
                  <w:pPr>
                    <w:pStyle w:val="63"/>
                    <w:rPr>
                      <w:color w:val="auto"/>
                      <w:lang w:eastAsia="zh-CN"/>
                    </w:rPr>
                  </w:pPr>
                  <w:r>
                    <w:rPr>
                      <w:rFonts w:hint="eastAsia"/>
                      <w:color w:val="auto"/>
                      <w:lang w:eastAsia="zh-CN"/>
                    </w:rPr>
                    <w:t>2</w:t>
                  </w:r>
                  <w:r>
                    <w:rPr>
                      <w:color w:val="auto"/>
                      <w:lang w:eastAsia="zh-CN"/>
                    </w:rPr>
                    <w:t>022.11.25</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0</w:t>
                  </w:r>
                  <w:r>
                    <w:rPr>
                      <w:color w:val="auto"/>
                      <w:lang w:eastAsia="zh-CN"/>
                    </w:rPr>
                    <w:t>.17</w:t>
                  </w:r>
                </w:p>
              </w:tc>
              <w:tc>
                <w:tcPr>
                  <w:tcW w:w="1593" w:type="pct"/>
                  <w:vAlign w:val="center"/>
                </w:tcPr>
                <w:p>
                  <w:pPr>
                    <w:pStyle w:val="63"/>
                    <w:rPr>
                      <w:color w:val="auto"/>
                      <w:lang w:eastAsia="zh-CN"/>
                    </w:rPr>
                  </w:pPr>
                  <w:r>
                    <w:rPr>
                      <w:rFonts w:hint="eastAsia"/>
                      <w:color w:val="auto"/>
                      <w:lang w:eastAsia="zh-CN"/>
                    </w:rPr>
                    <w:t>2</w:t>
                  </w:r>
                  <w:r>
                    <w:rPr>
                      <w:color w:val="auto"/>
                      <w:lang w:eastAsia="zh-CN"/>
                    </w:rPr>
                    <w:t>023.09.08</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0</w:t>
                  </w:r>
                  <w:r>
                    <w:rPr>
                      <w:color w:val="auto"/>
                      <w:lang w:eastAsia="zh-CN"/>
                    </w:rPr>
                    <w:t>.72</w:t>
                  </w:r>
                </w:p>
              </w:tc>
              <w:tc>
                <w:tcPr>
                  <w:tcW w:w="1593" w:type="pct"/>
                  <w:vAlign w:val="center"/>
                </w:tcPr>
                <w:p>
                  <w:pPr>
                    <w:pStyle w:val="63"/>
                    <w:rPr>
                      <w:color w:val="auto"/>
                      <w:lang w:eastAsia="zh-CN"/>
                    </w:rPr>
                  </w:pPr>
                  <w:r>
                    <w:rPr>
                      <w:rFonts w:hint="eastAsia"/>
                      <w:color w:val="auto"/>
                      <w:lang w:eastAsia="zh-CN"/>
                    </w:rPr>
                    <w:t>2</w:t>
                  </w:r>
                  <w:r>
                    <w:rPr>
                      <w:color w:val="auto"/>
                      <w:lang w:eastAsia="zh-CN"/>
                    </w:rPr>
                    <w:t>023.10.31</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pStyle w:val="63"/>
                    <w:rPr>
                      <w:color w:val="auto"/>
                    </w:rPr>
                  </w:pPr>
                  <w:r>
                    <w:rPr>
                      <w:rFonts w:hint="eastAsia"/>
                      <w:color w:val="auto"/>
                      <w:lang w:eastAsia="zh-CN"/>
                    </w:rPr>
                    <w:t>氮氧化物</w:t>
                  </w:r>
                </w:p>
              </w:tc>
              <w:tc>
                <w:tcPr>
                  <w:tcW w:w="1000" w:type="pct"/>
                  <w:vAlign w:val="center"/>
                </w:tcPr>
                <w:p>
                  <w:pPr>
                    <w:pStyle w:val="63"/>
                    <w:rPr>
                      <w:color w:val="auto"/>
                      <w:lang w:eastAsia="zh-CN"/>
                    </w:rPr>
                  </w:pPr>
                  <w:r>
                    <w:rPr>
                      <w:rFonts w:hint="eastAsia"/>
                      <w:color w:val="auto"/>
                      <w:lang w:eastAsia="zh-CN"/>
                    </w:rPr>
                    <w:t>4</w:t>
                  </w:r>
                  <w:r>
                    <w:rPr>
                      <w:color w:val="auto"/>
                      <w:lang w:eastAsia="zh-CN"/>
                    </w:rPr>
                    <w:t>.13</w:t>
                  </w:r>
                </w:p>
              </w:tc>
              <w:tc>
                <w:tcPr>
                  <w:tcW w:w="1593" w:type="pct"/>
                  <w:vAlign w:val="center"/>
                </w:tcPr>
                <w:p>
                  <w:pPr>
                    <w:pStyle w:val="63"/>
                    <w:rPr>
                      <w:color w:val="auto"/>
                      <w:lang w:eastAsia="zh-CN"/>
                    </w:rPr>
                  </w:pPr>
                  <w:r>
                    <w:rPr>
                      <w:rFonts w:hint="eastAsia"/>
                      <w:color w:val="auto"/>
                      <w:lang w:eastAsia="zh-CN"/>
                    </w:rPr>
                    <w:t>2</w:t>
                  </w:r>
                  <w:r>
                    <w:rPr>
                      <w:color w:val="auto"/>
                      <w:lang w:eastAsia="zh-CN"/>
                    </w:rPr>
                    <w:t>022.03.21</w:t>
                  </w:r>
                  <w:r>
                    <w:rPr>
                      <w:rFonts w:hint="eastAsia"/>
                      <w:color w:val="auto"/>
                      <w:lang w:eastAsia="zh-CN"/>
                    </w:rPr>
                    <w:t>（自行监测）</w:t>
                  </w:r>
                </w:p>
              </w:tc>
              <w:tc>
                <w:tcPr>
                  <w:tcW w:w="724" w:type="pct"/>
                  <w:vMerge w:val="restart"/>
                  <w:vAlign w:val="center"/>
                </w:tcPr>
                <w:p>
                  <w:pPr>
                    <w:pStyle w:val="63"/>
                    <w:rPr>
                      <w:color w:val="auto"/>
                      <w:lang w:eastAsia="zh-CN"/>
                    </w:rPr>
                  </w:pPr>
                  <w:r>
                    <w:rPr>
                      <w:color w:val="auto"/>
                      <w:lang w:eastAsia="zh-CN"/>
                    </w:rPr>
                    <w:t>4.67</w:t>
                  </w:r>
                </w:p>
              </w:tc>
              <w:tc>
                <w:tcPr>
                  <w:tcW w:w="683" w:type="pct"/>
                  <w:vMerge w:val="restart"/>
                  <w:vAlign w:val="center"/>
                </w:tcPr>
                <w:p>
                  <w:pPr>
                    <w:pStyle w:val="63"/>
                    <w:rPr>
                      <w:color w:val="auto"/>
                      <w:lang w:eastAsia="zh-CN"/>
                    </w:rPr>
                  </w:pPr>
                  <w:r>
                    <w:rPr>
                      <w:color w:val="auto"/>
                      <w:lang w:eastAsia="zh-CN"/>
                    </w:rPr>
                    <w:t>30.262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3</w:t>
                  </w:r>
                  <w:r>
                    <w:rPr>
                      <w:color w:val="auto"/>
                      <w:lang w:eastAsia="zh-CN"/>
                    </w:rPr>
                    <w:t>.14</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3</w:t>
                  </w:r>
                  <w:r>
                    <w:rPr>
                      <w:color w:val="auto"/>
                      <w:lang w:eastAsia="zh-CN"/>
                    </w:rPr>
                    <w:t>.36</w:t>
                  </w:r>
                </w:p>
              </w:tc>
              <w:tc>
                <w:tcPr>
                  <w:tcW w:w="1593" w:type="pct"/>
                  <w:vAlign w:val="center"/>
                </w:tcPr>
                <w:p>
                  <w:pPr>
                    <w:pStyle w:val="63"/>
                    <w:rPr>
                      <w:color w:val="auto"/>
                      <w:lang w:eastAsia="zh-CN"/>
                    </w:rPr>
                  </w:pPr>
                  <w:r>
                    <w:rPr>
                      <w:rFonts w:hint="eastAsia"/>
                      <w:color w:val="auto"/>
                      <w:lang w:eastAsia="zh-CN"/>
                    </w:rPr>
                    <w:t>2</w:t>
                  </w:r>
                  <w:r>
                    <w:rPr>
                      <w:color w:val="auto"/>
                      <w:lang w:eastAsia="zh-CN"/>
                    </w:rPr>
                    <w:t>022.07.25</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2</w:t>
                  </w:r>
                  <w:r>
                    <w:rPr>
                      <w:color w:val="auto"/>
                      <w:lang w:eastAsia="zh-CN"/>
                    </w:rPr>
                    <w:t>.19</w:t>
                  </w:r>
                </w:p>
              </w:tc>
              <w:tc>
                <w:tcPr>
                  <w:tcW w:w="1593" w:type="pct"/>
                  <w:vAlign w:val="center"/>
                </w:tcPr>
                <w:p>
                  <w:pPr>
                    <w:pStyle w:val="63"/>
                    <w:rPr>
                      <w:color w:val="auto"/>
                      <w:lang w:eastAsia="zh-CN"/>
                    </w:rPr>
                  </w:pPr>
                  <w:r>
                    <w:rPr>
                      <w:rFonts w:hint="eastAsia"/>
                      <w:color w:val="auto"/>
                      <w:lang w:eastAsia="zh-CN"/>
                    </w:rPr>
                    <w:t>2</w:t>
                  </w:r>
                  <w:r>
                    <w:rPr>
                      <w:color w:val="auto"/>
                      <w:lang w:eastAsia="zh-CN"/>
                    </w:rPr>
                    <w:t>022.11.25</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4</w:t>
                  </w:r>
                  <w:r>
                    <w:rPr>
                      <w:color w:val="auto"/>
                      <w:lang w:eastAsia="zh-CN"/>
                    </w:rPr>
                    <w:t>.2</w:t>
                  </w:r>
                </w:p>
              </w:tc>
              <w:tc>
                <w:tcPr>
                  <w:tcW w:w="1593" w:type="pct"/>
                  <w:vAlign w:val="center"/>
                </w:tcPr>
                <w:p>
                  <w:pPr>
                    <w:pStyle w:val="63"/>
                    <w:rPr>
                      <w:color w:val="auto"/>
                      <w:lang w:eastAsia="zh-CN"/>
                    </w:rPr>
                  </w:pPr>
                  <w:r>
                    <w:rPr>
                      <w:rFonts w:hint="eastAsia"/>
                      <w:color w:val="auto"/>
                      <w:lang w:eastAsia="zh-CN"/>
                    </w:rPr>
                    <w:t>2</w:t>
                  </w:r>
                  <w:r>
                    <w:rPr>
                      <w:color w:val="auto"/>
                      <w:lang w:eastAsia="zh-CN"/>
                    </w:rPr>
                    <w:t>023.09.08</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1</w:t>
                  </w:r>
                  <w:r>
                    <w:rPr>
                      <w:color w:val="auto"/>
                      <w:lang w:eastAsia="zh-CN"/>
                    </w:rPr>
                    <w:t>1</w:t>
                  </w:r>
                </w:p>
              </w:tc>
              <w:tc>
                <w:tcPr>
                  <w:tcW w:w="1593" w:type="pct"/>
                  <w:vAlign w:val="center"/>
                </w:tcPr>
                <w:p>
                  <w:pPr>
                    <w:pStyle w:val="63"/>
                    <w:rPr>
                      <w:color w:val="auto"/>
                      <w:lang w:eastAsia="zh-CN"/>
                    </w:rPr>
                  </w:pPr>
                  <w:r>
                    <w:rPr>
                      <w:rFonts w:hint="eastAsia"/>
                      <w:color w:val="auto"/>
                      <w:lang w:eastAsia="zh-CN"/>
                    </w:rPr>
                    <w:t>2</w:t>
                  </w:r>
                  <w:r>
                    <w:rPr>
                      <w:color w:val="auto"/>
                      <w:lang w:eastAsia="zh-CN"/>
                    </w:rPr>
                    <w:t>023.10.31</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63"/>
                    <w:rPr>
                      <w:color w:val="auto"/>
                    </w:rPr>
                  </w:pPr>
                  <w:r>
                    <w:rPr>
                      <w:rFonts w:hint="eastAsia"/>
                      <w:color w:val="auto"/>
                    </w:rPr>
                    <w:t>年产140万吨热轧生产线建设项目</w:t>
                  </w:r>
                  <w:r>
                    <w:rPr>
                      <w:rFonts w:hint="eastAsia"/>
                      <w:color w:val="auto"/>
                      <w:lang w:eastAsia="zh-CN"/>
                    </w:rPr>
                    <w:t>（D</w:t>
                  </w:r>
                  <w:r>
                    <w:rPr>
                      <w:color w:val="auto"/>
                      <w:lang w:eastAsia="zh-CN"/>
                    </w:rPr>
                    <w:t>A00</w:t>
                  </w:r>
                  <w:r>
                    <w:rPr>
                      <w:rFonts w:hint="eastAsia"/>
                      <w:color w:val="auto"/>
                      <w:lang w:eastAsia="zh-CN"/>
                    </w:rPr>
                    <w:t>2，卷取炉）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pStyle w:val="63"/>
                    <w:rPr>
                      <w:color w:val="auto"/>
                      <w:lang w:val="en-US"/>
                    </w:rPr>
                  </w:pPr>
                  <w:r>
                    <w:rPr>
                      <w:rFonts w:hint="eastAsia"/>
                      <w:color w:val="auto"/>
                      <w:lang w:val="en-US" w:eastAsia="zh-CN"/>
                    </w:rPr>
                    <w:t>颗粒物</w:t>
                  </w:r>
                </w:p>
              </w:tc>
              <w:tc>
                <w:tcPr>
                  <w:tcW w:w="1000" w:type="pct"/>
                  <w:vAlign w:val="center"/>
                </w:tcPr>
                <w:p>
                  <w:pPr>
                    <w:pStyle w:val="63"/>
                    <w:rPr>
                      <w:color w:val="auto"/>
                      <w:lang w:eastAsia="zh-CN"/>
                    </w:rPr>
                  </w:pPr>
                  <w:r>
                    <w:rPr>
                      <w:rFonts w:hint="eastAsia"/>
                      <w:color w:val="auto"/>
                      <w:lang w:eastAsia="zh-CN"/>
                    </w:rPr>
                    <w:t>0</w:t>
                  </w:r>
                  <w:r>
                    <w:rPr>
                      <w:color w:val="auto"/>
                      <w:lang w:eastAsia="zh-CN"/>
                    </w:rPr>
                    <w:t>.0157</w:t>
                  </w:r>
                </w:p>
              </w:tc>
              <w:tc>
                <w:tcPr>
                  <w:tcW w:w="1593" w:type="pct"/>
                  <w:vAlign w:val="center"/>
                </w:tcPr>
                <w:p>
                  <w:pPr>
                    <w:pStyle w:val="63"/>
                    <w:rPr>
                      <w:color w:val="auto"/>
                      <w:lang w:eastAsia="zh-CN"/>
                    </w:rPr>
                  </w:pPr>
                  <w:r>
                    <w:rPr>
                      <w:rFonts w:hint="eastAsia"/>
                      <w:color w:val="auto"/>
                      <w:lang w:eastAsia="zh-CN"/>
                    </w:rPr>
                    <w:t>2</w:t>
                  </w:r>
                  <w:r>
                    <w:rPr>
                      <w:color w:val="auto"/>
                      <w:lang w:eastAsia="zh-CN"/>
                    </w:rPr>
                    <w:t>022.03.21</w:t>
                  </w:r>
                  <w:r>
                    <w:rPr>
                      <w:rFonts w:hint="eastAsia"/>
                      <w:color w:val="auto"/>
                      <w:lang w:eastAsia="zh-CN"/>
                    </w:rPr>
                    <w:t>（自行监测）</w:t>
                  </w:r>
                </w:p>
              </w:tc>
              <w:tc>
                <w:tcPr>
                  <w:tcW w:w="724" w:type="pct"/>
                  <w:vMerge w:val="restart"/>
                  <w:vAlign w:val="center"/>
                </w:tcPr>
                <w:p>
                  <w:pPr>
                    <w:pStyle w:val="63"/>
                    <w:rPr>
                      <w:color w:val="auto"/>
                      <w:lang w:eastAsia="zh-CN"/>
                    </w:rPr>
                  </w:pPr>
                  <w:r>
                    <w:rPr>
                      <w:rFonts w:hint="eastAsia"/>
                      <w:color w:val="auto"/>
                      <w:lang w:eastAsia="zh-CN"/>
                    </w:rPr>
                    <w:t>0</w:t>
                  </w:r>
                  <w:r>
                    <w:rPr>
                      <w:color w:val="auto"/>
                      <w:lang w:eastAsia="zh-CN"/>
                    </w:rPr>
                    <w:t>.0257</w:t>
                  </w:r>
                </w:p>
              </w:tc>
              <w:tc>
                <w:tcPr>
                  <w:tcW w:w="683" w:type="pct"/>
                  <w:vMerge w:val="restart"/>
                  <w:vAlign w:val="center"/>
                </w:tcPr>
                <w:p>
                  <w:pPr>
                    <w:pStyle w:val="63"/>
                    <w:rPr>
                      <w:color w:val="auto"/>
                      <w:lang w:eastAsia="zh-CN"/>
                    </w:rPr>
                  </w:pPr>
                  <w:r>
                    <w:rPr>
                      <w:rFonts w:hint="eastAsia"/>
                      <w:color w:val="auto"/>
                      <w:lang w:eastAsia="zh-CN"/>
                    </w:rPr>
                    <w:t>0</w:t>
                  </w:r>
                  <w:r>
                    <w:rPr>
                      <w:color w:val="auto"/>
                      <w:lang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.0183</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.0208</w:t>
                  </w:r>
                </w:p>
              </w:tc>
              <w:tc>
                <w:tcPr>
                  <w:tcW w:w="1593" w:type="pct"/>
                  <w:vAlign w:val="center"/>
                </w:tcPr>
                <w:p>
                  <w:pPr>
                    <w:pStyle w:val="63"/>
                    <w:rPr>
                      <w:color w:val="auto"/>
                      <w:lang w:eastAsia="zh-CN"/>
                    </w:rPr>
                  </w:pPr>
                  <w:r>
                    <w:rPr>
                      <w:rFonts w:hint="eastAsia"/>
                      <w:color w:val="auto"/>
                      <w:lang w:eastAsia="zh-CN"/>
                    </w:rPr>
                    <w:t>2</w:t>
                  </w:r>
                  <w:r>
                    <w:rPr>
                      <w:color w:val="auto"/>
                      <w:lang w:eastAsia="zh-CN"/>
                    </w:rPr>
                    <w:t>022.07.25</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.0231</w:t>
                  </w:r>
                </w:p>
              </w:tc>
              <w:tc>
                <w:tcPr>
                  <w:tcW w:w="1593" w:type="pct"/>
                  <w:vAlign w:val="center"/>
                </w:tcPr>
                <w:p>
                  <w:pPr>
                    <w:pStyle w:val="63"/>
                    <w:rPr>
                      <w:color w:val="auto"/>
                      <w:lang w:eastAsia="zh-CN"/>
                    </w:rPr>
                  </w:pPr>
                  <w:r>
                    <w:rPr>
                      <w:rFonts w:hint="eastAsia"/>
                      <w:color w:val="auto"/>
                      <w:lang w:eastAsia="zh-CN"/>
                    </w:rPr>
                    <w:t>2</w:t>
                  </w:r>
                  <w:r>
                    <w:rPr>
                      <w:color w:val="auto"/>
                      <w:lang w:eastAsia="zh-CN"/>
                    </w:rPr>
                    <w:t>022.11.25</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.036</w:t>
                  </w:r>
                </w:p>
              </w:tc>
              <w:tc>
                <w:tcPr>
                  <w:tcW w:w="1593" w:type="pct"/>
                  <w:vAlign w:val="center"/>
                </w:tcPr>
                <w:p>
                  <w:pPr>
                    <w:pStyle w:val="63"/>
                    <w:rPr>
                      <w:color w:val="auto"/>
                      <w:lang w:eastAsia="zh-CN"/>
                    </w:rPr>
                  </w:pPr>
                  <w:r>
                    <w:rPr>
                      <w:rFonts w:hint="eastAsia"/>
                      <w:color w:val="auto"/>
                      <w:lang w:eastAsia="zh-CN"/>
                    </w:rPr>
                    <w:t>2</w:t>
                  </w:r>
                  <w:r>
                    <w:rPr>
                      <w:color w:val="auto"/>
                      <w:lang w:eastAsia="zh-CN"/>
                    </w:rPr>
                    <w:t>023.09.08</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.040</w:t>
                  </w:r>
                </w:p>
              </w:tc>
              <w:tc>
                <w:tcPr>
                  <w:tcW w:w="1593" w:type="pct"/>
                  <w:vAlign w:val="center"/>
                </w:tcPr>
                <w:p>
                  <w:pPr>
                    <w:pStyle w:val="63"/>
                    <w:rPr>
                      <w:color w:val="auto"/>
                      <w:lang w:eastAsia="zh-CN"/>
                    </w:rPr>
                  </w:pPr>
                  <w:r>
                    <w:rPr>
                      <w:rFonts w:hint="eastAsia"/>
                      <w:color w:val="auto"/>
                      <w:lang w:eastAsia="zh-CN"/>
                    </w:rPr>
                    <w:t>2</w:t>
                  </w:r>
                  <w:r>
                    <w:rPr>
                      <w:color w:val="auto"/>
                      <w:lang w:eastAsia="zh-CN"/>
                    </w:rPr>
                    <w:t>023.10.31</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pStyle w:val="63"/>
                    <w:rPr>
                      <w:color w:val="auto"/>
                    </w:rPr>
                  </w:pPr>
                  <w:r>
                    <w:rPr>
                      <w:rFonts w:hint="eastAsia"/>
                      <w:color w:val="auto"/>
                      <w:lang w:eastAsia="zh-CN"/>
                    </w:rPr>
                    <w:t>二氧化硫</w:t>
                  </w:r>
                </w:p>
              </w:tc>
              <w:tc>
                <w:tcPr>
                  <w:tcW w:w="1000" w:type="pct"/>
                  <w:vAlign w:val="center"/>
                </w:tcPr>
                <w:p>
                  <w:pPr>
                    <w:pStyle w:val="63"/>
                    <w:rPr>
                      <w:color w:val="auto"/>
                      <w:lang w:eastAsia="zh-CN"/>
                    </w:rPr>
                  </w:pPr>
                  <w:r>
                    <w:rPr>
                      <w:rFonts w:hint="eastAsia"/>
                      <w:color w:val="auto"/>
                      <w:lang w:eastAsia="zh-CN"/>
                    </w:rPr>
                    <w:t>0</w:t>
                  </w:r>
                  <w:r>
                    <w:rPr>
                      <w:color w:val="auto"/>
                      <w:lang w:eastAsia="zh-CN"/>
                    </w:rPr>
                    <w:t>.0421</w:t>
                  </w:r>
                </w:p>
              </w:tc>
              <w:tc>
                <w:tcPr>
                  <w:tcW w:w="1593" w:type="pct"/>
                  <w:vAlign w:val="center"/>
                </w:tcPr>
                <w:p>
                  <w:pPr>
                    <w:pStyle w:val="63"/>
                    <w:rPr>
                      <w:color w:val="auto"/>
                      <w:lang w:eastAsia="zh-CN"/>
                    </w:rPr>
                  </w:pPr>
                  <w:r>
                    <w:rPr>
                      <w:rFonts w:hint="eastAsia"/>
                      <w:color w:val="auto"/>
                      <w:lang w:eastAsia="zh-CN"/>
                    </w:rPr>
                    <w:t>2</w:t>
                  </w:r>
                  <w:r>
                    <w:rPr>
                      <w:color w:val="auto"/>
                      <w:lang w:eastAsia="zh-CN"/>
                    </w:rPr>
                    <w:t>022.03.21</w:t>
                  </w:r>
                  <w:r>
                    <w:rPr>
                      <w:rFonts w:hint="eastAsia"/>
                      <w:color w:val="auto"/>
                      <w:lang w:eastAsia="zh-CN"/>
                    </w:rPr>
                    <w:t>（自行监测）</w:t>
                  </w:r>
                </w:p>
              </w:tc>
              <w:tc>
                <w:tcPr>
                  <w:tcW w:w="724" w:type="pct"/>
                  <w:vMerge w:val="restart"/>
                  <w:vAlign w:val="center"/>
                </w:tcPr>
                <w:p>
                  <w:pPr>
                    <w:pStyle w:val="63"/>
                    <w:rPr>
                      <w:color w:val="auto"/>
                      <w:lang w:eastAsia="zh-CN"/>
                    </w:rPr>
                  </w:pPr>
                  <w:r>
                    <w:rPr>
                      <w:rFonts w:hint="eastAsia"/>
                      <w:color w:val="auto"/>
                      <w:lang w:eastAsia="zh-CN"/>
                    </w:rPr>
                    <w:t>0</w:t>
                  </w:r>
                  <w:r>
                    <w:rPr>
                      <w:color w:val="auto"/>
                      <w:lang w:eastAsia="zh-CN"/>
                    </w:rPr>
                    <w:t>.0423</w:t>
                  </w:r>
                </w:p>
              </w:tc>
              <w:tc>
                <w:tcPr>
                  <w:tcW w:w="683" w:type="pct"/>
                  <w:vMerge w:val="restart"/>
                  <w:vAlign w:val="center"/>
                </w:tcPr>
                <w:p>
                  <w:pPr>
                    <w:pStyle w:val="63"/>
                    <w:rPr>
                      <w:color w:val="auto"/>
                      <w:lang w:eastAsia="zh-CN"/>
                    </w:rPr>
                  </w:pPr>
                  <w:r>
                    <w:rPr>
                      <w:color w:val="auto"/>
                      <w:lang w:eastAsia="zh-CN"/>
                    </w:rPr>
                    <w:t>0.274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.0398</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.0441</w:t>
                  </w:r>
                </w:p>
              </w:tc>
              <w:tc>
                <w:tcPr>
                  <w:tcW w:w="1593" w:type="pct"/>
                  <w:vAlign w:val="center"/>
                </w:tcPr>
                <w:p>
                  <w:pPr>
                    <w:pStyle w:val="63"/>
                    <w:rPr>
                      <w:color w:val="auto"/>
                      <w:lang w:eastAsia="zh-CN"/>
                    </w:rPr>
                  </w:pPr>
                  <w:r>
                    <w:rPr>
                      <w:rFonts w:hint="eastAsia"/>
                      <w:color w:val="auto"/>
                      <w:lang w:eastAsia="zh-CN"/>
                    </w:rPr>
                    <w:t>2</w:t>
                  </w:r>
                  <w:r>
                    <w:rPr>
                      <w:color w:val="auto"/>
                      <w:lang w:eastAsia="zh-CN"/>
                    </w:rPr>
                    <w:t>022.07.25</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.0440</w:t>
                  </w:r>
                </w:p>
              </w:tc>
              <w:tc>
                <w:tcPr>
                  <w:tcW w:w="1593" w:type="pct"/>
                  <w:vAlign w:val="center"/>
                </w:tcPr>
                <w:p>
                  <w:pPr>
                    <w:pStyle w:val="63"/>
                    <w:rPr>
                      <w:color w:val="auto"/>
                      <w:lang w:eastAsia="zh-CN"/>
                    </w:rPr>
                  </w:pPr>
                  <w:r>
                    <w:rPr>
                      <w:rFonts w:hint="eastAsia"/>
                      <w:color w:val="auto"/>
                      <w:lang w:eastAsia="zh-CN"/>
                    </w:rPr>
                    <w:t>2</w:t>
                  </w:r>
                  <w:r>
                    <w:rPr>
                      <w:color w:val="auto"/>
                      <w:lang w:eastAsia="zh-CN"/>
                    </w:rPr>
                    <w:t>022.11.25</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.037</w:t>
                  </w:r>
                </w:p>
              </w:tc>
              <w:tc>
                <w:tcPr>
                  <w:tcW w:w="1593" w:type="pct"/>
                  <w:vAlign w:val="center"/>
                </w:tcPr>
                <w:p>
                  <w:pPr>
                    <w:pStyle w:val="63"/>
                    <w:rPr>
                      <w:color w:val="auto"/>
                      <w:lang w:eastAsia="zh-CN"/>
                    </w:rPr>
                  </w:pPr>
                  <w:r>
                    <w:rPr>
                      <w:rFonts w:hint="eastAsia"/>
                      <w:color w:val="auto"/>
                      <w:lang w:eastAsia="zh-CN"/>
                    </w:rPr>
                    <w:t>2</w:t>
                  </w:r>
                  <w:r>
                    <w:rPr>
                      <w:color w:val="auto"/>
                      <w:lang w:eastAsia="zh-CN"/>
                    </w:rPr>
                    <w:t>023.09.08</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.047</w:t>
                  </w:r>
                </w:p>
              </w:tc>
              <w:tc>
                <w:tcPr>
                  <w:tcW w:w="1593" w:type="pct"/>
                  <w:vAlign w:val="center"/>
                </w:tcPr>
                <w:p>
                  <w:pPr>
                    <w:pStyle w:val="63"/>
                    <w:rPr>
                      <w:color w:val="auto"/>
                      <w:lang w:eastAsia="zh-CN"/>
                    </w:rPr>
                  </w:pPr>
                  <w:r>
                    <w:rPr>
                      <w:rFonts w:hint="eastAsia"/>
                      <w:color w:val="auto"/>
                      <w:lang w:eastAsia="zh-CN"/>
                    </w:rPr>
                    <w:t>2</w:t>
                  </w:r>
                  <w:r>
                    <w:rPr>
                      <w:color w:val="auto"/>
                      <w:lang w:eastAsia="zh-CN"/>
                    </w:rPr>
                    <w:t>023.10.31</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pStyle w:val="63"/>
                    <w:rPr>
                      <w:color w:val="auto"/>
                    </w:rPr>
                  </w:pPr>
                  <w:r>
                    <w:rPr>
                      <w:rFonts w:hint="eastAsia"/>
                      <w:color w:val="auto"/>
                      <w:lang w:eastAsia="zh-CN"/>
                    </w:rPr>
                    <w:t>氮氧化物</w:t>
                  </w:r>
                </w:p>
              </w:tc>
              <w:tc>
                <w:tcPr>
                  <w:tcW w:w="1000" w:type="pct"/>
                  <w:vAlign w:val="center"/>
                </w:tcPr>
                <w:p>
                  <w:pPr>
                    <w:pStyle w:val="63"/>
                    <w:rPr>
                      <w:color w:val="auto"/>
                      <w:lang w:eastAsia="zh-CN"/>
                    </w:rPr>
                  </w:pPr>
                  <w:r>
                    <w:rPr>
                      <w:rFonts w:hint="eastAsia"/>
                      <w:color w:val="auto"/>
                      <w:lang w:eastAsia="zh-CN"/>
                    </w:rPr>
                    <w:t>0</w:t>
                  </w:r>
                  <w:r>
                    <w:rPr>
                      <w:color w:val="auto"/>
                      <w:lang w:eastAsia="zh-CN"/>
                    </w:rPr>
                    <w:t>.121</w:t>
                  </w:r>
                </w:p>
              </w:tc>
              <w:tc>
                <w:tcPr>
                  <w:tcW w:w="1593" w:type="pct"/>
                  <w:vAlign w:val="center"/>
                </w:tcPr>
                <w:p>
                  <w:pPr>
                    <w:pStyle w:val="63"/>
                    <w:rPr>
                      <w:color w:val="auto"/>
                      <w:lang w:eastAsia="zh-CN"/>
                    </w:rPr>
                  </w:pPr>
                  <w:r>
                    <w:rPr>
                      <w:rFonts w:hint="eastAsia"/>
                      <w:color w:val="auto"/>
                      <w:lang w:eastAsia="zh-CN"/>
                    </w:rPr>
                    <w:t>2</w:t>
                  </w:r>
                  <w:r>
                    <w:rPr>
                      <w:color w:val="auto"/>
                      <w:lang w:eastAsia="zh-CN"/>
                    </w:rPr>
                    <w:t>022.03.21</w:t>
                  </w:r>
                  <w:r>
                    <w:rPr>
                      <w:rFonts w:hint="eastAsia"/>
                      <w:color w:val="auto"/>
                      <w:lang w:eastAsia="zh-CN"/>
                    </w:rPr>
                    <w:t>（自行监测）</w:t>
                  </w:r>
                </w:p>
              </w:tc>
              <w:tc>
                <w:tcPr>
                  <w:tcW w:w="724" w:type="pct"/>
                  <w:vMerge w:val="restart"/>
                  <w:vAlign w:val="center"/>
                </w:tcPr>
                <w:p>
                  <w:pPr>
                    <w:pStyle w:val="63"/>
                    <w:rPr>
                      <w:color w:val="auto"/>
                      <w:lang w:eastAsia="zh-CN"/>
                    </w:rPr>
                  </w:pPr>
                  <w:r>
                    <w:rPr>
                      <w:rFonts w:hint="eastAsia"/>
                      <w:color w:val="auto"/>
                      <w:lang w:eastAsia="zh-CN"/>
                    </w:rPr>
                    <w:t>0</w:t>
                  </w:r>
                  <w:r>
                    <w:rPr>
                      <w:color w:val="auto"/>
                      <w:lang w:eastAsia="zh-CN"/>
                    </w:rPr>
                    <w:t>.0206</w:t>
                  </w:r>
                </w:p>
              </w:tc>
              <w:tc>
                <w:tcPr>
                  <w:tcW w:w="683" w:type="pct"/>
                  <w:vMerge w:val="restart"/>
                  <w:vAlign w:val="center"/>
                </w:tcPr>
                <w:p>
                  <w:pPr>
                    <w:pStyle w:val="63"/>
                    <w:rPr>
                      <w:color w:val="auto"/>
                      <w:lang w:eastAsia="zh-CN"/>
                    </w:rPr>
                  </w:pPr>
                  <w:r>
                    <w:rPr>
                      <w:rFonts w:hint="eastAsia"/>
                      <w:color w:val="auto"/>
                      <w:lang w:eastAsia="zh-CN"/>
                    </w:rPr>
                    <w:t>0</w:t>
                  </w:r>
                  <w:r>
                    <w:rPr>
                      <w:color w:val="auto"/>
                      <w:lang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lang w:eastAsia="zh-CN"/>
                    </w:rPr>
                  </w:pPr>
                </w:p>
              </w:tc>
              <w:tc>
                <w:tcPr>
                  <w:tcW w:w="1000" w:type="pct"/>
                  <w:vAlign w:val="center"/>
                </w:tcPr>
                <w:p>
                  <w:pPr>
                    <w:pStyle w:val="63"/>
                    <w:rPr>
                      <w:color w:val="auto"/>
                      <w:lang w:eastAsia="zh-CN"/>
                    </w:rPr>
                  </w:pPr>
                  <w:r>
                    <w:rPr>
                      <w:rFonts w:hint="eastAsia"/>
                      <w:color w:val="auto"/>
                      <w:lang w:eastAsia="zh-CN"/>
                    </w:rPr>
                    <w:t>0</w:t>
                  </w:r>
                  <w:r>
                    <w:rPr>
                      <w:color w:val="auto"/>
                      <w:lang w:eastAsia="zh-CN"/>
                    </w:rPr>
                    <w:t>.118</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lang w:eastAsia="zh-CN"/>
                    </w:rPr>
                  </w:pPr>
                </w:p>
              </w:tc>
              <w:tc>
                <w:tcPr>
                  <w:tcW w:w="1000" w:type="pct"/>
                  <w:vAlign w:val="center"/>
                </w:tcPr>
                <w:p>
                  <w:pPr>
                    <w:pStyle w:val="63"/>
                    <w:rPr>
                      <w:color w:val="auto"/>
                      <w:lang w:eastAsia="zh-CN"/>
                    </w:rPr>
                  </w:pPr>
                  <w:r>
                    <w:rPr>
                      <w:rFonts w:hint="eastAsia"/>
                      <w:color w:val="auto"/>
                      <w:lang w:eastAsia="zh-CN"/>
                    </w:rPr>
                    <w:t>0</w:t>
                  </w:r>
                  <w:r>
                    <w:rPr>
                      <w:color w:val="auto"/>
                      <w:lang w:eastAsia="zh-CN"/>
                    </w:rPr>
                    <w:t>.123</w:t>
                  </w:r>
                </w:p>
              </w:tc>
              <w:tc>
                <w:tcPr>
                  <w:tcW w:w="1593" w:type="pct"/>
                  <w:vAlign w:val="center"/>
                </w:tcPr>
                <w:p>
                  <w:pPr>
                    <w:pStyle w:val="63"/>
                    <w:rPr>
                      <w:color w:val="auto"/>
                      <w:lang w:eastAsia="zh-CN"/>
                    </w:rPr>
                  </w:pPr>
                  <w:r>
                    <w:rPr>
                      <w:rFonts w:hint="eastAsia"/>
                      <w:color w:val="auto"/>
                      <w:lang w:eastAsia="zh-CN"/>
                    </w:rPr>
                    <w:t>2</w:t>
                  </w:r>
                  <w:r>
                    <w:rPr>
                      <w:color w:val="auto"/>
                      <w:lang w:eastAsia="zh-CN"/>
                    </w:rPr>
                    <w:t>022.07.25</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lang w:eastAsia="zh-CN"/>
                    </w:rPr>
                  </w:pPr>
                </w:p>
              </w:tc>
              <w:tc>
                <w:tcPr>
                  <w:tcW w:w="1000" w:type="pct"/>
                  <w:vAlign w:val="center"/>
                </w:tcPr>
                <w:p>
                  <w:pPr>
                    <w:pStyle w:val="63"/>
                    <w:rPr>
                      <w:color w:val="auto"/>
                      <w:lang w:eastAsia="zh-CN"/>
                    </w:rPr>
                  </w:pPr>
                  <w:r>
                    <w:rPr>
                      <w:rFonts w:hint="eastAsia"/>
                      <w:color w:val="auto"/>
                      <w:lang w:eastAsia="zh-CN"/>
                    </w:rPr>
                    <w:t>0</w:t>
                  </w:r>
                  <w:r>
                    <w:rPr>
                      <w:color w:val="auto"/>
                      <w:lang w:eastAsia="zh-CN"/>
                    </w:rPr>
                    <w:t>.115</w:t>
                  </w:r>
                </w:p>
              </w:tc>
              <w:tc>
                <w:tcPr>
                  <w:tcW w:w="1593" w:type="pct"/>
                  <w:vAlign w:val="center"/>
                </w:tcPr>
                <w:p>
                  <w:pPr>
                    <w:pStyle w:val="63"/>
                    <w:rPr>
                      <w:color w:val="auto"/>
                      <w:lang w:eastAsia="zh-CN"/>
                    </w:rPr>
                  </w:pPr>
                  <w:r>
                    <w:rPr>
                      <w:rFonts w:hint="eastAsia"/>
                      <w:color w:val="auto"/>
                      <w:lang w:eastAsia="zh-CN"/>
                    </w:rPr>
                    <w:t>2</w:t>
                  </w:r>
                  <w:r>
                    <w:rPr>
                      <w:color w:val="auto"/>
                      <w:lang w:eastAsia="zh-CN"/>
                    </w:rPr>
                    <w:t>022.11.25</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lang w:eastAsia="zh-CN"/>
                    </w:rPr>
                  </w:pPr>
                </w:p>
              </w:tc>
              <w:tc>
                <w:tcPr>
                  <w:tcW w:w="1000" w:type="pct"/>
                  <w:vAlign w:val="center"/>
                </w:tcPr>
                <w:p>
                  <w:pPr>
                    <w:pStyle w:val="63"/>
                    <w:rPr>
                      <w:color w:val="auto"/>
                      <w:lang w:eastAsia="zh-CN"/>
                    </w:rPr>
                  </w:pPr>
                  <w:r>
                    <w:rPr>
                      <w:rFonts w:hint="eastAsia"/>
                      <w:color w:val="auto"/>
                      <w:lang w:eastAsia="zh-CN"/>
                    </w:rPr>
                    <w:t>0</w:t>
                  </w:r>
                  <w:r>
                    <w:rPr>
                      <w:color w:val="auto"/>
                      <w:lang w:eastAsia="zh-CN"/>
                    </w:rPr>
                    <w:t>.35</w:t>
                  </w:r>
                </w:p>
              </w:tc>
              <w:tc>
                <w:tcPr>
                  <w:tcW w:w="1593" w:type="pct"/>
                  <w:vAlign w:val="center"/>
                </w:tcPr>
                <w:p>
                  <w:pPr>
                    <w:pStyle w:val="63"/>
                    <w:rPr>
                      <w:color w:val="auto"/>
                      <w:lang w:eastAsia="zh-CN"/>
                    </w:rPr>
                  </w:pPr>
                  <w:r>
                    <w:rPr>
                      <w:rFonts w:hint="eastAsia"/>
                      <w:color w:val="auto"/>
                      <w:lang w:eastAsia="zh-CN"/>
                    </w:rPr>
                    <w:t>2</w:t>
                  </w:r>
                  <w:r>
                    <w:rPr>
                      <w:color w:val="auto"/>
                      <w:lang w:eastAsia="zh-CN"/>
                    </w:rPr>
                    <w:t>023.09.08</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lang w:eastAsia="zh-CN"/>
                    </w:rPr>
                  </w:pPr>
                </w:p>
              </w:tc>
              <w:tc>
                <w:tcPr>
                  <w:tcW w:w="1000" w:type="pct"/>
                  <w:vAlign w:val="center"/>
                </w:tcPr>
                <w:p>
                  <w:pPr>
                    <w:pStyle w:val="63"/>
                    <w:rPr>
                      <w:color w:val="auto"/>
                      <w:lang w:eastAsia="zh-CN"/>
                    </w:rPr>
                  </w:pPr>
                  <w:r>
                    <w:rPr>
                      <w:rFonts w:hint="eastAsia"/>
                      <w:color w:val="auto"/>
                      <w:lang w:eastAsia="zh-CN"/>
                    </w:rPr>
                    <w:t>0</w:t>
                  </w:r>
                  <w:r>
                    <w:rPr>
                      <w:color w:val="auto"/>
                      <w:lang w:eastAsia="zh-CN"/>
                    </w:rPr>
                    <w:t>.41</w:t>
                  </w:r>
                </w:p>
              </w:tc>
              <w:tc>
                <w:tcPr>
                  <w:tcW w:w="1593" w:type="pct"/>
                  <w:vAlign w:val="center"/>
                </w:tcPr>
                <w:p>
                  <w:pPr>
                    <w:pStyle w:val="63"/>
                    <w:rPr>
                      <w:color w:val="auto"/>
                      <w:lang w:eastAsia="zh-CN"/>
                    </w:rPr>
                  </w:pPr>
                  <w:r>
                    <w:rPr>
                      <w:rFonts w:hint="eastAsia"/>
                      <w:color w:val="auto"/>
                      <w:lang w:eastAsia="zh-CN"/>
                    </w:rPr>
                    <w:t>2</w:t>
                  </w:r>
                  <w:r>
                    <w:rPr>
                      <w:color w:val="auto"/>
                      <w:lang w:eastAsia="zh-CN"/>
                    </w:rPr>
                    <w:t>023.10.31</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63"/>
                    <w:rPr>
                      <w:color w:val="auto"/>
                    </w:rPr>
                  </w:pPr>
                  <w:r>
                    <w:rPr>
                      <w:rFonts w:hint="eastAsia"/>
                      <w:color w:val="auto"/>
                    </w:rPr>
                    <w:t>年产140万吨热轧生产线建设项目</w:t>
                  </w:r>
                  <w:r>
                    <w:rPr>
                      <w:rFonts w:hint="eastAsia"/>
                      <w:color w:val="auto"/>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63"/>
                    <w:rPr>
                      <w:color w:val="auto"/>
                      <w:lang w:val="en-US" w:eastAsia="zh-CN"/>
                    </w:rPr>
                  </w:pPr>
                  <w:r>
                    <w:rPr>
                      <w:rFonts w:hint="eastAsia"/>
                      <w:color w:val="auto"/>
                      <w:lang w:val="en-US" w:eastAsia="zh-CN"/>
                    </w:rPr>
                    <w:t>颗粒物</w:t>
                  </w:r>
                </w:p>
              </w:tc>
              <w:tc>
                <w:tcPr>
                  <w:tcW w:w="1000" w:type="pct"/>
                  <w:vAlign w:val="center"/>
                </w:tcPr>
                <w:p>
                  <w:pPr>
                    <w:pStyle w:val="63"/>
                    <w:rPr>
                      <w:color w:val="auto"/>
                      <w:lang w:eastAsia="zh-CN"/>
                    </w:rPr>
                  </w:pPr>
                  <w:r>
                    <w:rPr>
                      <w:rFonts w:hint="eastAsia"/>
                      <w:color w:val="auto"/>
                      <w:lang w:eastAsia="zh-CN"/>
                    </w:rPr>
                    <w:t>/</w:t>
                  </w:r>
                </w:p>
              </w:tc>
              <w:tc>
                <w:tcPr>
                  <w:tcW w:w="1593" w:type="pct"/>
                  <w:vAlign w:val="center"/>
                </w:tcPr>
                <w:p>
                  <w:pPr>
                    <w:pStyle w:val="63"/>
                    <w:rPr>
                      <w:color w:val="auto"/>
                      <w:lang w:eastAsia="zh-CN"/>
                    </w:rPr>
                  </w:pPr>
                  <w:r>
                    <w:rPr>
                      <w:rFonts w:hint="eastAsia"/>
                      <w:color w:val="auto"/>
                      <w:lang w:eastAsia="zh-CN"/>
                    </w:rPr>
                    <w:t>环评核算结论</w:t>
                  </w:r>
                </w:p>
              </w:tc>
              <w:tc>
                <w:tcPr>
                  <w:tcW w:w="724" w:type="pct"/>
                  <w:vAlign w:val="center"/>
                </w:tcPr>
                <w:p>
                  <w:pPr>
                    <w:pStyle w:val="63"/>
                    <w:rPr>
                      <w:color w:val="auto"/>
                      <w:lang w:eastAsia="zh-CN"/>
                    </w:rPr>
                  </w:pPr>
                  <w:r>
                    <w:rPr>
                      <w:rFonts w:hint="eastAsia"/>
                      <w:color w:val="auto"/>
                      <w:lang w:eastAsia="zh-CN"/>
                    </w:rPr>
                    <w:t>/</w:t>
                  </w:r>
                </w:p>
              </w:tc>
              <w:tc>
                <w:tcPr>
                  <w:tcW w:w="683" w:type="pct"/>
                  <w:vAlign w:val="center"/>
                </w:tcPr>
                <w:p>
                  <w:pPr>
                    <w:pStyle w:val="63"/>
                    <w:rPr>
                      <w:color w:val="auto"/>
                      <w:lang w:eastAsia="zh-CN"/>
                    </w:rPr>
                  </w:pPr>
                  <w:r>
                    <w:rPr>
                      <w:rFonts w:hint="eastAsia"/>
                      <w:color w:val="auto"/>
                      <w:lang w:eastAsia="zh-CN"/>
                    </w:rPr>
                    <w:t>1</w:t>
                  </w:r>
                  <w:r>
                    <w:rPr>
                      <w:color w:val="auto"/>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63"/>
                    <w:rPr>
                      <w:color w:val="auto"/>
                    </w:rPr>
                  </w:pPr>
                  <w:r>
                    <w:rPr>
                      <w:rFonts w:hint="eastAsia"/>
                      <w:color w:val="auto"/>
                    </w:rPr>
                    <w:t>年产3</w:t>
                  </w:r>
                  <w:r>
                    <w:rPr>
                      <w:color w:val="auto"/>
                    </w:rPr>
                    <w:t>0</w:t>
                  </w:r>
                  <w:r>
                    <w:rPr>
                      <w:rFonts w:hint="eastAsia"/>
                      <w:color w:val="auto"/>
                    </w:rPr>
                    <w:t>万吨热退火酸洗生产线建设项目</w:t>
                  </w:r>
                  <w:r>
                    <w:rPr>
                      <w:rFonts w:hint="eastAsia"/>
                      <w:color w:val="auto"/>
                      <w:lang w:eastAsia="zh-CN"/>
                    </w:rPr>
                    <w:t>（D</w:t>
                  </w:r>
                  <w:r>
                    <w:rPr>
                      <w:color w:val="auto"/>
                      <w:lang w:eastAsia="zh-CN"/>
                    </w:rPr>
                    <w:t>A003</w:t>
                  </w:r>
                  <w:r>
                    <w:rPr>
                      <w:rFonts w:hint="eastAsia"/>
                      <w:color w:val="auto"/>
                      <w:lang w:eastAsia="zh-CN"/>
                    </w:rPr>
                    <w:t>，热退火炉）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pStyle w:val="63"/>
                    <w:rPr>
                      <w:color w:val="auto"/>
                      <w:lang w:eastAsia="zh-CN"/>
                    </w:rPr>
                  </w:pPr>
                  <w:r>
                    <w:rPr>
                      <w:rFonts w:hint="eastAsia"/>
                      <w:color w:val="auto"/>
                      <w:lang w:val="en-US" w:eastAsia="zh-CN"/>
                    </w:rPr>
                    <w:t>颗粒物</w:t>
                  </w:r>
                </w:p>
              </w:tc>
              <w:tc>
                <w:tcPr>
                  <w:tcW w:w="1000" w:type="pct"/>
                  <w:vAlign w:val="center"/>
                </w:tcPr>
                <w:p>
                  <w:pPr>
                    <w:pStyle w:val="63"/>
                    <w:rPr>
                      <w:color w:val="auto"/>
                      <w:lang w:eastAsia="zh-CN"/>
                    </w:rPr>
                  </w:pPr>
                  <w:r>
                    <w:rPr>
                      <w:rFonts w:hint="eastAsia"/>
                      <w:color w:val="auto"/>
                      <w:lang w:eastAsia="zh-CN"/>
                    </w:rPr>
                    <w:t>0</w:t>
                  </w:r>
                  <w:r>
                    <w:rPr>
                      <w:color w:val="auto"/>
                      <w:lang w:eastAsia="zh-CN"/>
                    </w:rPr>
                    <w:t>.0644</w:t>
                  </w:r>
                </w:p>
              </w:tc>
              <w:tc>
                <w:tcPr>
                  <w:tcW w:w="1593" w:type="pct"/>
                  <w:vAlign w:val="center"/>
                </w:tcPr>
                <w:p>
                  <w:pPr>
                    <w:pStyle w:val="63"/>
                    <w:rPr>
                      <w:color w:val="auto"/>
                      <w:lang w:eastAsia="zh-CN"/>
                    </w:rPr>
                  </w:pPr>
                  <w:r>
                    <w:rPr>
                      <w:rFonts w:hint="eastAsia"/>
                      <w:color w:val="auto"/>
                      <w:lang w:eastAsia="zh-CN"/>
                    </w:rPr>
                    <w:t>2</w:t>
                  </w:r>
                  <w:r>
                    <w:rPr>
                      <w:color w:val="auto"/>
                      <w:lang w:eastAsia="zh-CN"/>
                    </w:rPr>
                    <w:t>022.03.21</w:t>
                  </w:r>
                  <w:r>
                    <w:rPr>
                      <w:rFonts w:hint="eastAsia"/>
                      <w:color w:val="auto"/>
                      <w:lang w:eastAsia="zh-CN"/>
                    </w:rPr>
                    <w:t>（自行监测）</w:t>
                  </w:r>
                </w:p>
              </w:tc>
              <w:tc>
                <w:tcPr>
                  <w:tcW w:w="724" w:type="pct"/>
                  <w:vMerge w:val="restart"/>
                  <w:vAlign w:val="center"/>
                </w:tcPr>
                <w:p>
                  <w:pPr>
                    <w:pStyle w:val="63"/>
                    <w:rPr>
                      <w:color w:val="auto"/>
                      <w:lang w:eastAsia="zh-CN"/>
                    </w:rPr>
                  </w:pPr>
                  <w:r>
                    <w:rPr>
                      <w:rFonts w:hint="eastAsia"/>
                      <w:color w:val="auto"/>
                      <w:lang w:eastAsia="zh-CN"/>
                    </w:rPr>
                    <w:t>0</w:t>
                  </w:r>
                  <w:r>
                    <w:rPr>
                      <w:color w:val="auto"/>
                      <w:lang w:eastAsia="zh-CN"/>
                    </w:rPr>
                    <w:t>.0618</w:t>
                  </w:r>
                </w:p>
              </w:tc>
              <w:tc>
                <w:tcPr>
                  <w:tcW w:w="683" w:type="pct"/>
                  <w:vMerge w:val="restart"/>
                  <w:vAlign w:val="center"/>
                </w:tcPr>
                <w:p>
                  <w:pPr>
                    <w:pStyle w:val="63"/>
                    <w:rPr>
                      <w:color w:val="auto"/>
                      <w:lang w:eastAsia="zh-CN"/>
                    </w:rPr>
                  </w:pPr>
                  <w:r>
                    <w:rPr>
                      <w:rFonts w:hint="eastAsia"/>
                      <w:color w:val="auto"/>
                      <w:lang w:eastAsia="zh-CN"/>
                    </w:rPr>
                    <w:t>0</w:t>
                  </w:r>
                  <w:r>
                    <w:rPr>
                      <w:color w:val="auto"/>
                      <w:lang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lang w:val="en-US" w:eastAsia="zh-CN"/>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.0592</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pStyle w:val="63"/>
                    <w:rPr>
                      <w:color w:val="auto"/>
                      <w:lang w:val="en-US" w:eastAsia="zh-CN"/>
                    </w:rPr>
                  </w:pPr>
                  <w:r>
                    <w:rPr>
                      <w:rFonts w:hint="eastAsia"/>
                      <w:color w:val="auto"/>
                      <w:lang w:eastAsia="zh-CN"/>
                    </w:rPr>
                    <w:t>二氧化硫</w:t>
                  </w:r>
                </w:p>
              </w:tc>
              <w:tc>
                <w:tcPr>
                  <w:tcW w:w="1000" w:type="pct"/>
                  <w:vAlign w:val="center"/>
                </w:tcPr>
                <w:p>
                  <w:pPr>
                    <w:pStyle w:val="63"/>
                    <w:rPr>
                      <w:color w:val="auto"/>
                      <w:lang w:eastAsia="zh-CN"/>
                    </w:rPr>
                  </w:pPr>
                  <w:r>
                    <w:rPr>
                      <w:color w:val="auto"/>
                      <w:lang w:eastAsia="zh-CN"/>
                    </w:rPr>
                    <w:t>0.194</w:t>
                  </w:r>
                </w:p>
              </w:tc>
              <w:tc>
                <w:tcPr>
                  <w:tcW w:w="1593" w:type="pct"/>
                  <w:vAlign w:val="center"/>
                </w:tcPr>
                <w:p>
                  <w:pPr>
                    <w:pStyle w:val="63"/>
                    <w:rPr>
                      <w:color w:val="auto"/>
                      <w:lang w:eastAsia="zh-CN"/>
                    </w:rPr>
                  </w:pPr>
                  <w:r>
                    <w:rPr>
                      <w:rFonts w:hint="eastAsia"/>
                      <w:color w:val="auto"/>
                      <w:lang w:eastAsia="zh-CN"/>
                    </w:rPr>
                    <w:t>2</w:t>
                  </w:r>
                  <w:r>
                    <w:rPr>
                      <w:color w:val="auto"/>
                      <w:lang w:eastAsia="zh-CN"/>
                    </w:rPr>
                    <w:t>022.03.21</w:t>
                  </w:r>
                  <w:r>
                    <w:rPr>
                      <w:rFonts w:hint="eastAsia"/>
                      <w:color w:val="auto"/>
                      <w:lang w:eastAsia="zh-CN"/>
                    </w:rPr>
                    <w:t>（自行监测）</w:t>
                  </w:r>
                </w:p>
              </w:tc>
              <w:tc>
                <w:tcPr>
                  <w:tcW w:w="724" w:type="pct"/>
                  <w:vMerge w:val="restart"/>
                  <w:vAlign w:val="center"/>
                </w:tcPr>
                <w:p>
                  <w:pPr>
                    <w:pStyle w:val="63"/>
                    <w:rPr>
                      <w:color w:val="auto"/>
                      <w:lang w:eastAsia="zh-CN"/>
                    </w:rPr>
                  </w:pPr>
                  <w:r>
                    <w:rPr>
                      <w:rFonts w:hint="eastAsia"/>
                      <w:color w:val="auto"/>
                      <w:lang w:eastAsia="zh-CN"/>
                    </w:rPr>
                    <w:t>0</w:t>
                  </w:r>
                  <w:r>
                    <w:rPr>
                      <w:color w:val="auto"/>
                      <w:lang w:eastAsia="zh-CN"/>
                    </w:rPr>
                    <w:t>.0176</w:t>
                  </w:r>
                </w:p>
              </w:tc>
              <w:tc>
                <w:tcPr>
                  <w:tcW w:w="683" w:type="pct"/>
                  <w:vMerge w:val="restart"/>
                  <w:vAlign w:val="center"/>
                </w:tcPr>
                <w:p>
                  <w:pPr>
                    <w:pStyle w:val="63"/>
                    <w:rPr>
                      <w:color w:val="auto"/>
                      <w:lang w:eastAsia="zh-CN"/>
                    </w:rPr>
                  </w:pPr>
                  <w:r>
                    <w:rPr>
                      <w:rFonts w:hint="eastAsia"/>
                      <w:color w:val="auto"/>
                      <w:lang w:eastAsia="zh-CN"/>
                    </w:rPr>
                    <w:t>0</w:t>
                  </w:r>
                  <w:r>
                    <w:rPr>
                      <w:color w:val="auto"/>
                      <w:lang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lang w:eastAsia="zh-CN"/>
                    </w:rPr>
                  </w:pPr>
                </w:p>
              </w:tc>
              <w:tc>
                <w:tcPr>
                  <w:tcW w:w="1000" w:type="pct"/>
                  <w:vAlign w:val="center"/>
                </w:tcPr>
                <w:p>
                  <w:pPr>
                    <w:pStyle w:val="63"/>
                    <w:rPr>
                      <w:color w:val="auto"/>
                      <w:lang w:eastAsia="zh-CN"/>
                    </w:rPr>
                  </w:pPr>
                  <w:r>
                    <w:rPr>
                      <w:rFonts w:hint="eastAsia"/>
                      <w:color w:val="auto"/>
                      <w:lang w:eastAsia="zh-CN"/>
                    </w:rPr>
                    <w:t>0</w:t>
                  </w:r>
                  <w:r>
                    <w:rPr>
                      <w:color w:val="auto"/>
                      <w:lang w:eastAsia="zh-CN"/>
                    </w:rPr>
                    <w:t>.157</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pStyle w:val="63"/>
                    <w:rPr>
                      <w:color w:val="auto"/>
                      <w:lang w:eastAsia="zh-CN"/>
                    </w:rPr>
                  </w:pPr>
                  <w:r>
                    <w:rPr>
                      <w:rFonts w:hint="eastAsia"/>
                      <w:color w:val="auto"/>
                      <w:lang w:eastAsia="zh-CN"/>
                    </w:rPr>
                    <w:t>氮氧化物</w:t>
                  </w:r>
                </w:p>
              </w:tc>
              <w:tc>
                <w:tcPr>
                  <w:tcW w:w="1000" w:type="pct"/>
                  <w:vAlign w:val="center"/>
                </w:tcPr>
                <w:p>
                  <w:pPr>
                    <w:pStyle w:val="63"/>
                    <w:rPr>
                      <w:color w:val="auto"/>
                      <w:lang w:eastAsia="zh-CN"/>
                    </w:rPr>
                  </w:pPr>
                  <w:r>
                    <w:rPr>
                      <w:color w:val="auto"/>
                      <w:lang w:eastAsia="zh-CN"/>
                    </w:rPr>
                    <w:t>0.428</w:t>
                  </w:r>
                </w:p>
              </w:tc>
              <w:tc>
                <w:tcPr>
                  <w:tcW w:w="1593" w:type="pct"/>
                  <w:vAlign w:val="center"/>
                </w:tcPr>
                <w:p>
                  <w:pPr>
                    <w:pStyle w:val="63"/>
                    <w:rPr>
                      <w:color w:val="auto"/>
                      <w:lang w:eastAsia="zh-CN"/>
                    </w:rPr>
                  </w:pPr>
                  <w:r>
                    <w:rPr>
                      <w:rFonts w:hint="eastAsia"/>
                      <w:color w:val="auto"/>
                      <w:lang w:eastAsia="zh-CN"/>
                    </w:rPr>
                    <w:t>2</w:t>
                  </w:r>
                  <w:r>
                    <w:rPr>
                      <w:color w:val="auto"/>
                      <w:lang w:eastAsia="zh-CN"/>
                    </w:rPr>
                    <w:t>022.03.21</w:t>
                  </w:r>
                  <w:r>
                    <w:rPr>
                      <w:rFonts w:hint="eastAsia"/>
                      <w:color w:val="auto"/>
                      <w:lang w:eastAsia="zh-CN"/>
                    </w:rPr>
                    <w:t>（自行监测）</w:t>
                  </w:r>
                </w:p>
              </w:tc>
              <w:tc>
                <w:tcPr>
                  <w:tcW w:w="724" w:type="pct"/>
                  <w:vMerge w:val="restart"/>
                  <w:vAlign w:val="center"/>
                </w:tcPr>
                <w:p>
                  <w:pPr>
                    <w:pStyle w:val="63"/>
                    <w:rPr>
                      <w:color w:val="auto"/>
                      <w:lang w:eastAsia="zh-CN"/>
                    </w:rPr>
                  </w:pPr>
                  <w:r>
                    <w:rPr>
                      <w:rFonts w:hint="eastAsia"/>
                      <w:color w:val="auto"/>
                      <w:lang w:eastAsia="zh-CN"/>
                    </w:rPr>
                    <w:t>0</w:t>
                  </w:r>
                  <w:r>
                    <w:rPr>
                      <w:color w:val="auto"/>
                      <w:lang w:eastAsia="zh-CN"/>
                    </w:rPr>
                    <w:t>.305</w:t>
                  </w:r>
                </w:p>
              </w:tc>
              <w:tc>
                <w:tcPr>
                  <w:tcW w:w="683" w:type="pct"/>
                  <w:vMerge w:val="restart"/>
                  <w:vAlign w:val="center"/>
                </w:tcPr>
                <w:p>
                  <w:pPr>
                    <w:pStyle w:val="63"/>
                    <w:rPr>
                      <w:color w:val="auto"/>
                      <w:lang w:eastAsia="zh-CN"/>
                    </w:rPr>
                  </w:pPr>
                  <w:r>
                    <w:rPr>
                      <w:rFonts w:hint="eastAsia"/>
                      <w:color w:val="auto"/>
                      <w:lang w:eastAsia="zh-CN"/>
                    </w:rPr>
                    <w:t>1</w:t>
                  </w:r>
                  <w:r>
                    <w:rPr>
                      <w:color w:val="auto"/>
                      <w:lang w:eastAsia="zh-CN"/>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lang w:eastAsia="zh-CN"/>
                    </w:rPr>
                  </w:pPr>
                </w:p>
              </w:tc>
              <w:tc>
                <w:tcPr>
                  <w:tcW w:w="1000" w:type="pct"/>
                  <w:vAlign w:val="center"/>
                </w:tcPr>
                <w:p>
                  <w:pPr>
                    <w:pStyle w:val="63"/>
                    <w:rPr>
                      <w:color w:val="auto"/>
                      <w:lang w:eastAsia="zh-CN"/>
                    </w:rPr>
                  </w:pPr>
                  <w:r>
                    <w:rPr>
                      <w:rFonts w:hint="eastAsia"/>
                      <w:color w:val="auto"/>
                      <w:lang w:eastAsia="zh-CN"/>
                    </w:rPr>
                    <w:t>0</w:t>
                  </w:r>
                  <w:r>
                    <w:rPr>
                      <w:color w:val="auto"/>
                      <w:lang w:eastAsia="zh-CN"/>
                    </w:rPr>
                    <w:t>.182</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63"/>
                    <w:rPr>
                      <w:color w:val="auto"/>
                    </w:rPr>
                  </w:pPr>
                  <w:r>
                    <w:rPr>
                      <w:rFonts w:hint="eastAsia"/>
                      <w:color w:val="auto"/>
                    </w:rPr>
                    <w:t>年产3</w:t>
                  </w:r>
                  <w:r>
                    <w:rPr>
                      <w:color w:val="auto"/>
                    </w:rPr>
                    <w:t>0</w:t>
                  </w:r>
                  <w:r>
                    <w:rPr>
                      <w:rFonts w:hint="eastAsia"/>
                      <w:color w:val="auto"/>
                    </w:rPr>
                    <w:t>万吨热退火酸洗生产线建设项目</w:t>
                  </w:r>
                  <w:r>
                    <w:rPr>
                      <w:rFonts w:hint="eastAsia"/>
                      <w:color w:val="auto"/>
                      <w:lang w:eastAsia="zh-CN"/>
                    </w:rPr>
                    <w:t>（D</w:t>
                  </w:r>
                  <w:r>
                    <w:rPr>
                      <w:color w:val="auto"/>
                      <w:lang w:eastAsia="zh-CN"/>
                    </w:rPr>
                    <w:t>A004</w:t>
                  </w:r>
                  <w:r>
                    <w:rPr>
                      <w:rFonts w:hint="eastAsia"/>
                      <w:color w:val="auto"/>
                      <w:lang w:eastAsia="zh-CN"/>
                    </w:rPr>
                    <w:t>，气冷）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63"/>
                    <w:rPr>
                      <w:color w:val="auto"/>
                      <w:lang w:eastAsia="zh-CN"/>
                    </w:rPr>
                  </w:pPr>
                  <w:r>
                    <w:rPr>
                      <w:rFonts w:hint="eastAsia"/>
                      <w:color w:val="auto"/>
                      <w:lang w:val="en-US" w:eastAsia="zh-CN"/>
                    </w:rPr>
                    <w:t>颗粒物</w:t>
                  </w:r>
                </w:p>
              </w:tc>
              <w:tc>
                <w:tcPr>
                  <w:tcW w:w="1000" w:type="pct"/>
                  <w:vAlign w:val="center"/>
                </w:tcPr>
                <w:p>
                  <w:pPr>
                    <w:pStyle w:val="63"/>
                    <w:rPr>
                      <w:color w:val="auto"/>
                      <w:lang w:eastAsia="zh-CN"/>
                    </w:rPr>
                  </w:pPr>
                  <w:r>
                    <w:rPr>
                      <w:rFonts w:hint="eastAsia"/>
                      <w:color w:val="auto"/>
                      <w:lang w:eastAsia="zh-CN"/>
                    </w:rPr>
                    <w:t>0</w:t>
                  </w:r>
                  <w:r>
                    <w:rPr>
                      <w:color w:val="auto"/>
                      <w:lang w:eastAsia="zh-CN"/>
                    </w:rPr>
                    <w:t>.138</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Align w:val="center"/>
                </w:tcPr>
                <w:p>
                  <w:pPr>
                    <w:pStyle w:val="63"/>
                    <w:rPr>
                      <w:color w:val="auto"/>
                      <w:lang w:eastAsia="zh-CN"/>
                    </w:rPr>
                  </w:pPr>
                  <w:r>
                    <w:rPr>
                      <w:color w:val="auto"/>
                      <w:lang w:eastAsia="zh-CN"/>
                    </w:rPr>
                    <w:t>/</w:t>
                  </w:r>
                </w:p>
              </w:tc>
              <w:tc>
                <w:tcPr>
                  <w:tcW w:w="683" w:type="pct"/>
                  <w:vAlign w:val="center"/>
                </w:tcPr>
                <w:p>
                  <w:pPr>
                    <w:pStyle w:val="63"/>
                    <w:rPr>
                      <w:color w:val="auto"/>
                      <w:lang w:eastAsia="zh-CN"/>
                    </w:rPr>
                  </w:pPr>
                  <w:r>
                    <w:rPr>
                      <w:rFonts w:hint="eastAsia"/>
                      <w:color w:val="auto"/>
                      <w:lang w:eastAsia="zh-CN"/>
                    </w:rPr>
                    <w:t>0</w:t>
                  </w:r>
                  <w:r>
                    <w:rPr>
                      <w:color w:val="auto"/>
                      <w:lang w:eastAsia="zh-CN"/>
                    </w:rPr>
                    <w:t>.894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63"/>
                    <w:rPr>
                      <w:color w:val="auto"/>
                    </w:rPr>
                  </w:pPr>
                  <w:r>
                    <w:rPr>
                      <w:rFonts w:hint="eastAsia"/>
                      <w:color w:val="auto"/>
                    </w:rPr>
                    <w:t>年产3</w:t>
                  </w:r>
                  <w:r>
                    <w:rPr>
                      <w:color w:val="auto"/>
                    </w:rPr>
                    <w:t>0</w:t>
                  </w:r>
                  <w:r>
                    <w:rPr>
                      <w:rFonts w:hint="eastAsia"/>
                      <w:color w:val="auto"/>
                    </w:rPr>
                    <w:t>万吨热退火酸洗生产线建设项目</w:t>
                  </w:r>
                  <w:r>
                    <w:rPr>
                      <w:rFonts w:hint="eastAsia"/>
                      <w:color w:val="auto"/>
                      <w:lang w:eastAsia="zh-CN"/>
                    </w:rPr>
                    <w:t>（D</w:t>
                  </w:r>
                  <w:r>
                    <w:rPr>
                      <w:color w:val="auto"/>
                      <w:lang w:eastAsia="zh-CN"/>
                    </w:rPr>
                    <w:t>A005</w:t>
                  </w:r>
                  <w:r>
                    <w:rPr>
                      <w:rFonts w:hint="eastAsia"/>
                      <w:color w:val="auto"/>
                      <w:lang w:eastAsia="zh-CN"/>
                    </w:rPr>
                    <w:t>，抛丸）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63"/>
                    <w:rPr>
                      <w:color w:val="auto"/>
                      <w:lang w:val="en-US" w:eastAsia="zh-CN"/>
                    </w:rPr>
                  </w:pPr>
                  <w:r>
                    <w:rPr>
                      <w:rFonts w:hint="eastAsia"/>
                      <w:color w:val="auto"/>
                      <w:lang w:val="en-US" w:eastAsia="zh-CN"/>
                    </w:rPr>
                    <w:t>颗粒物</w:t>
                  </w:r>
                </w:p>
              </w:tc>
              <w:tc>
                <w:tcPr>
                  <w:tcW w:w="1000" w:type="pct"/>
                  <w:vAlign w:val="center"/>
                </w:tcPr>
                <w:p>
                  <w:pPr>
                    <w:pStyle w:val="63"/>
                    <w:rPr>
                      <w:color w:val="auto"/>
                      <w:lang w:eastAsia="zh-CN"/>
                    </w:rPr>
                  </w:pPr>
                  <w:r>
                    <w:rPr>
                      <w:rFonts w:hint="eastAsia"/>
                      <w:color w:val="auto"/>
                      <w:lang w:eastAsia="zh-CN"/>
                    </w:rPr>
                    <w:t>0</w:t>
                  </w:r>
                  <w:r>
                    <w:rPr>
                      <w:color w:val="auto"/>
                      <w:lang w:eastAsia="zh-CN"/>
                    </w:rPr>
                    <w:t>.111</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Align w:val="center"/>
                </w:tcPr>
                <w:p>
                  <w:pPr>
                    <w:pStyle w:val="63"/>
                    <w:rPr>
                      <w:color w:val="auto"/>
                      <w:lang w:eastAsia="zh-CN"/>
                    </w:rPr>
                  </w:pPr>
                  <w:r>
                    <w:rPr>
                      <w:color w:val="auto"/>
                      <w:lang w:eastAsia="zh-CN"/>
                    </w:rPr>
                    <w:t>/</w:t>
                  </w:r>
                </w:p>
              </w:tc>
              <w:tc>
                <w:tcPr>
                  <w:tcW w:w="683" w:type="pct"/>
                  <w:vAlign w:val="center"/>
                </w:tcPr>
                <w:p>
                  <w:pPr>
                    <w:pStyle w:val="63"/>
                    <w:rPr>
                      <w:color w:val="auto"/>
                      <w:lang w:eastAsia="zh-CN"/>
                    </w:rPr>
                  </w:pPr>
                  <w:r>
                    <w:rPr>
                      <w:rFonts w:hint="eastAsia"/>
                      <w:color w:val="auto"/>
                      <w:lang w:eastAsia="zh-CN"/>
                    </w:rPr>
                    <w:t>0</w:t>
                  </w:r>
                  <w:r>
                    <w:rPr>
                      <w:color w:val="auto"/>
                      <w:lang w:eastAsia="zh-CN"/>
                    </w:rPr>
                    <w:t>.719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5"/>
                  <w:vAlign w:val="center"/>
                </w:tcPr>
                <w:p>
                  <w:pPr>
                    <w:pStyle w:val="63"/>
                    <w:rPr>
                      <w:color w:val="auto"/>
                    </w:rPr>
                  </w:pPr>
                  <w:r>
                    <w:rPr>
                      <w:rFonts w:hint="eastAsia"/>
                      <w:color w:val="auto"/>
                    </w:rPr>
                    <w:t>年产3</w:t>
                  </w:r>
                  <w:r>
                    <w:rPr>
                      <w:color w:val="auto"/>
                    </w:rPr>
                    <w:t>0</w:t>
                  </w:r>
                  <w:r>
                    <w:rPr>
                      <w:rFonts w:hint="eastAsia"/>
                      <w:color w:val="auto"/>
                    </w:rPr>
                    <w:t>万吨热退火酸洗生产线建设项目</w:t>
                  </w:r>
                  <w:r>
                    <w:rPr>
                      <w:rFonts w:hint="eastAsia"/>
                      <w:color w:val="auto"/>
                      <w:lang w:eastAsia="zh-CN"/>
                    </w:rPr>
                    <w:t>（D</w:t>
                  </w:r>
                  <w:r>
                    <w:rPr>
                      <w:color w:val="auto"/>
                      <w:lang w:eastAsia="zh-CN"/>
                    </w:rPr>
                    <w:t>A006</w:t>
                  </w:r>
                  <w:r>
                    <w:rPr>
                      <w:rFonts w:hint="eastAsia"/>
                      <w:color w:val="auto"/>
                      <w:lang w:eastAsia="zh-CN"/>
                    </w:rPr>
                    <w:t>，酸洗）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pStyle w:val="63"/>
                    <w:rPr>
                      <w:color w:val="auto"/>
                      <w:lang w:val="en-US" w:eastAsia="zh-CN"/>
                    </w:rPr>
                  </w:pPr>
                  <w:r>
                    <w:rPr>
                      <w:rFonts w:hint="eastAsia"/>
                      <w:color w:val="auto"/>
                      <w:lang w:val="en-US" w:eastAsia="zh-CN"/>
                    </w:rPr>
                    <w:t>硫酸雾</w:t>
                  </w:r>
                </w:p>
              </w:tc>
              <w:tc>
                <w:tcPr>
                  <w:tcW w:w="1000" w:type="pct"/>
                  <w:vAlign w:val="center"/>
                </w:tcPr>
                <w:p>
                  <w:pPr>
                    <w:pStyle w:val="63"/>
                    <w:rPr>
                      <w:color w:val="auto"/>
                      <w:lang w:eastAsia="zh-CN"/>
                    </w:rPr>
                  </w:pPr>
                  <w:r>
                    <w:rPr>
                      <w:rFonts w:hint="eastAsia"/>
                      <w:color w:val="auto"/>
                      <w:lang w:eastAsia="zh-CN"/>
                    </w:rPr>
                    <w:t>0</w:t>
                  </w:r>
                  <w:r>
                    <w:rPr>
                      <w:color w:val="auto"/>
                      <w:lang w:eastAsia="zh-CN"/>
                    </w:rPr>
                    <w:t>.0439</w:t>
                  </w:r>
                </w:p>
              </w:tc>
              <w:tc>
                <w:tcPr>
                  <w:tcW w:w="1593" w:type="pct"/>
                  <w:vAlign w:val="center"/>
                </w:tcPr>
                <w:p>
                  <w:pPr>
                    <w:pStyle w:val="63"/>
                    <w:rPr>
                      <w:color w:val="auto"/>
                      <w:lang w:eastAsia="zh-CN"/>
                    </w:rPr>
                  </w:pPr>
                  <w:r>
                    <w:rPr>
                      <w:rFonts w:hint="eastAsia"/>
                      <w:color w:val="auto"/>
                      <w:lang w:eastAsia="zh-CN"/>
                    </w:rPr>
                    <w:t>2</w:t>
                  </w:r>
                  <w:r>
                    <w:rPr>
                      <w:color w:val="auto"/>
                      <w:lang w:eastAsia="zh-CN"/>
                    </w:rPr>
                    <w:t>022.03.21</w:t>
                  </w:r>
                  <w:r>
                    <w:rPr>
                      <w:rFonts w:hint="eastAsia"/>
                      <w:color w:val="auto"/>
                      <w:lang w:eastAsia="zh-CN"/>
                    </w:rPr>
                    <w:t>（自行监测）</w:t>
                  </w:r>
                </w:p>
              </w:tc>
              <w:tc>
                <w:tcPr>
                  <w:tcW w:w="724" w:type="pct"/>
                  <w:vMerge w:val="restart"/>
                  <w:vAlign w:val="center"/>
                </w:tcPr>
                <w:p>
                  <w:pPr>
                    <w:pStyle w:val="63"/>
                    <w:rPr>
                      <w:color w:val="auto"/>
                      <w:lang w:eastAsia="zh-CN"/>
                    </w:rPr>
                  </w:pPr>
                  <w:r>
                    <w:rPr>
                      <w:color w:val="auto"/>
                      <w:lang w:eastAsia="zh-CN"/>
                    </w:rPr>
                    <w:t>0.0381</w:t>
                  </w:r>
                </w:p>
              </w:tc>
              <w:tc>
                <w:tcPr>
                  <w:tcW w:w="683" w:type="pct"/>
                  <w:vMerge w:val="restart"/>
                  <w:vAlign w:val="center"/>
                </w:tcPr>
                <w:p>
                  <w:pPr>
                    <w:pStyle w:val="63"/>
                    <w:rPr>
                      <w:color w:val="auto"/>
                      <w:lang w:eastAsia="zh-CN"/>
                    </w:rPr>
                  </w:pPr>
                  <w:r>
                    <w:rPr>
                      <w:rFonts w:hint="eastAsia"/>
                      <w:color w:val="auto"/>
                      <w:lang w:eastAsia="zh-CN"/>
                    </w:rPr>
                    <w:t>0</w:t>
                  </w:r>
                  <w:r>
                    <w:rPr>
                      <w:color w:val="auto"/>
                      <w:lang w:eastAsia="zh-CN"/>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lang w:val="en-US" w:eastAsia="zh-CN"/>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.0323</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pStyle w:val="63"/>
                    <w:rPr>
                      <w:color w:val="auto"/>
                      <w:lang w:val="en-US" w:eastAsia="zh-CN"/>
                    </w:rPr>
                  </w:pPr>
                  <w:r>
                    <w:rPr>
                      <w:rFonts w:hint="eastAsia"/>
                      <w:color w:val="auto"/>
                      <w:lang w:val="en-US" w:eastAsia="zh-CN"/>
                    </w:rPr>
                    <w:t>硝酸雾</w:t>
                  </w:r>
                </w:p>
              </w:tc>
              <w:tc>
                <w:tcPr>
                  <w:tcW w:w="1000" w:type="pct"/>
                  <w:vAlign w:val="center"/>
                </w:tcPr>
                <w:p>
                  <w:pPr>
                    <w:pStyle w:val="63"/>
                    <w:rPr>
                      <w:color w:val="auto"/>
                      <w:lang w:eastAsia="zh-CN"/>
                    </w:rPr>
                  </w:pPr>
                  <w:r>
                    <w:rPr>
                      <w:rFonts w:hint="eastAsia"/>
                      <w:color w:val="auto"/>
                      <w:lang w:eastAsia="zh-CN"/>
                    </w:rPr>
                    <w:t>0</w:t>
                  </w:r>
                  <w:r>
                    <w:rPr>
                      <w:color w:val="auto"/>
                      <w:lang w:eastAsia="zh-CN"/>
                    </w:rPr>
                    <w:t>.143</w:t>
                  </w:r>
                </w:p>
              </w:tc>
              <w:tc>
                <w:tcPr>
                  <w:tcW w:w="1593" w:type="pct"/>
                  <w:vAlign w:val="center"/>
                </w:tcPr>
                <w:p>
                  <w:pPr>
                    <w:pStyle w:val="63"/>
                    <w:rPr>
                      <w:color w:val="auto"/>
                      <w:lang w:eastAsia="zh-CN"/>
                    </w:rPr>
                  </w:pPr>
                  <w:r>
                    <w:rPr>
                      <w:rFonts w:hint="eastAsia"/>
                      <w:color w:val="auto"/>
                      <w:lang w:eastAsia="zh-CN"/>
                    </w:rPr>
                    <w:t>2</w:t>
                  </w:r>
                  <w:r>
                    <w:rPr>
                      <w:color w:val="auto"/>
                      <w:lang w:eastAsia="zh-CN"/>
                    </w:rPr>
                    <w:t>022.03.21</w:t>
                  </w:r>
                  <w:r>
                    <w:rPr>
                      <w:rFonts w:hint="eastAsia"/>
                      <w:color w:val="auto"/>
                      <w:lang w:eastAsia="zh-CN"/>
                    </w:rPr>
                    <w:t>（自行监测）</w:t>
                  </w:r>
                </w:p>
              </w:tc>
              <w:tc>
                <w:tcPr>
                  <w:tcW w:w="724" w:type="pct"/>
                  <w:vMerge w:val="restart"/>
                  <w:vAlign w:val="center"/>
                </w:tcPr>
                <w:p>
                  <w:pPr>
                    <w:pStyle w:val="63"/>
                    <w:rPr>
                      <w:color w:val="auto"/>
                      <w:lang w:eastAsia="zh-CN"/>
                    </w:rPr>
                  </w:pPr>
                  <w:r>
                    <w:rPr>
                      <w:color w:val="auto"/>
                      <w:lang w:eastAsia="zh-CN"/>
                    </w:rPr>
                    <w:t>0.152</w:t>
                  </w:r>
                </w:p>
              </w:tc>
              <w:tc>
                <w:tcPr>
                  <w:tcW w:w="683" w:type="pct"/>
                  <w:vMerge w:val="restart"/>
                  <w:vAlign w:val="center"/>
                </w:tcPr>
                <w:p>
                  <w:pPr>
                    <w:pStyle w:val="63"/>
                    <w:rPr>
                      <w:color w:val="auto"/>
                      <w:lang w:eastAsia="zh-CN"/>
                    </w:rPr>
                  </w:pPr>
                  <w:r>
                    <w:rPr>
                      <w:rFonts w:hint="eastAsia"/>
                      <w:color w:val="auto"/>
                      <w:lang w:eastAsia="zh-CN"/>
                    </w:rPr>
                    <w:t>0</w:t>
                  </w:r>
                  <w:r>
                    <w:rPr>
                      <w:color w:val="auto"/>
                      <w:lang w:eastAsia="zh-CN"/>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lang w:val="en-US" w:eastAsia="zh-CN"/>
                    </w:rPr>
                  </w:pPr>
                </w:p>
              </w:tc>
              <w:tc>
                <w:tcPr>
                  <w:tcW w:w="1000" w:type="pct"/>
                  <w:vAlign w:val="center"/>
                </w:tcPr>
                <w:p>
                  <w:pPr>
                    <w:pStyle w:val="63"/>
                    <w:rPr>
                      <w:color w:val="auto"/>
                      <w:lang w:eastAsia="zh-CN"/>
                    </w:rPr>
                  </w:pPr>
                  <w:r>
                    <w:rPr>
                      <w:rFonts w:hint="eastAsia"/>
                      <w:color w:val="auto"/>
                      <w:lang w:eastAsia="zh-CN"/>
                    </w:rPr>
                    <w:t>0</w:t>
                  </w:r>
                  <w:r>
                    <w:rPr>
                      <w:color w:val="auto"/>
                      <w:lang w:eastAsia="zh-CN"/>
                    </w:rPr>
                    <w:t>.160</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pStyle w:val="63"/>
                    <w:rPr>
                      <w:color w:val="auto"/>
                      <w:lang w:val="en-US" w:eastAsia="zh-CN"/>
                    </w:rPr>
                  </w:pPr>
                  <w:r>
                    <w:rPr>
                      <w:rFonts w:hint="eastAsia"/>
                      <w:color w:val="auto"/>
                      <w:lang w:val="en-US" w:eastAsia="zh-CN"/>
                    </w:rPr>
                    <w:t>氟化物</w:t>
                  </w:r>
                </w:p>
              </w:tc>
              <w:tc>
                <w:tcPr>
                  <w:tcW w:w="1000" w:type="pct"/>
                  <w:vAlign w:val="center"/>
                </w:tcPr>
                <w:p>
                  <w:pPr>
                    <w:pStyle w:val="63"/>
                    <w:rPr>
                      <w:color w:val="auto"/>
                      <w:lang w:eastAsia="zh-CN"/>
                    </w:rPr>
                  </w:pPr>
                  <w:r>
                    <w:rPr>
                      <w:rFonts w:hint="eastAsia"/>
                      <w:color w:val="auto"/>
                      <w:lang w:eastAsia="zh-CN"/>
                    </w:rPr>
                    <w:t>0</w:t>
                  </w:r>
                  <w:r>
                    <w:rPr>
                      <w:color w:val="auto"/>
                      <w:lang w:eastAsia="zh-CN"/>
                    </w:rPr>
                    <w:t>.0106</w:t>
                  </w:r>
                </w:p>
              </w:tc>
              <w:tc>
                <w:tcPr>
                  <w:tcW w:w="1593" w:type="pct"/>
                  <w:vAlign w:val="center"/>
                </w:tcPr>
                <w:p>
                  <w:pPr>
                    <w:pStyle w:val="63"/>
                    <w:rPr>
                      <w:color w:val="auto"/>
                      <w:lang w:eastAsia="zh-CN"/>
                    </w:rPr>
                  </w:pPr>
                  <w:r>
                    <w:rPr>
                      <w:rFonts w:hint="eastAsia"/>
                      <w:color w:val="auto"/>
                      <w:lang w:eastAsia="zh-CN"/>
                    </w:rPr>
                    <w:t>2</w:t>
                  </w:r>
                  <w:r>
                    <w:rPr>
                      <w:color w:val="auto"/>
                      <w:lang w:eastAsia="zh-CN"/>
                    </w:rPr>
                    <w:t>022.03.21</w:t>
                  </w:r>
                  <w:r>
                    <w:rPr>
                      <w:rFonts w:hint="eastAsia"/>
                      <w:color w:val="auto"/>
                      <w:lang w:eastAsia="zh-CN"/>
                    </w:rPr>
                    <w:t>（自行监测）</w:t>
                  </w:r>
                </w:p>
              </w:tc>
              <w:tc>
                <w:tcPr>
                  <w:tcW w:w="724" w:type="pct"/>
                  <w:vMerge w:val="restart"/>
                  <w:vAlign w:val="center"/>
                </w:tcPr>
                <w:p>
                  <w:pPr>
                    <w:pStyle w:val="63"/>
                    <w:rPr>
                      <w:color w:val="auto"/>
                      <w:lang w:eastAsia="zh-CN"/>
                    </w:rPr>
                  </w:pPr>
                  <w:r>
                    <w:rPr>
                      <w:rFonts w:hint="eastAsia"/>
                      <w:color w:val="auto"/>
                      <w:lang w:eastAsia="zh-CN"/>
                    </w:rPr>
                    <w:t>0</w:t>
                  </w:r>
                  <w:r>
                    <w:rPr>
                      <w:color w:val="auto"/>
                      <w:lang w:eastAsia="zh-CN"/>
                    </w:rPr>
                    <w:t>.011</w:t>
                  </w:r>
                </w:p>
              </w:tc>
              <w:tc>
                <w:tcPr>
                  <w:tcW w:w="683" w:type="pct"/>
                  <w:vMerge w:val="restart"/>
                  <w:vAlign w:val="center"/>
                </w:tcPr>
                <w:p>
                  <w:pPr>
                    <w:pStyle w:val="63"/>
                    <w:rPr>
                      <w:color w:val="auto"/>
                      <w:lang w:eastAsia="zh-CN"/>
                    </w:rPr>
                  </w:pPr>
                  <w:r>
                    <w:rPr>
                      <w:rFonts w:hint="eastAsia"/>
                      <w:color w:val="auto"/>
                      <w:lang w:eastAsia="zh-CN"/>
                    </w:rPr>
                    <w:t>0</w:t>
                  </w:r>
                  <w:r>
                    <w:rPr>
                      <w:color w:val="auto"/>
                      <w:lang w:eastAsia="zh-CN"/>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pStyle w:val="63"/>
                    <w:rPr>
                      <w:color w:val="auto"/>
                      <w:lang w:val="en-US" w:eastAsia="zh-CN"/>
                    </w:rPr>
                  </w:pPr>
                </w:p>
              </w:tc>
              <w:tc>
                <w:tcPr>
                  <w:tcW w:w="1000" w:type="pct"/>
                  <w:vAlign w:val="center"/>
                </w:tcPr>
                <w:p>
                  <w:pPr>
                    <w:pStyle w:val="63"/>
                    <w:rPr>
                      <w:color w:val="auto"/>
                      <w:lang w:eastAsia="zh-CN"/>
                    </w:rPr>
                  </w:pPr>
                  <w:r>
                    <w:rPr>
                      <w:rFonts w:hint="eastAsia"/>
                      <w:color w:val="auto"/>
                      <w:lang w:eastAsia="zh-CN"/>
                    </w:rPr>
                    <w:t>0</w:t>
                  </w:r>
                  <w:r>
                    <w:rPr>
                      <w:color w:val="auto"/>
                      <w:lang w:eastAsia="zh-CN"/>
                    </w:rPr>
                    <w:t>.0121</w:t>
                  </w:r>
                </w:p>
              </w:tc>
              <w:tc>
                <w:tcPr>
                  <w:tcW w:w="1593" w:type="pct"/>
                  <w:vAlign w:val="center"/>
                </w:tcPr>
                <w:p>
                  <w:pPr>
                    <w:pStyle w:val="63"/>
                    <w:rPr>
                      <w:color w:val="auto"/>
                      <w:lang w:eastAsia="zh-CN"/>
                    </w:rPr>
                  </w:pPr>
                  <w:r>
                    <w:rPr>
                      <w:rFonts w:hint="eastAsia"/>
                      <w:color w:val="auto"/>
                      <w:lang w:eastAsia="zh-CN"/>
                    </w:rPr>
                    <w:t>2</w:t>
                  </w:r>
                  <w:r>
                    <w:rPr>
                      <w:color w:val="auto"/>
                      <w:lang w:eastAsia="zh-CN"/>
                    </w:rPr>
                    <w:t>022.05.30</w:t>
                  </w:r>
                  <w:r>
                    <w:rPr>
                      <w:rFonts w:hint="eastAsia"/>
                      <w:color w:val="auto"/>
                      <w:lang w:eastAsia="zh-CN"/>
                    </w:rPr>
                    <w:t>（自行监测）</w:t>
                  </w:r>
                </w:p>
              </w:tc>
              <w:tc>
                <w:tcPr>
                  <w:tcW w:w="724" w:type="pct"/>
                  <w:vMerge w:val="continue"/>
                  <w:vAlign w:val="center"/>
                </w:tcPr>
                <w:p>
                  <w:pPr>
                    <w:pStyle w:val="63"/>
                    <w:rPr>
                      <w:color w:val="auto"/>
                    </w:rPr>
                  </w:pPr>
                </w:p>
              </w:tc>
              <w:tc>
                <w:tcPr>
                  <w:tcW w:w="683"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63"/>
                    <w:rPr>
                      <w:color w:val="auto"/>
                    </w:rPr>
                  </w:pPr>
                  <w:r>
                    <w:rPr>
                      <w:rFonts w:hint="eastAsia"/>
                      <w:color w:val="auto"/>
                    </w:rPr>
                    <w:t>年产3</w:t>
                  </w:r>
                  <w:r>
                    <w:rPr>
                      <w:color w:val="auto"/>
                    </w:rPr>
                    <w:t>0</w:t>
                  </w:r>
                  <w:r>
                    <w:rPr>
                      <w:rFonts w:hint="eastAsia"/>
                      <w:color w:val="auto"/>
                    </w:rPr>
                    <w:t>万吨热退火酸洗生产线建设项目</w:t>
                  </w:r>
                  <w:r>
                    <w:rPr>
                      <w:rFonts w:hint="eastAsia"/>
                      <w:color w:val="auto"/>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63"/>
                    <w:rPr>
                      <w:color w:val="auto"/>
                      <w:lang w:val="en-US" w:eastAsia="zh-CN"/>
                    </w:rPr>
                  </w:pPr>
                  <w:r>
                    <w:rPr>
                      <w:rFonts w:hint="eastAsia"/>
                      <w:color w:val="auto"/>
                      <w:lang w:val="en-US" w:eastAsia="zh-CN"/>
                    </w:rPr>
                    <w:t>颗粒物</w:t>
                  </w:r>
                </w:p>
              </w:tc>
              <w:tc>
                <w:tcPr>
                  <w:tcW w:w="1000" w:type="pct"/>
                  <w:vAlign w:val="center"/>
                </w:tcPr>
                <w:p>
                  <w:pPr>
                    <w:pStyle w:val="63"/>
                    <w:rPr>
                      <w:color w:val="auto"/>
                      <w:lang w:eastAsia="zh-CN"/>
                    </w:rPr>
                  </w:pPr>
                  <w:r>
                    <w:rPr>
                      <w:rFonts w:hint="eastAsia"/>
                      <w:color w:val="auto"/>
                      <w:lang w:eastAsia="zh-CN"/>
                    </w:rPr>
                    <w:t>/</w:t>
                  </w:r>
                </w:p>
              </w:tc>
              <w:tc>
                <w:tcPr>
                  <w:tcW w:w="1593" w:type="pct"/>
                  <w:vAlign w:val="center"/>
                </w:tcPr>
                <w:p>
                  <w:pPr>
                    <w:pStyle w:val="63"/>
                    <w:rPr>
                      <w:color w:val="auto"/>
                      <w:lang w:eastAsia="zh-CN"/>
                    </w:rPr>
                  </w:pPr>
                  <w:r>
                    <w:rPr>
                      <w:rFonts w:hint="eastAsia"/>
                      <w:color w:val="auto"/>
                      <w:lang w:eastAsia="zh-CN"/>
                    </w:rPr>
                    <w:t>环评核算结论</w:t>
                  </w:r>
                </w:p>
              </w:tc>
              <w:tc>
                <w:tcPr>
                  <w:tcW w:w="724" w:type="pct"/>
                  <w:vAlign w:val="center"/>
                </w:tcPr>
                <w:p>
                  <w:pPr>
                    <w:pStyle w:val="63"/>
                    <w:rPr>
                      <w:color w:val="auto"/>
                      <w:lang w:eastAsia="zh-CN"/>
                    </w:rPr>
                  </w:pPr>
                  <w:r>
                    <w:rPr>
                      <w:rFonts w:hint="eastAsia"/>
                      <w:color w:val="auto"/>
                      <w:lang w:eastAsia="zh-CN"/>
                    </w:rPr>
                    <w:t>/</w:t>
                  </w:r>
                </w:p>
              </w:tc>
              <w:tc>
                <w:tcPr>
                  <w:tcW w:w="683" w:type="pct"/>
                  <w:vAlign w:val="center"/>
                </w:tcPr>
                <w:p>
                  <w:pPr>
                    <w:pStyle w:val="63"/>
                    <w:rPr>
                      <w:color w:val="auto"/>
                      <w:lang w:eastAsia="zh-CN"/>
                    </w:rPr>
                  </w:pPr>
                  <w:r>
                    <w:rPr>
                      <w:rFonts w:hint="eastAsia"/>
                      <w:color w:val="auto"/>
                      <w:lang w:eastAsia="zh-CN"/>
                    </w:rPr>
                    <w:t>4</w:t>
                  </w:r>
                  <w:r>
                    <w:rPr>
                      <w:color w:val="auto"/>
                      <w:lang w:eastAsia="zh-CN"/>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63"/>
                    <w:rPr>
                      <w:color w:val="auto"/>
                    </w:rPr>
                  </w:pPr>
                  <w:r>
                    <w:rPr>
                      <w:rFonts w:hint="eastAsia"/>
                      <w:color w:val="auto"/>
                    </w:rPr>
                    <w:t>不锈钢卷隧道式退火炉建设项目</w:t>
                  </w:r>
                  <w:r>
                    <w:rPr>
                      <w:rFonts w:hint="eastAsia"/>
                      <w:color w:val="auto"/>
                      <w:lang w:eastAsia="zh-CN"/>
                    </w:rPr>
                    <w:t>（D</w:t>
                  </w:r>
                  <w:r>
                    <w:rPr>
                      <w:color w:val="auto"/>
                      <w:lang w:eastAsia="zh-CN"/>
                    </w:rPr>
                    <w:t>A007</w:t>
                  </w:r>
                  <w:r>
                    <w:rPr>
                      <w:rFonts w:hint="eastAsia"/>
                      <w:color w:val="auto"/>
                      <w:lang w:eastAsia="zh-CN"/>
                    </w:rPr>
                    <w:t>，退火炉）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63"/>
                    <w:rPr>
                      <w:color w:val="auto"/>
                      <w:lang w:val="en-US" w:eastAsia="zh-CN"/>
                    </w:rPr>
                  </w:pPr>
                  <w:r>
                    <w:rPr>
                      <w:rFonts w:hint="eastAsia"/>
                      <w:color w:val="auto"/>
                      <w:lang w:val="en-US" w:eastAsia="zh-CN"/>
                    </w:rPr>
                    <w:t>颗粒物</w:t>
                  </w:r>
                </w:p>
              </w:tc>
              <w:tc>
                <w:tcPr>
                  <w:tcW w:w="1000" w:type="pct"/>
                  <w:vAlign w:val="center"/>
                </w:tcPr>
                <w:p>
                  <w:pPr>
                    <w:pStyle w:val="63"/>
                    <w:rPr>
                      <w:color w:val="auto"/>
                      <w:lang w:eastAsia="zh-CN"/>
                    </w:rPr>
                  </w:pPr>
                  <w:r>
                    <w:rPr>
                      <w:rFonts w:hint="eastAsia"/>
                      <w:color w:val="auto"/>
                      <w:lang w:eastAsia="zh-CN"/>
                    </w:rPr>
                    <w:t>0</w:t>
                  </w:r>
                  <w:r>
                    <w:rPr>
                      <w:color w:val="auto"/>
                      <w:lang w:eastAsia="zh-CN"/>
                    </w:rPr>
                    <w:t>.0002</w:t>
                  </w:r>
                </w:p>
              </w:tc>
              <w:tc>
                <w:tcPr>
                  <w:tcW w:w="1593" w:type="pct"/>
                  <w:vMerge w:val="restart"/>
                  <w:vAlign w:val="center"/>
                </w:tcPr>
                <w:p>
                  <w:pPr>
                    <w:pStyle w:val="63"/>
                    <w:rPr>
                      <w:color w:val="auto"/>
                      <w:lang w:eastAsia="zh-CN"/>
                    </w:rPr>
                  </w:pPr>
                  <w:r>
                    <w:rPr>
                      <w:rFonts w:hint="eastAsia"/>
                      <w:color w:val="auto"/>
                      <w:lang w:eastAsia="zh-CN"/>
                    </w:rPr>
                    <w:t>环评核算结论</w:t>
                  </w:r>
                </w:p>
              </w:tc>
              <w:tc>
                <w:tcPr>
                  <w:tcW w:w="724" w:type="pct"/>
                  <w:vAlign w:val="center"/>
                </w:tcPr>
                <w:p>
                  <w:pPr>
                    <w:pStyle w:val="63"/>
                    <w:rPr>
                      <w:color w:val="auto"/>
                      <w:lang w:eastAsia="zh-CN"/>
                    </w:rPr>
                  </w:pPr>
                  <w:r>
                    <w:rPr>
                      <w:rFonts w:hint="eastAsia"/>
                      <w:color w:val="auto"/>
                      <w:lang w:eastAsia="zh-CN"/>
                    </w:rPr>
                    <w:t>/</w:t>
                  </w:r>
                </w:p>
              </w:tc>
              <w:tc>
                <w:tcPr>
                  <w:tcW w:w="683" w:type="pct"/>
                  <w:vAlign w:val="center"/>
                </w:tcPr>
                <w:p>
                  <w:pPr>
                    <w:pStyle w:val="63"/>
                    <w:rPr>
                      <w:color w:val="auto"/>
                    </w:rPr>
                  </w:pPr>
                  <w:r>
                    <w:rPr>
                      <w:rFonts w:hint="eastAsia"/>
                      <w:color w:val="auto"/>
                      <w:lang w:eastAsia="zh-CN"/>
                    </w:rPr>
                    <w:t>0</w:t>
                  </w:r>
                  <w:r>
                    <w:rPr>
                      <w:color w:val="auto"/>
                      <w:lang w:eastAsia="zh-CN"/>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63"/>
                    <w:rPr>
                      <w:color w:val="auto"/>
                      <w:lang w:val="en-US" w:eastAsia="zh-CN"/>
                    </w:rPr>
                  </w:pPr>
                  <w:r>
                    <w:rPr>
                      <w:rFonts w:hint="eastAsia"/>
                      <w:color w:val="auto"/>
                      <w:lang w:val="en-US" w:eastAsia="zh-CN"/>
                    </w:rPr>
                    <w:t>二氧化硫</w:t>
                  </w:r>
                </w:p>
              </w:tc>
              <w:tc>
                <w:tcPr>
                  <w:tcW w:w="1000" w:type="pct"/>
                  <w:vAlign w:val="center"/>
                </w:tcPr>
                <w:p>
                  <w:pPr>
                    <w:pStyle w:val="63"/>
                    <w:rPr>
                      <w:color w:val="auto"/>
                      <w:lang w:eastAsia="zh-CN"/>
                    </w:rPr>
                  </w:pPr>
                  <w:r>
                    <w:rPr>
                      <w:rFonts w:hint="eastAsia"/>
                      <w:color w:val="auto"/>
                      <w:lang w:eastAsia="zh-CN"/>
                    </w:rPr>
                    <w:t>0</w:t>
                  </w:r>
                  <w:r>
                    <w:rPr>
                      <w:color w:val="auto"/>
                      <w:lang w:eastAsia="zh-CN"/>
                    </w:rPr>
                    <w:t>.037</w:t>
                  </w:r>
                </w:p>
              </w:tc>
              <w:tc>
                <w:tcPr>
                  <w:tcW w:w="1593" w:type="pct"/>
                  <w:vMerge w:val="continue"/>
                  <w:vAlign w:val="center"/>
                </w:tcPr>
                <w:p>
                  <w:pPr>
                    <w:pStyle w:val="63"/>
                    <w:rPr>
                      <w:color w:val="auto"/>
                      <w:lang w:eastAsia="zh-CN"/>
                    </w:rPr>
                  </w:pPr>
                </w:p>
              </w:tc>
              <w:tc>
                <w:tcPr>
                  <w:tcW w:w="724" w:type="pct"/>
                  <w:vAlign w:val="center"/>
                </w:tcPr>
                <w:p>
                  <w:pPr>
                    <w:pStyle w:val="63"/>
                    <w:rPr>
                      <w:color w:val="auto"/>
                      <w:lang w:eastAsia="zh-CN"/>
                    </w:rPr>
                  </w:pPr>
                  <w:r>
                    <w:rPr>
                      <w:rFonts w:hint="eastAsia"/>
                      <w:color w:val="auto"/>
                      <w:lang w:eastAsia="zh-CN"/>
                    </w:rPr>
                    <w:t>/</w:t>
                  </w:r>
                </w:p>
              </w:tc>
              <w:tc>
                <w:tcPr>
                  <w:tcW w:w="683" w:type="pct"/>
                  <w:vAlign w:val="center"/>
                </w:tcPr>
                <w:p>
                  <w:pPr>
                    <w:pStyle w:val="63"/>
                    <w:rPr>
                      <w:color w:val="auto"/>
                    </w:rPr>
                  </w:pPr>
                  <w:r>
                    <w:rPr>
                      <w:rFonts w:hint="eastAsia"/>
                      <w:color w:val="auto"/>
                      <w:lang w:eastAsia="zh-CN"/>
                    </w:rPr>
                    <w:t>0</w:t>
                  </w:r>
                  <w:r>
                    <w:rPr>
                      <w:color w:val="auto"/>
                      <w:lang w:eastAsia="zh-CN"/>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63"/>
                    <w:rPr>
                      <w:color w:val="auto"/>
                      <w:lang w:val="en-US" w:eastAsia="zh-CN"/>
                    </w:rPr>
                  </w:pPr>
                  <w:r>
                    <w:rPr>
                      <w:rFonts w:hint="eastAsia"/>
                      <w:color w:val="auto"/>
                      <w:lang w:val="en-US" w:eastAsia="zh-CN"/>
                    </w:rPr>
                    <w:t>氮氧化物</w:t>
                  </w:r>
                </w:p>
              </w:tc>
              <w:tc>
                <w:tcPr>
                  <w:tcW w:w="1000" w:type="pct"/>
                  <w:vAlign w:val="center"/>
                </w:tcPr>
                <w:p>
                  <w:pPr>
                    <w:pStyle w:val="63"/>
                    <w:rPr>
                      <w:color w:val="auto"/>
                      <w:lang w:eastAsia="zh-CN"/>
                    </w:rPr>
                  </w:pPr>
                  <w:r>
                    <w:rPr>
                      <w:rFonts w:hint="eastAsia"/>
                      <w:color w:val="auto"/>
                      <w:lang w:eastAsia="zh-CN"/>
                    </w:rPr>
                    <w:t>0</w:t>
                  </w:r>
                  <w:r>
                    <w:rPr>
                      <w:color w:val="auto"/>
                      <w:lang w:eastAsia="zh-CN"/>
                    </w:rPr>
                    <w:t>.559</w:t>
                  </w:r>
                </w:p>
              </w:tc>
              <w:tc>
                <w:tcPr>
                  <w:tcW w:w="1593" w:type="pct"/>
                  <w:vMerge w:val="continue"/>
                  <w:vAlign w:val="center"/>
                </w:tcPr>
                <w:p>
                  <w:pPr>
                    <w:pStyle w:val="63"/>
                    <w:rPr>
                      <w:color w:val="auto"/>
                      <w:lang w:eastAsia="zh-CN"/>
                    </w:rPr>
                  </w:pPr>
                </w:p>
              </w:tc>
              <w:tc>
                <w:tcPr>
                  <w:tcW w:w="724" w:type="pct"/>
                  <w:vAlign w:val="center"/>
                </w:tcPr>
                <w:p>
                  <w:pPr>
                    <w:pStyle w:val="63"/>
                    <w:rPr>
                      <w:color w:val="auto"/>
                      <w:lang w:eastAsia="zh-CN"/>
                    </w:rPr>
                  </w:pPr>
                  <w:r>
                    <w:rPr>
                      <w:rFonts w:hint="eastAsia"/>
                      <w:color w:val="auto"/>
                      <w:lang w:eastAsia="zh-CN"/>
                    </w:rPr>
                    <w:t>/</w:t>
                  </w:r>
                </w:p>
              </w:tc>
              <w:tc>
                <w:tcPr>
                  <w:tcW w:w="683" w:type="pct"/>
                  <w:vAlign w:val="center"/>
                </w:tcPr>
                <w:p>
                  <w:pPr>
                    <w:pStyle w:val="63"/>
                    <w:rPr>
                      <w:color w:val="auto"/>
                    </w:rPr>
                  </w:pPr>
                  <w:r>
                    <w:rPr>
                      <w:rFonts w:hint="eastAsia"/>
                      <w:color w:val="auto"/>
                      <w:lang w:eastAsia="zh-CN"/>
                    </w:rPr>
                    <w:t>4</w:t>
                  </w:r>
                  <w:r>
                    <w:rPr>
                      <w:color w:val="auto"/>
                      <w:lang w:eastAsia="zh-CN"/>
                    </w:rPr>
                    <w:t>.028</w:t>
                  </w:r>
                </w:p>
              </w:tc>
            </w:tr>
          </w:tbl>
          <w:p>
            <w:pPr>
              <w:pStyle w:val="66"/>
              <w:rPr>
                <w:color w:val="auto"/>
              </w:rPr>
            </w:pPr>
            <w:r>
              <w:rPr>
                <w:rFonts w:hint="eastAsia"/>
                <w:color w:val="auto"/>
              </w:rPr>
              <w:t>表2</w:t>
            </w:r>
            <w:r>
              <w:rPr>
                <w:color w:val="auto"/>
              </w:rPr>
              <w:t xml:space="preserve">.3-6 </w:t>
            </w:r>
            <w:r>
              <w:rPr>
                <w:rFonts w:hint="eastAsia"/>
                <w:color w:val="auto"/>
              </w:rPr>
              <w:t>全厂污染物实际排放量排放统计一览表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985"/>
              <w:gridCol w:w="1984"/>
              <w:gridCol w:w="2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Align w:val="center"/>
                </w:tcPr>
                <w:p>
                  <w:pPr>
                    <w:pStyle w:val="63"/>
                    <w:rPr>
                      <w:color w:val="auto"/>
                    </w:rPr>
                  </w:pPr>
                  <w:r>
                    <w:rPr>
                      <w:rFonts w:hint="eastAsia"/>
                      <w:color w:val="auto"/>
                    </w:rPr>
                    <w:t>污染源/排放口</w:t>
                  </w:r>
                </w:p>
              </w:tc>
              <w:tc>
                <w:tcPr>
                  <w:tcW w:w="1984" w:type="dxa"/>
                  <w:vAlign w:val="center"/>
                </w:tcPr>
                <w:p>
                  <w:pPr>
                    <w:pStyle w:val="63"/>
                    <w:rPr>
                      <w:color w:val="auto"/>
                    </w:rPr>
                  </w:pPr>
                  <w:r>
                    <w:rPr>
                      <w:rFonts w:hint="eastAsia"/>
                      <w:color w:val="auto"/>
                    </w:rPr>
                    <w:t>污染物</w:t>
                  </w:r>
                </w:p>
              </w:tc>
              <w:tc>
                <w:tcPr>
                  <w:tcW w:w="2907" w:type="dxa"/>
                  <w:vAlign w:val="center"/>
                </w:tcPr>
                <w:p>
                  <w:pPr>
                    <w:pStyle w:val="63"/>
                    <w:rPr>
                      <w:color w:val="auto"/>
                    </w:rPr>
                  </w:pPr>
                  <w:r>
                    <w:rPr>
                      <w:rFonts w:hint="eastAsia"/>
                      <w:color w:val="auto"/>
                    </w:rPr>
                    <w:t>实际排放量/固体废物产生量（t/a）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8" w:type="dxa"/>
                  <w:gridSpan w:val="4"/>
                  <w:vAlign w:val="center"/>
                </w:tcPr>
                <w:p>
                  <w:pPr>
                    <w:pStyle w:val="63"/>
                    <w:rPr>
                      <w:color w:val="auto"/>
                    </w:rPr>
                  </w:pPr>
                  <w:r>
                    <w:rPr>
                      <w:rFonts w:hint="eastAsia"/>
                      <w:color w:val="auto"/>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2" w:type="dxa"/>
                  <w:vMerge w:val="restart"/>
                  <w:vAlign w:val="center"/>
                </w:tcPr>
                <w:p>
                  <w:pPr>
                    <w:pStyle w:val="63"/>
                    <w:rPr>
                      <w:color w:val="auto"/>
                      <w:lang w:eastAsia="zh-CN"/>
                    </w:rPr>
                  </w:pPr>
                  <w:r>
                    <w:rPr>
                      <w:rFonts w:hint="eastAsia"/>
                      <w:color w:val="auto"/>
                      <w:lang w:val="en-US" w:eastAsia="zh-CN"/>
                    </w:rPr>
                    <w:t>年产140万吨热轧生产线建设项目</w:t>
                  </w:r>
                </w:p>
              </w:tc>
              <w:tc>
                <w:tcPr>
                  <w:tcW w:w="985" w:type="dxa"/>
                  <w:vMerge w:val="restart"/>
                  <w:vAlign w:val="center"/>
                </w:tcPr>
                <w:p>
                  <w:pPr>
                    <w:pStyle w:val="63"/>
                    <w:rPr>
                      <w:color w:val="auto"/>
                      <w:lang w:eastAsia="zh-CN"/>
                    </w:rPr>
                  </w:pPr>
                  <w:r>
                    <w:rPr>
                      <w:rFonts w:hint="eastAsia"/>
                      <w:color w:val="auto"/>
                      <w:lang w:eastAsia="zh-CN"/>
                    </w:rPr>
                    <w:t>D</w:t>
                  </w:r>
                  <w:r>
                    <w:rPr>
                      <w:color w:val="auto"/>
                      <w:lang w:eastAsia="zh-CN"/>
                    </w:rPr>
                    <w:t>A001</w:t>
                  </w:r>
                </w:p>
              </w:tc>
              <w:tc>
                <w:tcPr>
                  <w:tcW w:w="1984" w:type="dxa"/>
                  <w:vAlign w:val="center"/>
                </w:tcPr>
                <w:p>
                  <w:pPr>
                    <w:pStyle w:val="63"/>
                    <w:rPr>
                      <w:color w:val="auto"/>
                    </w:rPr>
                  </w:pPr>
                  <w:r>
                    <w:rPr>
                      <w:rFonts w:hint="eastAsia"/>
                      <w:color w:val="auto"/>
                    </w:rPr>
                    <w:t>颗粒物</w:t>
                  </w:r>
                </w:p>
              </w:tc>
              <w:tc>
                <w:tcPr>
                  <w:tcW w:w="2907" w:type="dxa"/>
                  <w:vAlign w:val="center"/>
                </w:tcPr>
                <w:p>
                  <w:pPr>
                    <w:pStyle w:val="63"/>
                    <w:rPr>
                      <w:color w:val="auto"/>
                      <w:lang w:eastAsia="zh-CN"/>
                    </w:rPr>
                  </w:pPr>
                  <w:r>
                    <w:rPr>
                      <w:rFonts w:hint="eastAsia"/>
                      <w:color w:val="auto"/>
                      <w:lang w:eastAsia="zh-CN"/>
                    </w:rPr>
                    <w:t>2</w:t>
                  </w:r>
                  <w:r>
                    <w:rPr>
                      <w:color w:val="auto"/>
                      <w:lang w:eastAsia="zh-CN"/>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Merge w:val="continue"/>
                  <w:vAlign w:val="center"/>
                </w:tcPr>
                <w:p>
                  <w:pPr>
                    <w:pStyle w:val="63"/>
                    <w:rPr>
                      <w:color w:val="auto"/>
                      <w:lang w:eastAsia="zh-CN"/>
                    </w:rPr>
                  </w:pPr>
                </w:p>
              </w:tc>
              <w:tc>
                <w:tcPr>
                  <w:tcW w:w="1984" w:type="dxa"/>
                  <w:vAlign w:val="center"/>
                </w:tcPr>
                <w:p>
                  <w:pPr>
                    <w:pStyle w:val="63"/>
                    <w:rPr>
                      <w:color w:val="auto"/>
                    </w:rPr>
                  </w:pPr>
                  <w:r>
                    <w:rPr>
                      <w:rFonts w:hint="eastAsia"/>
                      <w:color w:val="auto"/>
                    </w:rPr>
                    <w:t>S</w:t>
                  </w:r>
                  <w:r>
                    <w:rPr>
                      <w:color w:val="auto"/>
                    </w:rPr>
                    <w:t>O</w:t>
                  </w:r>
                  <w:r>
                    <w:rPr>
                      <w:color w:val="auto"/>
                      <w:vertAlign w:val="subscript"/>
                    </w:rPr>
                    <w:t>2</w:t>
                  </w:r>
                </w:p>
              </w:tc>
              <w:tc>
                <w:tcPr>
                  <w:tcW w:w="2907" w:type="dxa"/>
                  <w:vAlign w:val="center"/>
                </w:tcPr>
                <w:p>
                  <w:pPr>
                    <w:pStyle w:val="63"/>
                    <w:rPr>
                      <w:color w:val="auto"/>
                      <w:lang w:eastAsia="zh-CN"/>
                    </w:rPr>
                  </w:pPr>
                  <w:r>
                    <w:rPr>
                      <w:rFonts w:hint="eastAsia"/>
                      <w:color w:val="auto"/>
                      <w:lang w:eastAsia="zh-CN"/>
                    </w:rPr>
                    <w:t>5</w:t>
                  </w:r>
                  <w:r>
                    <w:rPr>
                      <w:color w:val="auto"/>
                      <w:lang w:eastAsia="zh-CN"/>
                    </w:rPr>
                    <w:t>.842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Merge w:val="continue"/>
                  <w:vAlign w:val="center"/>
                </w:tcPr>
                <w:p>
                  <w:pPr>
                    <w:pStyle w:val="63"/>
                    <w:rPr>
                      <w:color w:val="auto"/>
                      <w:lang w:eastAsia="zh-CN"/>
                    </w:rPr>
                  </w:pPr>
                </w:p>
              </w:tc>
              <w:tc>
                <w:tcPr>
                  <w:tcW w:w="1984" w:type="dxa"/>
                  <w:vAlign w:val="center"/>
                </w:tcPr>
                <w:p>
                  <w:pPr>
                    <w:pStyle w:val="63"/>
                    <w:rPr>
                      <w:color w:val="auto"/>
                    </w:rPr>
                  </w:pPr>
                  <w:r>
                    <w:rPr>
                      <w:rFonts w:hint="eastAsia"/>
                      <w:color w:val="auto"/>
                    </w:rPr>
                    <w:t>N</w:t>
                  </w:r>
                  <w:r>
                    <w:rPr>
                      <w:color w:val="auto"/>
                    </w:rPr>
                    <w:t>O</w:t>
                  </w:r>
                  <w:r>
                    <w:rPr>
                      <w:rFonts w:hint="eastAsia"/>
                      <w:color w:val="auto"/>
                    </w:rPr>
                    <w:t>x</w:t>
                  </w:r>
                </w:p>
              </w:tc>
              <w:tc>
                <w:tcPr>
                  <w:tcW w:w="2907" w:type="dxa"/>
                  <w:vAlign w:val="center"/>
                </w:tcPr>
                <w:p>
                  <w:pPr>
                    <w:pStyle w:val="63"/>
                    <w:rPr>
                      <w:color w:val="auto"/>
                      <w:lang w:eastAsia="zh-CN"/>
                    </w:rPr>
                  </w:pPr>
                  <w:r>
                    <w:rPr>
                      <w:rFonts w:hint="eastAsia"/>
                      <w:color w:val="auto"/>
                      <w:lang w:eastAsia="zh-CN"/>
                    </w:rPr>
                    <w:t>3</w:t>
                  </w:r>
                  <w:r>
                    <w:rPr>
                      <w:color w:val="auto"/>
                      <w:lang w:eastAsia="zh-CN"/>
                    </w:rPr>
                    <w:t>0.262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Merge w:val="restart"/>
                  <w:vAlign w:val="center"/>
                </w:tcPr>
                <w:p>
                  <w:pPr>
                    <w:pStyle w:val="63"/>
                    <w:rPr>
                      <w:color w:val="auto"/>
                      <w:lang w:eastAsia="zh-CN"/>
                    </w:rPr>
                  </w:pPr>
                  <w:r>
                    <w:rPr>
                      <w:rFonts w:hint="eastAsia"/>
                      <w:color w:val="auto"/>
                      <w:lang w:eastAsia="zh-CN"/>
                    </w:rPr>
                    <w:t>D</w:t>
                  </w:r>
                  <w:r>
                    <w:rPr>
                      <w:color w:val="auto"/>
                      <w:lang w:eastAsia="zh-CN"/>
                    </w:rPr>
                    <w:t>A002</w:t>
                  </w:r>
                </w:p>
              </w:tc>
              <w:tc>
                <w:tcPr>
                  <w:tcW w:w="1984" w:type="dxa"/>
                  <w:vAlign w:val="center"/>
                </w:tcPr>
                <w:p>
                  <w:pPr>
                    <w:pStyle w:val="63"/>
                    <w:rPr>
                      <w:color w:val="auto"/>
                    </w:rPr>
                  </w:pPr>
                  <w:r>
                    <w:rPr>
                      <w:rFonts w:hint="eastAsia"/>
                      <w:color w:val="auto"/>
                    </w:rPr>
                    <w:t>颗粒物</w:t>
                  </w:r>
                </w:p>
              </w:tc>
              <w:tc>
                <w:tcPr>
                  <w:tcW w:w="2907" w:type="dxa"/>
                  <w:vAlign w:val="center"/>
                </w:tcPr>
                <w:p>
                  <w:pPr>
                    <w:pStyle w:val="63"/>
                    <w:rPr>
                      <w:color w:val="auto"/>
                      <w:lang w:eastAsia="zh-CN"/>
                    </w:rPr>
                  </w:pPr>
                  <w:r>
                    <w:rPr>
                      <w:rFonts w:hint="eastAsia"/>
                      <w:color w:val="auto"/>
                      <w:lang w:eastAsia="zh-CN"/>
                    </w:rPr>
                    <w:t>0</w:t>
                  </w:r>
                  <w:r>
                    <w:rPr>
                      <w:color w:val="auto"/>
                      <w:lang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Merge w:val="continue"/>
                  <w:vAlign w:val="center"/>
                </w:tcPr>
                <w:p>
                  <w:pPr>
                    <w:pStyle w:val="63"/>
                    <w:rPr>
                      <w:color w:val="auto"/>
                      <w:lang w:eastAsia="zh-CN"/>
                    </w:rPr>
                  </w:pPr>
                </w:p>
              </w:tc>
              <w:tc>
                <w:tcPr>
                  <w:tcW w:w="1984" w:type="dxa"/>
                  <w:vAlign w:val="center"/>
                </w:tcPr>
                <w:p>
                  <w:pPr>
                    <w:pStyle w:val="63"/>
                    <w:rPr>
                      <w:color w:val="auto"/>
                    </w:rPr>
                  </w:pPr>
                  <w:r>
                    <w:rPr>
                      <w:rFonts w:hint="eastAsia"/>
                      <w:color w:val="auto"/>
                    </w:rPr>
                    <w:t>S</w:t>
                  </w:r>
                  <w:r>
                    <w:rPr>
                      <w:color w:val="auto"/>
                    </w:rPr>
                    <w:t>O</w:t>
                  </w:r>
                  <w:r>
                    <w:rPr>
                      <w:color w:val="auto"/>
                      <w:vertAlign w:val="subscript"/>
                    </w:rPr>
                    <w:t>2</w:t>
                  </w:r>
                </w:p>
              </w:tc>
              <w:tc>
                <w:tcPr>
                  <w:tcW w:w="2907" w:type="dxa"/>
                  <w:vAlign w:val="center"/>
                </w:tcPr>
                <w:p>
                  <w:pPr>
                    <w:pStyle w:val="63"/>
                    <w:rPr>
                      <w:color w:val="auto"/>
                      <w:lang w:eastAsia="zh-CN"/>
                    </w:rPr>
                  </w:pPr>
                  <w:r>
                    <w:rPr>
                      <w:rFonts w:hint="eastAsia"/>
                      <w:color w:val="auto"/>
                      <w:lang w:eastAsia="zh-CN"/>
                    </w:rPr>
                    <w:t>0</w:t>
                  </w:r>
                  <w:r>
                    <w:rPr>
                      <w:color w:val="auto"/>
                      <w:lang w:eastAsia="zh-CN"/>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2" w:type="dxa"/>
                  <w:vMerge w:val="continue"/>
                  <w:vAlign w:val="center"/>
                </w:tcPr>
                <w:p>
                  <w:pPr>
                    <w:pStyle w:val="63"/>
                    <w:rPr>
                      <w:color w:val="auto"/>
                      <w:lang w:eastAsia="zh-CN"/>
                    </w:rPr>
                  </w:pPr>
                </w:p>
              </w:tc>
              <w:tc>
                <w:tcPr>
                  <w:tcW w:w="985" w:type="dxa"/>
                  <w:vMerge w:val="continue"/>
                  <w:vAlign w:val="center"/>
                </w:tcPr>
                <w:p>
                  <w:pPr>
                    <w:pStyle w:val="63"/>
                    <w:rPr>
                      <w:color w:val="auto"/>
                      <w:lang w:eastAsia="zh-CN"/>
                    </w:rPr>
                  </w:pPr>
                </w:p>
              </w:tc>
              <w:tc>
                <w:tcPr>
                  <w:tcW w:w="1984" w:type="dxa"/>
                  <w:vAlign w:val="center"/>
                </w:tcPr>
                <w:p>
                  <w:pPr>
                    <w:pStyle w:val="63"/>
                    <w:rPr>
                      <w:color w:val="auto"/>
                    </w:rPr>
                  </w:pPr>
                  <w:r>
                    <w:rPr>
                      <w:rFonts w:hint="eastAsia"/>
                      <w:color w:val="auto"/>
                    </w:rPr>
                    <w:t>N</w:t>
                  </w:r>
                  <w:r>
                    <w:rPr>
                      <w:color w:val="auto"/>
                    </w:rPr>
                    <w:t>O</w:t>
                  </w:r>
                  <w:r>
                    <w:rPr>
                      <w:rFonts w:hint="eastAsia"/>
                      <w:color w:val="auto"/>
                    </w:rPr>
                    <w:t>x</w:t>
                  </w:r>
                </w:p>
              </w:tc>
              <w:tc>
                <w:tcPr>
                  <w:tcW w:w="2907" w:type="dxa"/>
                  <w:vAlign w:val="center"/>
                </w:tcPr>
                <w:p>
                  <w:pPr>
                    <w:pStyle w:val="63"/>
                    <w:rPr>
                      <w:color w:val="auto"/>
                      <w:lang w:eastAsia="zh-CN"/>
                    </w:rPr>
                  </w:pPr>
                  <w:r>
                    <w:rPr>
                      <w:color w:val="auto"/>
                      <w:lang w:eastAsia="zh-CN"/>
                    </w:rPr>
                    <w:t>0</w:t>
                  </w:r>
                  <w:r>
                    <w:rPr>
                      <w:rFonts w:hint="eastAsia"/>
                      <w:color w:val="auto"/>
                      <w:lang w:eastAsia="zh-CN"/>
                    </w:rPr>
                    <w:t>.</w:t>
                  </w:r>
                  <w:r>
                    <w:rPr>
                      <w:color w:val="auto"/>
                      <w:lang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Align w:val="center"/>
                </w:tcPr>
                <w:p>
                  <w:pPr>
                    <w:pStyle w:val="63"/>
                    <w:rPr>
                      <w:color w:val="auto"/>
                      <w:lang w:eastAsia="zh-CN"/>
                    </w:rPr>
                  </w:pPr>
                  <w:r>
                    <w:rPr>
                      <w:rFonts w:hint="eastAsia"/>
                      <w:color w:val="auto"/>
                      <w:lang w:eastAsia="zh-CN"/>
                    </w:rPr>
                    <w:t>无组织</w:t>
                  </w:r>
                </w:p>
              </w:tc>
              <w:tc>
                <w:tcPr>
                  <w:tcW w:w="1984" w:type="dxa"/>
                  <w:vAlign w:val="center"/>
                </w:tcPr>
                <w:p>
                  <w:pPr>
                    <w:pStyle w:val="63"/>
                    <w:rPr>
                      <w:color w:val="auto"/>
                    </w:rPr>
                  </w:pPr>
                  <w:r>
                    <w:rPr>
                      <w:rFonts w:hint="eastAsia"/>
                      <w:color w:val="auto"/>
                    </w:rPr>
                    <w:t>颗粒物</w:t>
                  </w:r>
                </w:p>
              </w:tc>
              <w:tc>
                <w:tcPr>
                  <w:tcW w:w="2907" w:type="dxa"/>
                  <w:vAlign w:val="center"/>
                </w:tcPr>
                <w:p>
                  <w:pPr>
                    <w:pStyle w:val="63"/>
                    <w:rPr>
                      <w:color w:val="auto"/>
                      <w:lang w:eastAsia="zh-CN"/>
                    </w:rPr>
                  </w:pPr>
                  <w:r>
                    <w:rPr>
                      <w:rFonts w:hint="eastAsia"/>
                      <w:color w:val="auto"/>
                      <w:lang w:eastAsia="zh-CN"/>
                    </w:rPr>
                    <w:t>1</w:t>
                  </w:r>
                  <w:r>
                    <w:rPr>
                      <w:color w:val="auto"/>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restart"/>
                  <w:vAlign w:val="center"/>
                </w:tcPr>
                <w:p>
                  <w:pPr>
                    <w:pStyle w:val="63"/>
                    <w:rPr>
                      <w:color w:val="auto"/>
                      <w:lang w:eastAsia="zh-CN"/>
                    </w:rPr>
                  </w:pPr>
                  <w:r>
                    <w:rPr>
                      <w:rFonts w:hint="eastAsia"/>
                      <w:color w:val="auto"/>
                      <w:lang w:val="en-US" w:eastAsia="zh-CN"/>
                    </w:rPr>
                    <w:t>年产3</w:t>
                  </w:r>
                  <w:r>
                    <w:rPr>
                      <w:color w:val="auto"/>
                      <w:lang w:val="en-US" w:eastAsia="zh-CN"/>
                    </w:rPr>
                    <w:t>0</w:t>
                  </w:r>
                  <w:r>
                    <w:rPr>
                      <w:rFonts w:hint="eastAsia"/>
                      <w:color w:val="auto"/>
                      <w:lang w:val="en-US" w:eastAsia="zh-CN"/>
                    </w:rPr>
                    <w:t>万吨热退火酸洗生产线建设项目</w:t>
                  </w:r>
                </w:p>
              </w:tc>
              <w:tc>
                <w:tcPr>
                  <w:tcW w:w="985" w:type="dxa"/>
                  <w:vMerge w:val="restart"/>
                  <w:vAlign w:val="center"/>
                </w:tcPr>
                <w:p>
                  <w:pPr>
                    <w:pStyle w:val="63"/>
                    <w:rPr>
                      <w:color w:val="auto"/>
                      <w:lang w:eastAsia="zh-CN"/>
                    </w:rPr>
                  </w:pPr>
                  <w:r>
                    <w:rPr>
                      <w:rFonts w:hint="eastAsia"/>
                      <w:color w:val="auto"/>
                      <w:lang w:eastAsia="zh-CN"/>
                    </w:rPr>
                    <w:t>D</w:t>
                  </w:r>
                  <w:r>
                    <w:rPr>
                      <w:color w:val="auto"/>
                      <w:lang w:eastAsia="zh-CN"/>
                    </w:rPr>
                    <w:t>A003</w:t>
                  </w:r>
                </w:p>
              </w:tc>
              <w:tc>
                <w:tcPr>
                  <w:tcW w:w="1984" w:type="dxa"/>
                  <w:vAlign w:val="center"/>
                </w:tcPr>
                <w:p>
                  <w:pPr>
                    <w:pStyle w:val="63"/>
                    <w:rPr>
                      <w:color w:val="auto"/>
                    </w:rPr>
                  </w:pPr>
                  <w:r>
                    <w:rPr>
                      <w:rFonts w:hint="eastAsia"/>
                      <w:color w:val="auto"/>
                    </w:rPr>
                    <w:t>颗粒物</w:t>
                  </w:r>
                </w:p>
              </w:tc>
              <w:tc>
                <w:tcPr>
                  <w:tcW w:w="2907" w:type="dxa"/>
                  <w:vAlign w:val="center"/>
                </w:tcPr>
                <w:p>
                  <w:pPr>
                    <w:pStyle w:val="63"/>
                    <w:rPr>
                      <w:color w:val="auto"/>
                      <w:lang w:eastAsia="zh-CN"/>
                    </w:rPr>
                  </w:pPr>
                  <w:r>
                    <w:rPr>
                      <w:rFonts w:hint="eastAsia"/>
                      <w:color w:val="auto"/>
                      <w:lang w:eastAsia="zh-CN"/>
                    </w:rPr>
                    <w:t>0</w:t>
                  </w:r>
                  <w:r>
                    <w:rPr>
                      <w:color w:val="auto"/>
                      <w:lang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Merge w:val="continue"/>
                  <w:vAlign w:val="center"/>
                </w:tcPr>
                <w:p>
                  <w:pPr>
                    <w:pStyle w:val="63"/>
                    <w:rPr>
                      <w:color w:val="auto"/>
                      <w:lang w:eastAsia="zh-CN"/>
                    </w:rPr>
                  </w:pPr>
                </w:p>
              </w:tc>
              <w:tc>
                <w:tcPr>
                  <w:tcW w:w="1984" w:type="dxa"/>
                  <w:vAlign w:val="center"/>
                </w:tcPr>
                <w:p>
                  <w:pPr>
                    <w:pStyle w:val="63"/>
                    <w:rPr>
                      <w:color w:val="auto"/>
                    </w:rPr>
                  </w:pPr>
                  <w:r>
                    <w:rPr>
                      <w:rFonts w:hint="eastAsia"/>
                      <w:color w:val="auto"/>
                    </w:rPr>
                    <w:t>S</w:t>
                  </w:r>
                  <w:r>
                    <w:rPr>
                      <w:color w:val="auto"/>
                    </w:rPr>
                    <w:t>O</w:t>
                  </w:r>
                  <w:r>
                    <w:rPr>
                      <w:color w:val="auto"/>
                      <w:vertAlign w:val="subscript"/>
                    </w:rPr>
                    <w:t>2</w:t>
                  </w:r>
                </w:p>
              </w:tc>
              <w:tc>
                <w:tcPr>
                  <w:tcW w:w="2907" w:type="dxa"/>
                  <w:vAlign w:val="center"/>
                </w:tcPr>
                <w:p>
                  <w:pPr>
                    <w:pStyle w:val="63"/>
                    <w:rPr>
                      <w:color w:val="auto"/>
                      <w:lang w:eastAsia="zh-CN"/>
                    </w:rPr>
                  </w:pPr>
                  <w:r>
                    <w:rPr>
                      <w:color w:val="auto"/>
                      <w:lang w:eastAsia="zh-CN"/>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Merge w:val="continue"/>
                  <w:vAlign w:val="center"/>
                </w:tcPr>
                <w:p>
                  <w:pPr>
                    <w:pStyle w:val="63"/>
                    <w:rPr>
                      <w:color w:val="auto"/>
                      <w:lang w:eastAsia="zh-CN"/>
                    </w:rPr>
                  </w:pPr>
                </w:p>
              </w:tc>
              <w:tc>
                <w:tcPr>
                  <w:tcW w:w="1984" w:type="dxa"/>
                  <w:vAlign w:val="center"/>
                </w:tcPr>
                <w:p>
                  <w:pPr>
                    <w:pStyle w:val="63"/>
                    <w:rPr>
                      <w:color w:val="auto"/>
                    </w:rPr>
                  </w:pPr>
                  <w:r>
                    <w:rPr>
                      <w:rFonts w:hint="eastAsia"/>
                      <w:color w:val="auto"/>
                    </w:rPr>
                    <w:t>N</w:t>
                  </w:r>
                  <w:r>
                    <w:rPr>
                      <w:color w:val="auto"/>
                    </w:rPr>
                    <w:t>O</w:t>
                  </w:r>
                  <w:r>
                    <w:rPr>
                      <w:rFonts w:hint="eastAsia"/>
                      <w:color w:val="auto"/>
                    </w:rPr>
                    <w:t>x</w:t>
                  </w:r>
                </w:p>
              </w:tc>
              <w:tc>
                <w:tcPr>
                  <w:tcW w:w="2907" w:type="dxa"/>
                  <w:vAlign w:val="center"/>
                </w:tcPr>
                <w:p>
                  <w:pPr>
                    <w:pStyle w:val="63"/>
                    <w:rPr>
                      <w:color w:val="auto"/>
                      <w:lang w:eastAsia="zh-CN"/>
                    </w:rPr>
                  </w:pPr>
                  <w:r>
                    <w:rPr>
                      <w:color w:val="auto"/>
                      <w:lang w:eastAsia="zh-CN"/>
                    </w:rPr>
                    <w:t>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Align w:val="center"/>
                </w:tcPr>
                <w:p>
                  <w:pPr>
                    <w:pStyle w:val="63"/>
                    <w:rPr>
                      <w:color w:val="auto"/>
                      <w:lang w:eastAsia="zh-CN"/>
                    </w:rPr>
                  </w:pPr>
                  <w:r>
                    <w:rPr>
                      <w:rFonts w:hint="eastAsia"/>
                      <w:color w:val="auto"/>
                      <w:lang w:eastAsia="zh-CN"/>
                    </w:rPr>
                    <w:t>D</w:t>
                  </w:r>
                  <w:r>
                    <w:rPr>
                      <w:color w:val="auto"/>
                      <w:lang w:eastAsia="zh-CN"/>
                    </w:rPr>
                    <w:t>A004</w:t>
                  </w:r>
                </w:p>
              </w:tc>
              <w:tc>
                <w:tcPr>
                  <w:tcW w:w="1984" w:type="dxa"/>
                  <w:vAlign w:val="center"/>
                </w:tcPr>
                <w:p>
                  <w:pPr>
                    <w:pStyle w:val="63"/>
                    <w:rPr>
                      <w:color w:val="auto"/>
                    </w:rPr>
                  </w:pPr>
                  <w:r>
                    <w:rPr>
                      <w:rFonts w:hint="eastAsia"/>
                      <w:color w:val="auto"/>
                    </w:rPr>
                    <w:t>颗粒物</w:t>
                  </w:r>
                </w:p>
              </w:tc>
              <w:tc>
                <w:tcPr>
                  <w:tcW w:w="2907" w:type="dxa"/>
                  <w:vAlign w:val="center"/>
                </w:tcPr>
                <w:p>
                  <w:pPr>
                    <w:pStyle w:val="63"/>
                    <w:rPr>
                      <w:color w:val="auto"/>
                      <w:lang w:eastAsia="zh-CN"/>
                    </w:rPr>
                  </w:pPr>
                  <w:r>
                    <w:rPr>
                      <w:color w:val="auto"/>
                      <w:lang w:eastAsia="zh-CN"/>
                    </w:rPr>
                    <w:t>0.894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Align w:val="center"/>
                </w:tcPr>
                <w:p>
                  <w:pPr>
                    <w:pStyle w:val="63"/>
                    <w:rPr>
                      <w:color w:val="auto"/>
                      <w:lang w:eastAsia="zh-CN"/>
                    </w:rPr>
                  </w:pPr>
                  <w:r>
                    <w:rPr>
                      <w:rFonts w:hint="eastAsia"/>
                      <w:color w:val="auto"/>
                      <w:lang w:eastAsia="zh-CN"/>
                    </w:rPr>
                    <w:t>D</w:t>
                  </w:r>
                  <w:r>
                    <w:rPr>
                      <w:color w:val="auto"/>
                      <w:lang w:eastAsia="zh-CN"/>
                    </w:rPr>
                    <w:t>A005</w:t>
                  </w:r>
                </w:p>
              </w:tc>
              <w:tc>
                <w:tcPr>
                  <w:tcW w:w="1984" w:type="dxa"/>
                  <w:vAlign w:val="center"/>
                </w:tcPr>
                <w:p>
                  <w:pPr>
                    <w:pStyle w:val="63"/>
                    <w:rPr>
                      <w:color w:val="auto"/>
                    </w:rPr>
                  </w:pPr>
                  <w:r>
                    <w:rPr>
                      <w:rFonts w:hint="eastAsia"/>
                      <w:color w:val="auto"/>
                    </w:rPr>
                    <w:t>颗粒物</w:t>
                  </w:r>
                </w:p>
              </w:tc>
              <w:tc>
                <w:tcPr>
                  <w:tcW w:w="2907" w:type="dxa"/>
                  <w:vAlign w:val="center"/>
                </w:tcPr>
                <w:p>
                  <w:pPr>
                    <w:pStyle w:val="63"/>
                    <w:rPr>
                      <w:color w:val="auto"/>
                      <w:lang w:eastAsia="zh-CN"/>
                    </w:rPr>
                  </w:pPr>
                  <w:r>
                    <w:rPr>
                      <w:color w:val="auto"/>
                      <w:lang w:eastAsia="zh-CN"/>
                    </w:rPr>
                    <w:t>0.719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Merge w:val="restart"/>
                  <w:vAlign w:val="center"/>
                </w:tcPr>
                <w:p>
                  <w:pPr>
                    <w:pStyle w:val="63"/>
                    <w:rPr>
                      <w:color w:val="auto"/>
                      <w:lang w:eastAsia="zh-CN"/>
                    </w:rPr>
                  </w:pPr>
                  <w:r>
                    <w:rPr>
                      <w:rFonts w:hint="eastAsia"/>
                      <w:color w:val="auto"/>
                      <w:lang w:eastAsia="zh-CN"/>
                    </w:rPr>
                    <w:t>D</w:t>
                  </w:r>
                  <w:r>
                    <w:rPr>
                      <w:color w:val="auto"/>
                      <w:lang w:eastAsia="zh-CN"/>
                    </w:rPr>
                    <w:t>A006</w:t>
                  </w:r>
                </w:p>
              </w:tc>
              <w:tc>
                <w:tcPr>
                  <w:tcW w:w="1984" w:type="dxa"/>
                  <w:vAlign w:val="center"/>
                </w:tcPr>
                <w:p>
                  <w:pPr>
                    <w:pStyle w:val="63"/>
                    <w:rPr>
                      <w:color w:val="auto"/>
                    </w:rPr>
                  </w:pPr>
                  <w:r>
                    <w:rPr>
                      <w:rFonts w:hint="eastAsia"/>
                      <w:color w:val="auto"/>
                      <w:lang w:eastAsia="zh-CN"/>
                    </w:rPr>
                    <w:t>硫酸雾</w:t>
                  </w:r>
                </w:p>
              </w:tc>
              <w:tc>
                <w:tcPr>
                  <w:tcW w:w="2907" w:type="dxa"/>
                  <w:vAlign w:val="center"/>
                </w:tcPr>
                <w:p>
                  <w:pPr>
                    <w:pStyle w:val="63"/>
                    <w:rPr>
                      <w:color w:val="auto"/>
                      <w:lang w:eastAsia="zh-CN"/>
                    </w:rPr>
                  </w:pPr>
                  <w:r>
                    <w:rPr>
                      <w:rFonts w:hint="eastAsia"/>
                      <w:color w:val="auto"/>
                      <w:lang w:eastAsia="zh-CN"/>
                    </w:rPr>
                    <w:t>0</w:t>
                  </w:r>
                  <w:r>
                    <w:rPr>
                      <w:color w:val="auto"/>
                      <w:lang w:eastAsia="zh-CN"/>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Merge w:val="continue"/>
                  <w:vAlign w:val="center"/>
                </w:tcPr>
                <w:p>
                  <w:pPr>
                    <w:pStyle w:val="63"/>
                    <w:rPr>
                      <w:color w:val="auto"/>
                      <w:lang w:eastAsia="zh-CN"/>
                    </w:rPr>
                  </w:pPr>
                </w:p>
              </w:tc>
              <w:tc>
                <w:tcPr>
                  <w:tcW w:w="1984" w:type="dxa"/>
                  <w:vAlign w:val="center"/>
                </w:tcPr>
                <w:p>
                  <w:pPr>
                    <w:pStyle w:val="63"/>
                    <w:rPr>
                      <w:color w:val="auto"/>
                    </w:rPr>
                  </w:pPr>
                  <w:r>
                    <w:rPr>
                      <w:rFonts w:hint="eastAsia"/>
                      <w:color w:val="auto"/>
                      <w:lang w:eastAsia="zh-CN"/>
                    </w:rPr>
                    <w:t>硝酸雾</w:t>
                  </w:r>
                </w:p>
              </w:tc>
              <w:tc>
                <w:tcPr>
                  <w:tcW w:w="2907" w:type="dxa"/>
                  <w:vAlign w:val="center"/>
                </w:tcPr>
                <w:p>
                  <w:pPr>
                    <w:pStyle w:val="63"/>
                    <w:rPr>
                      <w:color w:val="auto"/>
                      <w:lang w:eastAsia="zh-CN"/>
                    </w:rPr>
                  </w:pPr>
                  <w:r>
                    <w:rPr>
                      <w:rFonts w:hint="eastAsia"/>
                      <w:color w:val="auto"/>
                      <w:lang w:eastAsia="zh-CN"/>
                    </w:rPr>
                    <w:t>0</w:t>
                  </w:r>
                  <w:r>
                    <w:rPr>
                      <w:color w:val="auto"/>
                      <w:lang w:eastAsia="zh-CN"/>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Merge w:val="continue"/>
                  <w:vAlign w:val="center"/>
                </w:tcPr>
                <w:p>
                  <w:pPr>
                    <w:pStyle w:val="63"/>
                    <w:rPr>
                      <w:color w:val="auto"/>
                      <w:lang w:eastAsia="zh-CN"/>
                    </w:rPr>
                  </w:pPr>
                </w:p>
              </w:tc>
              <w:tc>
                <w:tcPr>
                  <w:tcW w:w="1984" w:type="dxa"/>
                  <w:vAlign w:val="center"/>
                </w:tcPr>
                <w:p>
                  <w:pPr>
                    <w:pStyle w:val="63"/>
                    <w:rPr>
                      <w:color w:val="auto"/>
                    </w:rPr>
                  </w:pPr>
                  <w:r>
                    <w:rPr>
                      <w:rFonts w:hint="eastAsia"/>
                      <w:color w:val="auto"/>
                      <w:lang w:eastAsia="zh-CN"/>
                    </w:rPr>
                    <w:t>氟化物</w:t>
                  </w:r>
                </w:p>
              </w:tc>
              <w:tc>
                <w:tcPr>
                  <w:tcW w:w="2907" w:type="dxa"/>
                  <w:vAlign w:val="center"/>
                </w:tcPr>
                <w:p>
                  <w:pPr>
                    <w:pStyle w:val="63"/>
                    <w:rPr>
                      <w:color w:val="auto"/>
                      <w:lang w:eastAsia="zh-CN"/>
                    </w:rPr>
                  </w:pPr>
                  <w:r>
                    <w:rPr>
                      <w:rFonts w:hint="eastAsia"/>
                      <w:color w:val="auto"/>
                      <w:lang w:eastAsia="zh-CN"/>
                    </w:rPr>
                    <w:t>0</w:t>
                  </w:r>
                  <w:r>
                    <w:rPr>
                      <w:color w:val="auto"/>
                      <w:lang w:eastAsia="zh-CN"/>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Align w:val="center"/>
                </w:tcPr>
                <w:p>
                  <w:pPr>
                    <w:pStyle w:val="63"/>
                    <w:rPr>
                      <w:color w:val="auto"/>
                      <w:lang w:eastAsia="zh-CN"/>
                    </w:rPr>
                  </w:pPr>
                  <w:r>
                    <w:rPr>
                      <w:rFonts w:hint="eastAsia"/>
                      <w:color w:val="auto"/>
                      <w:lang w:eastAsia="zh-CN"/>
                    </w:rPr>
                    <w:t>无组织</w:t>
                  </w:r>
                </w:p>
              </w:tc>
              <w:tc>
                <w:tcPr>
                  <w:tcW w:w="1984" w:type="dxa"/>
                  <w:vAlign w:val="center"/>
                </w:tcPr>
                <w:p>
                  <w:pPr>
                    <w:pStyle w:val="63"/>
                    <w:rPr>
                      <w:color w:val="auto"/>
                      <w:lang w:eastAsia="zh-CN"/>
                    </w:rPr>
                  </w:pPr>
                  <w:r>
                    <w:rPr>
                      <w:rFonts w:hint="eastAsia"/>
                      <w:color w:val="auto"/>
                    </w:rPr>
                    <w:t>颗粒物</w:t>
                  </w:r>
                </w:p>
              </w:tc>
              <w:tc>
                <w:tcPr>
                  <w:tcW w:w="2907" w:type="dxa"/>
                  <w:vAlign w:val="center"/>
                </w:tcPr>
                <w:p>
                  <w:pPr>
                    <w:pStyle w:val="63"/>
                    <w:rPr>
                      <w:color w:val="auto"/>
                      <w:lang w:eastAsia="zh-CN"/>
                    </w:rPr>
                  </w:pPr>
                  <w:r>
                    <w:rPr>
                      <w:rFonts w:hint="eastAsia"/>
                      <w:color w:val="auto"/>
                      <w:lang w:eastAsia="zh-CN"/>
                    </w:rPr>
                    <w:t>4</w:t>
                  </w:r>
                  <w:r>
                    <w:rPr>
                      <w:color w:val="auto"/>
                      <w:lang w:eastAsia="zh-CN"/>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restart"/>
                  <w:vAlign w:val="center"/>
                </w:tcPr>
                <w:p>
                  <w:pPr>
                    <w:pStyle w:val="63"/>
                    <w:rPr>
                      <w:color w:val="auto"/>
                      <w:lang w:eastAsia="zh-CN"/>
                    </w:rPr>
                  </w:pPr>
                  <w:r>
                    <w:rPr>
                      <w:rFonts w:hint="eastAsia"/>
                      <w:color w:val="auto"/>
                      <w:lang w:val="en-US" w:eastAsia="zh-CN"/>
                    </w:rPr>
                    <w:t>不锈钢卷隧道式退火炉建设项目</w:t>
                  </w:r>
                </w:p>
              </w:tc>
              <w:tc>
                <w:tcPr>
                  <w:tcW w:w="985" w:type="dxa"/>
                  <w:vMerge w:val="restart"/>
                  <w:vAlign w:val="center"/>
                </w:tcPr>
                <w:p>
                  <w:pPr>
                    <w:pStyle w:val="63"/>
                    <w:rPr>
                      <w:color w:val="auto"/>
                      <w:lang w:eastAsia="zh-CN"/>
                    </w:rPr>
                  </w:pPr>
                  <w:r>
                    <w:rPr>
                      <w:rFonts w:hint="eastAsia"/>
                      <w:color w:val="auto"/>
                      <w:lang w:eastAsia="zh-CN"/>
                    </w:rPr>
                    <w:t>D</w:t>
                  </w:r>
                  <w:r>
                    <w:rPr>
                      <w:color w:val="auto"/>
                      <w:lang w:eastAsia="zh-CN"/>
                    </w:rPr>
                    <w:t>A007</w:t>
                  </w:r>
                </w:p>
              </w:tc>
              <w:tc>
                <w:tcPr>
                  <w:tcW w:w="1984" w:type="dxa"/>
                  <w:vAlign w:val="center"/>
                </w:tcPr>
                <w:p>
                  <w:pPr>
                    <w:pStyle w:val="63"/>
                    <w:rPr>
                      <w:color w:val="auto"/>
                    </w:rPr>
                  </w:pPr>
                  <w:r>
                    <w:rPr>
                      <w:rFonts w:hint="eastAsia"/>
                      <w:color w:val="auto"/>
                      <w:lang w:val="en-US"/>
                    </w:rPr>
                    <w:t>颗粒物</w:t>
                  </w:r>
                </w:p>
              </w:tc>
              <w:tc>
                <w:tcPr>
                  <w:tcW w:w="2907" w:type="dxa"/>
                  <w:vAlign w:val="center"/>
                </w:tcPr>
                <w:p>
                  <w:pPr>
                    <w:pStyle w:val="63"/>
                    <w:rPr>
                      <w:color w:val="auto"/>
                      <w:lang w:eastAsia="zh-CN"/>
                    </w:rPr>
                  </w:pPr>
                  <w:r>
                    <w:rPr>
                      <w:rFonts w:hint="eastAsia"/>
                      <w:color w:val="auto"/>
                    </w:rPr>
                    <w:t>0</w:t>
                  </w:r>
                  <w:r>
                    <w:rPr>
                      <w:color w:val="auto"/>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Merge w:val="continue"/>
                  <w:vAlign w:val="center"/>
                </w:tcPr>
                <w:p>
                  <w:pPr>
                    <w:pStyle w:val="63"/>
                    <w:rPr>
                      <w:color w:val="auto"/>
                      <w:lang w:eastAsia="zh-CN"/>
                    </w:rPr>
                  </w:pPr>
                </w:p>
              </w:tc>
              <w:tc>
                <w:tcPr>
                  <w:tcW w:w="1984" w:type="dxa"/>
                  <w:vAlign w:val="center"/>
                </w:tcPr>
                <w:p>
                  <w:pPr>
                    <w:pStyle w:val="63"/>
                    <w:rPr>
                      <w:color w:val="auto"/>
                    </w:rPr>
                  </w:pPr>
                  <w:r>
                    <w:rPr>
                      <w:rFonts w:hint="eastAsia"/>
                      <w:color w:val="auto"/>
                    </w:rPr>
                    <w:t>S</w:t>
                  </w:r>
                  <w:r>
                    <w:rPr>
                      <w:color w:val="auto"/>
                    </w:rPr>
                    <w:t>O</w:t>
                  </w:r>
                  <w:r>
                    <w:rPr>
                      <w:color w:val="auto"/>
                      <w:vertAlign w:val="subscript"/>
                    </w:rPr>
                    <w:t>2</w:t>
                  </w:r>
                </w:p>
              </w:tc>
              <w:tc>
                <w:tcPr>
                  <w:tcW w:w="2907" w:type="dxa"/>
                  <w:vAlign w:val="center"/>
                </w:tcPr>
                <w:p>
                  <w:pPr>
                    <w:pStyle w:val="63"/>
                    <w:rPr>
                      <w:color w:val="auto"/>
                      <w:lang w:eastAsia="zh-CN"/>
                    </w:rPr>
                  </w:pPr>
                  <w:r>
                    <w:rPr>
                      <w:rFonts w:hint="eastAsia"/>
                      <w:color w:val="auto"/>
                    </w:rPr>
                    <w:t>0</w:t>
                  </w:r>
                  <w:r>
                    <w:rPr>
                      <w:color w:val="auto"/>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Merge w:val="continue"/>
                  <w:vAlign w:val="center"/>
                </w:tcPr>
                <w:p>
                  <w:pPr>
                    <w:pStyle w:val="63"/>
                    <w:rPr>
                      <w:color w:val="auto"/>
                      <w:lang w:eastAsia="zh-CN"/>
                    </w:rPr>
                  </w:pPr>
                </w:p>
              </w:tc>
              <w:tc>
                <w:tcPr>
                  <w:tcW w:w="985" w:type="dxa"/>
                  <w:vMerge w:val="continue"/>
                  <w:vAlign w:val="center"/>
                </w:tcPr>
                <w:p>
                  <w:pPr>
                    <w:pStyle w:val="63"/>
                    <w:rPr>
                      <w:color w:val="auto"/>
                      <w:lang w:eastAsia="zh-CN"/>
                    </w:rPr>
                  </w:pPr>
                </w:p>
              </w:tc>
              <w:tc>
                <w:tcPr>
                  <w:tcW w:w="1984" w:type="dxa"/>
                  <w:vAlign w:val="center"/>
                </w:tcPr>
                <w:p>
                  <w:pPr>
                    <w:pStyle w:val="63"/>
                    <w:rPr>
                      <w:color w:val="auto"/>
                    </w:rPr>
                  </w:pPr>
                  <w:r>
                    <w:rPr>
                      <w:rFonts w:hint="eastAsia"/>
                      <w:color w:val="auto"/>
                    </w:rPr>
                    <w:t>N</w:t>
                  </w:r>
                  <w:r>
                    <w:rPr>
                      <w:color w:val="auto"/>
                    </w:rPr>
                    <w:t>O</w:t>
                  </w:r>
                  <w:r>
                    <w:rPr>
                      <w:rFonts w:hint="eastAsia"/>
                      <w:color w:val="auto"/>
                    </w:rPr>
                    <w:t>x</w:t>
                  </w:r>
                </w:p>
              </w:tc>
              <w:tc>
                <w:tcPr>
                  <w:tcW w:w="2907" w:type="dxa"/>
                  <w:vAlign w:val="center"/>
                </w:tcPr>
                <w:p>
                  <w:pPr>
                    <w:pStyle w:val="63"/>
                    <w:rPr>
                      <w:color w:val="auto"/>
                      <w:lang w:eastAsia="zh-CN"/>
                    </w:rPr>
                  </w:pPr>
                  <w:r>
                    <w:rPr>
                      <w:rFonts w:hint="eastAsia"/>
                      <w:color w:val="auto"/>
                    </w:rPr>
                    <w:t>4</w:t>
                  </w:r>
                  <w:r>
                    <w:rPr>
                      <w:color w:val="auto"/>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Merge w:val="restart"/>
                  <w:vAlign w:val="center"/>
                </w:tcPr>
                <w:p>
                  <w:pPr>
                    <w:pStyle w:val="63"/>
                    <w:rPr>
                      <w:color w:val="auto"/>
                    </w:rPr>
                  </w:pPr>
                  <w:r>
                    <w:rPr>
                      <w:rFonts w:hint="eastAsia"/>
                      <w:color w:val="auto"/>
                      <w:lang w:eastAsia="zh-CN"/>
                    </w:rPr>
                    <w:t>全厂现有项目</w:t>
                  </w:r>
                  <w:r>
                    <w:rPr>
                      <w:rFonts w:hint="eastAsia"/>
                      <w:color w:val="auto"/>
                    </w:rPr>
                    <w:t>废气排放合计</w:t>
                  </w:r>
                  <w:r>
                    <w:rPr>
                      <w:rFonts w:hint="eastAsia"/>
                      <w:color w:val="auto"/>
                      <w:lang w:eastAsia="zh-CN"/>
                    </w:rPr>
                    <w:t>（有组织）</w:t>
                  </w:r>
                </w:p>
              </w:tc>
              <w:tc>
                <w:tcPr>
                  <w:tcW w:w="1984" w:type="dxa"/>
                  <w:vAlign w:val="center"/>
                </w:tcPr>
                <w:p>
                  <w:pPr>
                    <w:pStyle w:val="63"/>
                    <w:rPr>
                      <w:color w:val="auto"/>
                    </w:rPr>
                  </w:pPr>
                  <w:r>
                    <w:rPr>
                      <w:rFonts w:hint="eastAsia"/>
                      <w:color w:val="auto"/>
                    </w:rPr>
                    <w:t>颗粒物</w:t>
                  </w:r>
                </w:p>
              </w:tc>
              <w:tc>
                <w:tcPr>
                  <w:tcW w:w="2907" w:type="dxa"/>
                  <w:vAlign w:val="center"/>
                </w:tcPr>
                <w:p>
                  <w:pPr>
                    <w:pStyle w:val="63"/>
                    <w:rPr>
                      <w:color w:val="auto"/>
                      <w:lang w:eastAsia="zh-CN"/>
                    </w:rPr>
                  </w:pPr>
                  <w:r>
                    <w:rPr>
                      <w:color w:val="auto"/>
                      <w:lang w:eastAsia="zh-CN"/>
                    </w:rPr>
                    <w:t>4.7083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Merge w:val="continue"/>
                  <w:vAlign w:val="center"/>
                </w:tcPr>
                <w:p>
                  <w:pPr>
                    <w:pStyle w:val="63"/>
                    <w:rPr>
                      <w:color w:val="auto"/>
                    </w:rPr>
                  </w:pPr>
                </w:p>
              </w:tc>
              <w:tc>
                <w:tcPr>
                  <w:tcW w:w="1984" w:type="dxa"/>
                  <w:vAlign w:val="center"/>
                </w:tcPr>
                <w:p>
                  <w:pPr>
                    <w:pStyle w:val="63"/>
                    <w:rPr>
                      <w:color w:val="auto"/>
                    </w:rPr>
                  </w:pPr>
                  <w:r>
                    <w:rPr>
                      <w:rFonts w:hint="eastAsia"/>
                      <w:color w:val="auto"/>
                    </w:rPr>
                    <w:t>S</w:t>
                  </w:r>
                  <w:r>
                    <w:rPr>
                      <w:color w:val="auto"/>
                    </w:rPr>
                    <w:t>O</w:t>
                  </w:r>
                  <w:r>
                    <w:rPr>
                      <w:color w:val="auto"/>
                      <w:vertAlign w:val="subscript"/>
                    </w:rPr>
                    <w:t>2</w:t>
                  </w:r>
                </w:p>
              </w:tc>
              <w:tc>
                <w:tcPr>
                  <w:tcW w:w="2907" w:type="dxa"/>
                  <w:vAlign w:val="center"/>
                </w:tcPr>
                <w:p>
                  <w:pPr>
                    <w:pStyle w:val="63"/>
                    <w:rPr>
                      <w:color w:val="auto"/>
                      <w:lang w:eastAsia="zh-CN"/>
                    </w:rPr>
                  </w:pPr>
                  <w:r>
                    <w:rPr>
                      <w:rFonts w:hint="eastAsia"/>
                      <w:color w:val="auto"/>
                      <w:lang w:eastAsia="zh-CN"/>
                    </w:rPr>
                    <w:t>6</w:t>
                  </w:r>
                  <w:r>
                    <w:rPr>
                      <w:color w:val="auto"/>
                      <w:lang w:eastAsia="zh-CN"/>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Merge w:val="continue"/>
                  <w:vAlign w:val="center"/>
                </w:tcPr>
                <w:p>
                  <w:pPr>
                    <w:pStyle w:val="63"/>
                    <w:rPr>
                      <w:color w:val="auto"/>
                    </w:rPr>
                  </w:pPr>
                </w:p>
              </w:tc>
              <w:tc>
                <w:tcPr>
                  <w:tcW w:w="1984" w:type="dxa"/>
                  <w:vAlign w:val="center"/>
                </w:tcPr>
                <w:p>
                  <w:pPr>
                    <w:pStyle w:val="63"/>
                    <w:rPr>
                      <w:color w:val="auto"/>
                    </w:rPr>
                  </w:pPr>
                  <w:r>
                    <w:rPr>
                      <w:rFonts w:hint="eastAsia"/>
                      <w:color w:val="auto"/>
                    </w:rPr>
                    <w:t>N</w:t>
                  </w:r>
                  <w:r>
                    <w:rPr>
                      <w:color w:val="auto"/>
                    </w:rPr>
                    <w:t>O</w:t>
                  </w:r>
                  <w:r>
                    <w:rPr>
                      <w:rFonts w:hint="eastAsia"/>
                      <w:color w:val="auto"/>
                    </w:rPr>
                    <w:t>x</w:t>
                  </w:r>
                </w:p>
              </w:tc>
              <w:tc>
                <w:tcPr>
                  <w:tcW w:w="2907" w:type="dxa"/>
                  <w:vAlign w:val="center"/>
                </w:tcPr>
                <w:p>
                  <w:pPr>
                    <w:pStyle w:val="63"/>
                    <w:rPr>
                      <w:color w:val="auto"/>
                      <w:lang w:eastAsia="zh-CN"/>
                    </w:rPr>
                  </w:pPr>
                  <w:r>
                    <w:rPr>
                      <w:rFonts w:hint="eastAsia"/>
                      <w:color w:val="auto"/>
                      <w:lang w:eastAsia="zh-CN"/>
                    </w:rPr>
                    <w:t>3</w:t>
                  </w:r>
                  <w:r>
                    <w:rPr>
                      <w:color w:val="auto"/>
                      <w:lang w:eastAsia="zh-CN"/>
                    </w:rPr>
                    <w:t>6.399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Merge w:val="continue"/>
                  <w:vAlign w:val="center"/>
                </w:tcPr>
                <w:p>
                  <w:pPr>
                    <w:pStyle w:val="63"/>
                    <w:rPr>
                      <w:color w:val="auto"/>
                    </w:rPr>
                  </w:pPr>
                </w:p>
              </w:tc>
              <w:tc>
                <w:tcPr>
                  <w:tcW w:w="1984" w:type="dxa"/>
                  <w:vAlign w:val="center"/>
                </w:tcPr>
                <w:p>
                  <w:pPr>
                    <w:pStyle w:val="63"/>
                    <w:rPr>
                      <w:color w:val="auto"/>
                    </w:rPr>
                  </w:pPr>
                  <w:r>
                    <w:rPr>
                      <w:rFonts w:hint="eastAsia"/>
                      <w:color w:val="auto"/>
                    </w:rPr>
                    <w:t>氟化物</w:t>
                  </w:r>
                </w:p>
              </w:tc>
              <w:tc>
                <w:tcPr>
                  <w:tcW w:w="2907" w:type="dxa"/>
                  <w:vAlign w:val="center"/>
                </w:tcPr>
                <w:p>
                  <w:pPr>
                    <w:pStyle w:val="63"/>
                    <w:rPr>
                      <w:color w:val="auto"/>
                    </w:rPr>
                  </w:pPr>
                  <w:r>
                    <w:rPr>
                      <w:rFonts w:hint="eastAsia"/>
                      <w:color w:val="auto"/>
                      <w:lang w:eastAsia="zh-CN"/>
                    </w:rPr>
                    <w:t>0</w:t>
                  </w:r>
                  <w:r>
                    <w:rPr>
                      <w:color w:val="auto"/>
                      <w:lang w:eastAsia="zh-CN"/>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Merge w:val="continue"/>
                  <w:vAlign w:val="center"/>
                </w:tcPr>
                <w:p>
                  <w:pPr>
                    <w:pStyle w:val="63"/>
                    <w:rPr>
                      <w:color w:val="auto"/>
                    </w:rPr>
                  </w:pPr>
                </w:p>
              </w:tc>
              <w:tc>
                <w:tcPr>
                  <w:tcW w:w="1984" w:type="dxa"/>
                  <w:vAlign w:val="center"/>
                </w:tcPr>
                <w:p>
                  <w:pPr>
                    <w:pStyle w:val="63"/>
                    <w:rPr>
                      <w:color w:val="auto"/>
                    </w:rPr>
                  </w:pPr>
                  <w:r>
                    <w:rPr>
                      <w:rFonts w:hint="eastAsia"/>
                      <w:color w:val="auto"/>
                      <w:lang w:eastAsia="zh-CN"/>
                    </w:rPr>
                    <w:t>硫酸雾</w:t>
                  </w:r>
                </w:p>
              </w:tc>
              <w:tc>
                <w:tcPr>
                  <w:tcW w:w="2907" w:type="dxa"/>
                  <w:vAlign w:val="center"/>
                </w:tcPr>
                <w:p>
                  <w:pPr>
                    <w:pStyle w:val="63"/>
                    <w:rPr>
                      <w:color w:val="auto"/>
                    </w:rPr>
                  </w:pPr>
                  <w:r>
                    <w:rPr>
                      <w:rFonts w:hint="eastAsia"/>
                      <w:color w:val="auto"/>
                      <w:lang w:eastAsia="zh-CN"/>
                    </w:rPr>
                    <w:t>0</w:t>
                  </w:r>
                  <w:r>
                    <w:rPr>
                      <w:color w:val="auto"/>
                      <w:lang w:eastAsia="zh-CN"/>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Merge w:val="continue"/>
                  <w:vAlign w:val="center"/>
                </w:tcPr>
                <w:p>
                  <w:pPr>
                    <w:pStyle w:val="63"/>
                    <w:rPr>
                      <w:color w:val="auto"/>
                    </w:rPr>
                  </w:pPr>
                </w:p>
              </w:tc>
              <w:tc>
                <w:tcPr>
                  <w:tcW w:w="1984" w:type="dxa"/>
                  <w:vAlign w:val="center"/>
                </w:tcPr>
                <w:p>
                  <w:pPr>
                    <w:pStyle w:val="63"/>
                    <w:rPr>
                      <w:color w:val="auto"/>
                    </w:rPr>
                  </w:pPr>
                  <w:r>
                    <w:rPr>
                      <w:rFonts w:hint="eastAsia"/>
                      <w:color w:val="auto"/>
                      <w:lang w:eastAsia="zh-CN"/>
                    </w:rPr>
                    <w:t>硝酸雾</w:t>
                  </w:r>
                </w:p>
              </w:tc>
              <w:tc>
                <w:tcPr>
                  <w:tcW w:w="2907" w:type="dxa"/>
                  <w:vAlign w:val="center"/>
                </w:tcPr>
                <w:p>
                  <w:pPr>
                    <w:pStyle w:val="63"/>
                    <w:rPr>
                      <w:color w:val="auto"/>
                    </w:rPr>
                  </w:pPr>
                  <w:r>
                    <w:rPr>
                      <w:rFonts w:hint="eastAsia"/>
                      <w:color w:val="auto"/>
                      <w:lang w:eastAsia="zh-CN"/>
                    </w:rPr>
                    <w:t>0</w:t>
                  </w:r>
                  <w:r>
                    <w:rPr>
                      <w:color w:val="auto"/>
                      <w:lang w:eastAsia="zh-CN"/>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Align w:val="center"/>
                </w:tcPr>
                <w:p>
                  <w:pPr>
                    <w:pStyle w:val="63"/>
                    <w:rPr>
                      <w:color w:val="auto"/>
                    </w:rPr>
                  </w:pPr>
                  <w:r>
                    <w:rPr>
                      <w:rFonts w:hint="eastAsia"/>
                      <w:color w:val="auto"/>
                      <w:lang w:eastAsia="zh-CN"/>
                    </w:rPr>
                    <w:t>全厂现有项目</w:t>
                  </w:r>
                  <w:r>
                    <w:rPr>
                      <w:rFonts w:hint="eastAsia"/>
                      <w:color w:val="auto"/>
                    </w:rPr>
                    <w:t>废气排放合计</w:t>
                  </w:r>
                  <w:r>
                    <w:rPr>
                      <w:rFonts w:hint="eastAsia"/>
                      <w:color w:val="auto"/>
                      <w:lang w:eastAsia="zh-CN"/>
                    </w:rPr>
                    <w:t>（无组织）</w:t>
                  </w:r>
                </w:p>
              </w:tc>
              <w:tc>
                <w:tcPr>
                  <w:tcW w:w="1984" w:type="dxa"/>
                  <w:vAlign w:val="center"/>
                </w:tcPr>
                <w:p>
                  <w:pPr>
                    <w:pStyle w:val="63"/>
                    <w:rPr>
                      <w:color w:val="auto"/>
                      <w:lang w:eastAsia="zh-CN"/>
                    </w:rPr>
                  </w:pPr>
                  <w:r>
                    <w:rPr>
                      <w:rFonts w:hint="eastAsia"/>
                      <w:color w:val="auto"/>
                    </w:rPr>
                    <w:t>颗粒物</w:t>
                  </w:r>
                </w:p>
              </w:tc>
              <w:tc>
                <w:tcPr>
                  <w:tcW w:w="2907" w:type="dxa"/>
                  <w:vAlign w:val="center"/>
                </w:tcPr>
                <w:p>
                  <w:pPr>
                    <w:pStyle w:val="63"/>
                    <w:rPr>
                      <w:color w:val="auto"/>
                      <w:lang w:eastAsia="zh-CN"/>
                    </w:rPr>
                  </w:pPr>
                  <w:r>
                    <w:rPr>
                      <w:rFonts w:hint="eastAsia"/>
                      <w:color w:val="auto"/>
                      <w:lang w:eastAsia="zh-CN"/>
                    </w:rPr>
                    <w:t>5</w:t>
                  </w:r>
                  <w:r>
                    <w:rPr>
                      <w:color w:val="auto"/>
                      <w:lang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8" w:type="dxa"/>
                  <w:gridSpan w:val="4"/>
                  <w:vAlign w:val="center"/>
                </w:tcPr>
                <w:p>
                  <w:pPr>
                    <w:pStyle w:val="63"/>
                    <w:rPr>
                      <w:color w:val="auto"/>
                    </w:rPr>
                  </w:pPr>
                  <w:r>
                    <w:rPr>
                      <w:rFonts w:hint="eastAsia"/>
                      <w:color w:val="auto"/>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Align w:val="center"/>
                </w:tcPr>
                <w:p>
                  <w:pPr>
                    <w:pStyle w:val="63"/>
                    <w:rPr>
                      <w:color w:val="auto"/>
                    </w:rPr>
                  </w:pPr>
                  <w:r>
                    <w:rPr>
                      <w:rFonts w:hint="eastAsia"/>
                      <w:color w:val="auto"/>
                    </w:rPr>
                    <w:t>生产废水</w:t>
                  </w:r>
                </w:p>
              </w:tc>
              <w:tc>
                <w:tcPr>
                  <w:tcW w:w="1984" w:type="dxa"/>
                  <w:vAlign w:val="center"/>
                </w:tcPr>
                <w:p>
                  <w:pPr>
                    <w:pStyle w:val="63"/>
                    <w:rPr>
                      <w:color w:val="auto"/>
                    </w:rPr>
                  </w:pPr>
                  <w:r>
                    <w:rPr>
                      <w:rFonts w:hint="eastAsia"/>
                      <w:color w:val="auto"/>
                    </w:rPr>
                    <w:t>废水量</w:t>
                  </w:r>
                </w:p>
              </w:tc>
              <w:tc>
                <w:tcPr>
                  <w:tcW w:w="2907" w:type="dxa"/>
                  <w:vAlign w:val="center"/>
                </w:tcPr>
                <w:p>
                  <w:pPr>
                    <w:pStyle w:val="63"/>
                    <w:rPr>
                      <w:color w:val="auto"/>
                    </w:rPr>
                  </w:pP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Align w:val="center"/>
                </w:tcPr>
                <w:p>
                  <w:pPr>
                    <w:pStyle w:val="63"/>
                    <w:rPr>
                      <w:color w:val="auto"/>
                    </w:rPr>
                  </w:pPr>
                  <w:r>
                    <w:rPr>
                      <w:rFonts w:hint="eastAsia"/>
                      <w:color w:val="auto"/>
                    </w:rPr>
                    <w:t>生活污水</w:t>
                  </w:r>
                </w:p>
              </w:tc>
              <w:tc>
                <w:tcPr>
                  <w:tcW w:w="1984" w:type="dxa"/>
                  <w:vAlign w:val="center"/>
                </w:tcPr>
                <w:p>
                  <w:pPr>
                    <w:pStyle w:val="63"/>
                    <w:rPr>
                      <w:color w:val="auto"/>
                    </w:rPr>
                  </w:pPr>
                  <w:r>
                    <w:rPr>
                      <w:rFonts w:hint="eastAsia"/>
                      <w:color w:val="auto"/>
                    </w:rPr>
                    <w:t>废水量</w:t>
                  </w:r>
                </w:p>
              </w:tc>
              <w:tc>
                <w:tcPr>
                  <w:tcW w:w="2907" w:type="dxa"/>
                  <w:vAlign w:val="center"/>
                </w:tcPr>
                <w:p>
                  <w:pPr>
                    <w:pStyle w:val="63"/>
                    <w:rPr>
                      <w:color w:val="auto"/>
                    </w:rPr>
                  </w:pP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8" w:type="dxa"/>
                  <w:gridSpan w:val="4"/>
                  <w:vAlign w:val="center"/>
                </w:tcPr>
                <w:p>
                  <w:pPr>
                    <w:pStyle w:val="63"/>
                    <w:rPr>
                      <w:color w:val="auto"/>
                    </w:rPr>
                  </w:pPr>
                  <w:r>
                    <w:rPr>
                      <w:rFonts w:hint="eastAsia"/>
                      <w:color w:val="auto"/>
                    </w:rPr>
                    <w:t>固体废物</w:t>
                  </w:r>
                  <w:r>
                    <w:rPr>
                      <w:rFonts w:hint="eastAsia"/>
                      <w:color w:val="auto"/>
                      <w:lang w:eastAsia="zh-CN"/>
                    </w:rPr>
                    <w:t>（仅</w:t>
                  </w:r>
                  <w:r>
                    <w:rPr>
                      <w:rFonts w:hint="eastAsia"/>
                      <w:color w:val="auto"/>
                    </w:rPr>
                    <w:t>年产3</w:t>
                  </w:r>
                  <w:r>
                    <w:rPr>
                      <w:color w:val="auto"/>
                    </w:rPr>
                    <w:t>0</w:t>
                  </w:r>
                  <w:r>
                    <w:rPr>
                      <w:rFonts w:hint="eastAsia"/>
                      <w:color w:val="auto"/>
                    </w:rPr>
                    <w:t>万吨热退火酸洗生产线建设项目</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Merge w:val="restart"/>
                  <w:vAlign w:val="center"/>
                </w:tcPr>
                <w:p>
                  <w:pPr>
                    <w:pStyle w:val="63"/>
                    <w:rPr>
                      <w:color w:val="auto"/>
                    </w:rPr>
                  </w:pPr>
                  <w:r>
                    <w:rPr>
                      <w:rFonts w:hint="eastAsia"/>
                      <w:color w:val="auto"/>
                    </w:rPr>
                    <w:t>一般工业固废</w:t>
                  </w:r>
                </w:p>
              </w:tc>
              <w:tc>
                <w:tcPr>
                  <w:tcW w:w="1984" w:type="dxa"/>
                  <w:vAlign w:val="center"/>
                </w:tcPr>
                <w:p>
                  <w:pPr>
                    <w:pStyle w:val="63"/>
                    <w:rPr>
                      <w:color w:val="auto"/>
                    </w:rPr>
                  </w:pPr>
                  <w:r>
                    <w:rPr>
                      <w:rFonts w:hint="eastAsia"/>
                      <w:color w:val="auto"/>
                      <w:lang w:eastAsia="zh-CN"/>
                    </w:rPr>
                    <w:t>收尘灰</w:t>
                  </w:r>
                </w:p>
              </w:tc>
              <w:tc>
                <w:tcPr>
                  <w:tcW w:w="2907" w:type="dxa"/>
                  <w:vAlign w:val="center"/>
                </w:tcPr>
                <w:p>
                  <w:pPr>
                    <w:pStyle w:val="63"/>
                    <w:rPr>
                      <w:color w:val="auto"/>
                    </w:rPr>
                  </w:pPr>
                  <w:r>
                    <w:rPr>
                      <w:color w:val="auto"/>
                      <w:lang w:val="en-US"/>
                    </w:rPr>
                    <w:t>728.3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Merge w:val="continue"/>
                  <w:vAlign w:val="center"/>
                </w:tcPr>
                <w:p>
                  <w:pPr>
                    <w:pStyle w:val="63"/>
                    <w:rPr>
                      <w:color w:val="auto"/>
                    </w:rPr>
                  </w:pPr>
                </w:p>
              </w:tc>
              <w:tc>
                <w:tcPr>
                  <w:tcW w:w="1984" w:type="dxa"/>
                  <w:vAlign w:val="center"/>
                </w:tcPr>
                <w:p>
                  <w:pPr>
                    <w:pStyle w:val="63"/>
                    <w:rPr>
                      <w:color w:val="auto"/>
                    </w:rPr>
                  </w:pPr>
                  <w:r>
                    <w:rPr>
                      <w:color w:val="auto"/>
                      <w:lang w:val="en-US" w:eastAsia="zh-CN"/>
                    </w:rPr>
                    <w:t>废钢</w:t>
                  </w:r>
                  <w:r>
                    <w:rPr>
                      <w:rFonts w:hint="eastAsia"/>
                      <w:color w:val="auto"/>
                      <w:lang w:eastAsia="zh-CN"/>
                    </w:rPr>
                    <w:t>及边角料</w:t>
                  </w:r>
                </w:p>
              </w:tc>
              <w:tc>
                <w:tcPr>
                  <w:tcW w:w="2907" w:type="dxa"/>
                  <w:vAlign w:val="center"/>
                </w:tcPr>
                <w:p>
                  <w:pPr>
                    <w:pStyle w:val="63"/>
                    <w:rPr>
                      <w:color w:val="auto"/>
                      <w:lang w:eastAsia="zh-CN"/>
                    </w:rPr>
                  </w:pPr>
                  <w:r>
                    <w:rPr>
                      <w:color w:val="auto"/>
                      <w:lang w:val="en-US" w:eastAsia="zh-CN"/>
                    </w:rPr>
                    <w:t>2170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Merge w:val="continue"/>
                  <w:vAlign w:val="center"/>
                </w:tcPr>
                <w:p>
                  <w:pPr>
                    <w:pStyle w:val="63"/>
                    <w:rPr>
                      <w:color w:val="auto"/>
                    </w:rPr>
                  </w:pPr>
                </w:p>
              </w:tc>
              <w:tc>
                <w:tcPr>
                  <w:tcW w:w="1984" w:type="dxa"/>
                  <w:vAlign w:val="center"/>
                </w:tcPr>
                <w:p>
                  <w:pPr>
                    <w:pStyle w:val="63"/>
                    <w:rPr>
                      <w:color w:val="auto"/>
                    </w:rPr>
                  </w:pPr>
                  <w:r>
                    <w:rPr>
                      <w:color w:val="auto"/>
                      <w:lang w:val="en-US" w:eastAsia="zh-CN"/>
                    </w:rPr>
                    <w:t>湿式除尘污泥</w:t>
                  </w:r>
                </w:p>
              </w:tc>
              <w:tc>
                <w:tcPr>
                  <w:tcW w:w="2907" w:type="dxa"/>
                  <w:vAlign w:val="center"/>
                </w:tcPr>
                <w:p>
                  <w:pPr>
                    <w:pStyle w:val="63"/>
                    <w:rPr>
                      <w:color w:val="auto"/>
                      <w:lang w:eastAsia="zh-CN"/>
                    </w:rPr>
                  </w:pPr>
                  <w:r>
                    <w:rPr>
                      <w:color w:val="auto"/>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Merge w:val="continue"/>
                  <w:vAlign w:val="center"/>
                </w:tcPr>
                <w:p>
                  <w:pPr>
                    <w:pStyle w:val="63"/>
                    <w:rPr>
                      <w:color w:val="auto"/>
                    </w:rPr>
                  </w:pPr>
                </w:p>
              </w:tc>
              <w:tc>
                <w:tcPr>
                  <w:tcW w:w="1984" w:type="dxa"/>
                  <w:vAlign w:val="center"/>
                </w:tcPr>
                <w:p>
                  <w:pPr>
                    <w:pStyle w:val="63"/>
                    <w:rPr>
                      <w:color w:val="auto"/>
                    </w:rPr>
                  </w:pPr>
                  <w:r>
                    <w:rPr>
                      <w:rFonts w:hint="eastAsia"/>
                      <w:color w:val="auto"/>
                      <w:lang w:eastAsia="zh-CN"/>
                    </w:rPr>
                    <w:t>氧化铁皮</w:t>
                  </w:r>
                </w:p>
              </w:tc>
              <w:tc>
                <w:tcPr>
                  <w:tcW w:w="2907" w:type="dxa"/>
                  <w:vAlign w:val="center"/>
                </w:tcPr>
                <w:p>
                  <w:pPr>
                    <w:pStyle w:val="63"/>
                    <w:rPr>
                      <w:color w:val="auto"/>
                    </w:rPr>
                  </w:pPr>
                  <w:r>
                    <w:rPr>
                      <w:rFonts w:hint="eastAsia"/>
                      <w:color w:val="auto"/>
                      <w:lang w:val="en-US"/>
                    </w:rPr>
                    <w:t>6514.961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1" w:type="dxa"/>
                  <w:gridSpan w:val="3"/>
                  <w:vAlign w:val="center"/>
                </w:tcPr>
                <w:p>
                  <w:pPr>
                    <w:pStyle w:val="63"/>
                    <w:rPr>
                      <w:color w:val="auto"/>
                    </w:rPr>
                  </w:pPr>
                  <w:r>
                    <w:rPr>
                      <w:rFonts w:hint="eastAsia"/>
                      <w:color w:val="auto"/>
                    </w:rPr>
                    <w:t>生活垃圾</w:t>
                  </w:r>
                </w:p>
              </w:tc>
              <w:tc>
                <w:tcPr>
                  <w:tcW w:w="2907" w:type="dxa"/>
                  <w:vAlign w:val="center"/>
                </w:tcPr>
                <w:p>
                  <w:pPr>
                    <w:pStyle w:val="63"/>
                    <w:rPr>
                      <w:color w:val="auto"/>
                      <w:lang w:eastAsia="zh-CN"/>
                    </w:rPr>
                  </w:pPr>
                  <w:r>
                    <w:rPr>
                      <w:rFonts w:hint="eastAsia"/>
                      <w:color w:val="auto"/>
                      <w:lang w:eastAsia="zh-CN"/>
                    </w:rPr>
                    <w:t>2</w:t>
                  </w:r>
                  <w:r>
                    <w:rPr>
                      <w:color w:val="auto"/>
                      <w:lang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Merge w:val="restart"/>
                  <w:vAlign w:val="center"/>
                </w:tcPr>
                <w:p>
                  <w:pPr>
                    <w:pStyle w:val="63"/>
                    <w:rPr>
                      <w:color w:val="auto"/>
                    </w:rPr>
                  </w:pPr>
                  <w:r>
                    <w:rPr>
                      <w:rFonts w:hint="eastAsia"/>
                      <w:color w:val="auto"/>
                    </w:rPr>
                    <w:t>危险废物</w:t>
                  </w:r>
                </w:p>
              </w:tc>
              <w:tc>
                <w:tcPr>
                  <w:tcW w:w="1984" w:type="dxa"/>
                  <w:vAlign w:val="center"/>
                </w:tcPr>
                <w:p>
                  <w:pPr>
                    <w:pStyle w:val="63"/>
                    <w:rPr>
                      <w:color w:val="auto"/>
                    </w:rPr>
                  </w:pPr>
                  <w:r>
                    <w:rPr>
                      <w:rFonts w:hint="eastAsia"/>
                      <w:color w:val="auto"/>
                      <w:lang w:eastAsia="zh-CN"/>
                    </w:rPr>
                    <w:t>酸性废水处理污泥</w:t>
                  </w:r>
                </w:p>
              </w:tc>
              <w:tc>
                <w:tcPr>
                  <w:tcW w:w="2907" w:type="dxa"/>
                  <w:vAlign w:val="center"/>
                </w:tcPr>
                <w:p>
                  <w:pPr>
                    <w:pStyle w:val="63"/>
                    <w:rPr>
                      <w:color w:val="auto"/>
                      <w:lang w:eastAsia="zh-CN"/>
                    </w:rPr>
                  </w:pPr>
                  <w:r>
                    <w:rPr>
                      <w:rFonts w:hint="eastAsia"/>
                      <w:color w:val="auto"/>
                      <w:lang w:eastAsia="zh-CN"/>
                    </w:rPr>
                    <w:t>1</w:t>
                  </w:r>
                  <w:r>
                    <w:rPr>
                      <w:color w:val="auto"/>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7" w:type="dxa"/>
                  <w:gridSpan w:val="2"/>
                  <w:vMerge w:val="continue"/>
                  <w:vAlign w:val="center"/>
                </w:tcPr>
                <w:p>
                  <w:pPr>
                    <w:pStyle w:val="63"/>
                    <w:rPr>
                      <w:color w:val="auto"/>
                    </w:rPr>
                  </w:pPr>
                </w:p>
              </w:tc>
              <w:tc>
                <w:tcPr>
                  <w:tcW w:w="1984" w:type="dxa"/>
                  <w:vAlign w:val="center"/>
                </w:tcPr>
                <w:p>
                  <w:pPr>
                    <w:pStyle w:val="63"/>
                    <w:rPr>
                      <w:color w:val="auto"/>
                    </w:rPr>
                  </w:pPr>
                  <w:r>
                    <w:rPr>
                      <w:rFonts w:hint="eastAsia"/>
                      <w:color w:val="auto"/>
                      <w:lang w:eastAsia="zh-CN"/>
                    </w:rPr>
                    <w:t>废矿物油</w:t>
                  </w:r>
                </w:p>
              </w:tc>
              <w:tc>
                <w:tcPr>
                  <w:tcW w:w="2907" w:type="dxa"/>
                  <w:vAlign w:val="center"/>
                </w:tcPr>
                <w:p>
                  <w:pPr>
                    <w:pStyle w:val="63"/>
                    <w:rPr>
                      <w:color w:val="auto"/>
                      <w:lang w:eastAsia="zh-CN"/>
                    </w:rPr>
                  </w:pPr>
                  <w:r>
                    <w:rPr>
                      <w:rFonts w:hint="eastAsia"/>
                      <w:color w:val="auto"/>
                      <w:lang w:eastAsia="zh-CN"/>
                    </w:rPr>
                    <w:t>1</w:t>
                  </w:r>
                  <w:r>
                    <w:rPr>
                      <w:color w:val="auto"/>
                      <w:lang w:eastAsia="zh-CN"/>
                    </w:rPr>
                    <w:t>.0</w:t>
                  </w:r>
                </w:p>
              </w:tc>
            </w:tr>
          </w:tbl>
          <w:p>
            <w:pPr>
              <w:ind w:firstLine="480"/>
              <w:rPr>
                <w:color w:val="auto"/>
              </w:rPr>
            </w:pPr>
            <w:r>
              <w:rPr>
                <w:rFonts w:hint="eastAsia"/>
                <w:color w:val="auto"/>
              </w:rPr>
              <w:t>现有项目排放的污染物种类是排污许可证核发的污染物种类，现有项目按证排污，根据上述统计数据，现有项目运营期各污染物排放量未超过排污许可证许可总量。</w:t>
            </w:r>
          </w:p>
          <w:p>
            <w:pPr>
              <w:pStyle w:val="56"/>
              <w:spacing w:before="60" w:after="60"/>
              <w:rPr>
                <w:color w:val="auto"/>
              </w:rPr>
            </w:pPr>
            <w:r>
              <w:rPr>
                <w:rFonts w:hint="eastAsia"/>
                <w:color w:val="auto"/>
              </w:rPr>
              <w:t>2</w:t>
            </w:r>
            <w:r>
              <w:rPr>
                <w:color w:val="auto"/>
              </w:rPr>
              <w:t>.3.6</w:t>
            </w:r>
            <w:r>
              <w:rPr>
                <w:rFonts w:hint="eastAsia"/>
                <w:color w:val="auto"/>
              </w:rPr>
              <w:t>全厂排污许可证许可总量</w:t>
            </w:r>
          </w:p>
          <w:p>
            <w:pPr>
              <w:ind w:firstLine="480"/>
              <w:rPr>
                <w:color w:val="auto"/>
              </w:rPr>
            </w:pPr>
            <w:r>
              <w:rPr>
                <w:rFonts w:hint="eastAsia"/>
                <w:color w:val="auto"/>
              </w:rPr>
              <w:t>根据师宗县沃莱迪金属材料有限公司排污许可证（排污许可证编号</w:t>
            </w:r>
            <w:r>
              <w:rPr>
                <w:color w:val="auto"/>
              </w:rPr>
              <w:t>91530323MA6N0YP27F001R</w:t>
            </w:r>
            <w:r>
              <w:rPr>
                <w:rFonts w:hint="eastAsia"/>
                <w:color w:val="auto"/>
              </w:rPr>
              <w:t>），全厂现有项目废气排放口均为一般排放口，不涉及主要排放口，一般排放口许可总量指标见下表：</w:t>
            </w:r>
          </w:p>
          <w:p>
            <w:pPr>
              <w:pStyle w:val="66"/>
              <w:rPr>
                <w:color w:val="auto"/>
              </w:rPr>
            </w:pPr>
            <w:r>
              <w:rPr>
                <w:rFonts w:hint="eastAsia"/>
                <w:color w:val="auto"/>
              </w:rPr>
              <w:t>表2</w:t>
            </w:r>
            <w:r>
              <w:rPr>
                <w:color w:val="auto"/>
              </w:rPr>
              <w:t xml:space="preserve">.3-7 </w:t>
            </w:r>
            <w:r>
              <w:rPr>
                <w:rFonts w:hint="eastAsia"/>
                <w:color w:val="auto"/>
              </w:rPr>
              <w:t>排污许可证许可废气总量一览表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980"/>
              <w:gridCol w:w="980"/>
              <w:gridCol w:w="980"/>
              <w:gridCol w:w="980"/>
              <w:gridCol w:w="981"/>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1" w:type="dxa"/>
                  <w:vMerge w:val="restart"/>
                  <w:shd w:val="clear" w:color="auto" w:fill="auto"/>
                  <w:vAlign w:val="center"/>
                </w:tcPr>
                <w:p>
                  <w:pPr>
                    <w:pStyle w:val="63"/>
                    <w:rPr>
                      <w:color w:val="auto"/>
                    </w:rPr>
                  </w:pPr>
                  <w:r>
                    <w:rPr>
                      <w:rFonts w:hint="eastAsia"/>
                      <w:color w:val="auto"/>
                    </w:rPr>
                    <w:t>排放口类型</w:t>
                  </w:r>
                </w:p>
              </w:tc>
              <w:tc>
                <w:tcPr>
                  <w:tcW w:w="1681" w:type="dxa"/>
                  <w:vMerge w:val="restart"/>
                  <w:shd w:val="clear" w:color="auto" w:fill="auto"/>
                  <w:vAlign w:val="center"/>
                </w:tcPr>
                <w:p>
                  <w:pPr>
                    <w:pStyle w:val="63"/>
                    <w:rPr>
                      <w:color w:val="auto"/>
                    </w:rPr>
                  </w:pPr>
                  <w:r>
                    <w:rPr>
                      <w:rFonts w:hint="eastAsia"/>
                      <w:color w:val="auto"/>
                    </w:rPr>
                    <w:t>全厂有组织排放总量</w:t>
                  </w:r>
                </w:p>
              </w:tc>
              <w:tc>
                <w:tcPr>
                  <w:tcW w:w="1682" w:type="dxa"/>
                  <w:vMerge w:val="restart"/>
                  <w:shd w:val="clear" w:color="auto" w:fill="auto"/>
                  <w:vAlign w:val="center"/>
                </w:tcPr>
                <w:p>
                  <w:pPr>
                    <w:pStyle w:val="63"/>
                    <w:rPr>
                      <w:color w:val="auto"/>
                    </w:rPr>
                  </w:pPr>
                  <w:r>
                    <w:rPr>
                      <w:rFonts w:hint="eastAsia"/>
                      <w:color w:val="auto"/>
                    </w:rPr>
                    <w:t>污染物</w:t>
                  </w:r>
                </w:p>
              </w:tc>
              <w:tc>
                <w:tcPr>
                  <w:tcW w:w="8410" w:type="dxa"/>
                  <w:gridSpan w:val="5"/>
                  <w:shd w:val="clear" w:color="auto" w:fill="auto"/>
                  <w:vAlign w:val="center"/>
                </w:tcPr>
                <w:p>
                  <w:pPr>
                    <w:pStyle w:val="63"/>
                    <w:rPr>
                      <w:color w:val="auto"/>
                    </w:rPr>
                  </w:pPr>
                  <w:r>
                    <w:rPr>
                      <w:rFonts w:hint="eastAsia"/>
                      <w:color w:val="auto"/>
                    </w:rPr>
                    <w:t>许可年排放限值（t/a）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1" w:type="dxa"/>
                  <w:vMerge w:val="continue"/>
                  <w:shd w:val="clear" w:color="auto" w:fill="auto"/>
                  <w:vAlign w:val="center"/>
                </w:tcPr>
                <w:p>
                  <w:pPr>
                    <w:pStyle w:val="63"/>
                    <w:rPr>
                      <w:color w:val="auto"/>
                    </w:rPr>
                  </w:pPr>
                </w:p>
              </w:tc>
              <w:tc>
                <w:tcPr>
                  <w:tcW w:w="1681" w:type="dxa"/>
                  <w:vMerge w:val="continue"/>
                  <w:shd w:val="clear" w:color="auto" w:fill="auto"/>
                  <w:vAlign w:val="center"/>
                </w:tcPr>
                <w:p>
                  <w:pPr>
                    <w:pStyle w:val="63"/>
                    <w:rPr>
                      <w:color w:val="auto"/>
                    </w:rPr>
                  </w:pPr>
                </w:p>
              </w:tc>
              <w:tc>
                <w:tcPr>
                  <w:tcW w:w="1682" w:type="dxa"/>
                  <w:vMerge w:val="continue"/>
                  <w:shd w:val="clear" w:color="auto" w:fill="auto"/>
                  <w:vAlign w:val="center"/>
                </w:tcPr>
                <w:p>
                  <w:pPr>
                    <w:pStyle w:val="63"/>
                    <w:rPr>
                      <w:color w:val="auto"/>
                    </w:rPr>
                  </w:pPr>
                </w:p>
              </w:tc>
              <w:tc>
                <w:tcPr>
                  <w:tcW w:w="1682" w:type="dxa"/>
                  <w:shd w:val="clear" w:color="auto" w:fill="auto"/>
                  <w:vAlign w:val="center"/>
                </w:tcPr>
                <w:p>
                  <w:pPr>
                    <w:pStyle w:val="63"/>
                    <w:rPr>
                      <w:color w:val="auto"/>
                    </w:rPr>
                  </w:pPr>
                  <w:r>
                    <w:rPr>
                      <w:rFonts w:hint="eastAsia"/>
                      <w:color w:val="auto"/>
                    </w:rPr>
                    <w:t>第一年</w:t>
                  </w:r>
                </w:p>
              </w:tc>
              <w:tc>
                <w:tcPr>
                  <w:tcW w:w="1682" w:type="dxa"/>
                  <w:shd w:val="clear" w:color="auto" w:fill="auto"/>
                  <w:vAlign w:val="center"/>
                </w:tcPr>
                <w:p>
                  <w:pPr>
                    <w:pStyle w:val="63"/>
                    <w:rPr>
                      <w:color w:val="auto"/>
                    </w:rPr>
                  </w:pPr>
                  <w:r>
                    <w:rPr>
                      <w:rFonts w:hint="eastAsia"/>
                      <w:color w:val="auto"/>
                    </w:rPr>
                    <w:t>第二年</w:t>
                  </w:r>
                </w:p>
              </w:tc>
              <w:tc>
                <w:tcPr>
                  <w:tcW w:w="1682" w:type="dxa"/>
                  <w:shd w:val="clear" w:color="auto" w:fill="auto"/>
                  <w:vAlign w:val="center"/>
                </w:tcPr>
                <w:p>
                  <w:pPr>
                    <w:pStyle w:val="63"/>
                    <w:rPr>
                      <w:color w:val="auto"/>
                    </w:rPr>
                  </w:pPr>
                  <w:r>
                    <w:rPr>
                      <w:rFonts w:hint="eastAsia"/>
                      <w:color w:val="auto"/>
                    </w:rPr>
                    <w:t>第三年</w:t>
                  </w:r>
                </w:p>
              </w:tc>
              <w:tc>
                <w:tcPr>
                  <w:tcW w:w="1682" w:type="dxa"/>
                  <w:shd w:val="clear" w:color="auto" w:fill="auto"/>
                  <w:vAlign w:val="center"/>
                </w:tcPr>
                <w:p>
                  <w:pPr>
                    <w:pStyle w:val="63"/>
                    <w:rPr>
                      <w:color w:val="auto"/>
                    </w:rPr>
                  </w:pPr>
                  <w:r>
                    <w:rPr>
                      <w:rFonts w:hint="eastAsia"/>
                      <w:color w:val="auto"/>
                    </w:rPr>
                    <w:t>第四年</w:t>
                  </w:r>
                </w:p>
              </w:tc>
              <w:tc>
                <w:tcPr>
                  <w:tcW w:w="1682" w:type="dxa"/>
                  <w:shd w:val="clear" w:color="auto" w:fill="auto"/>
                  <w:vAlign w:val="center"/>
                </w:tcPr>
                <w:p>
                  <w:pPr>
                    <w:pStyle w:val="63"/>
                    <w:rPr>
                      <w:color w:val="auto"/>
                    </w:rPr>
                  </w:pPr>
                  <w:r>
                    <w:rPr>
                      <w:rFonts w:hint="eastAsia"/>
                      <w:color w:val="auto"/>
                    </w:rPr>
                    <w:t>第五年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1" w:type="dxa"/>
                  <w:vMerge w:val="restart"/>
                  <w:shd w:val="clear" w:color="auto" w:fill="auto"/>
                  <w:vAlign w:val="center"/>
                </w:tcPr>
                <w:p>
                  <w:pPr>
                    <w:pStyle w:val="63"/>
                    <w:rPr>
                      <w:color w:val="auto"/>
                    </w:rPr>
                  </w:pPr>
                  <w:r>
                    <w:rPr>
                      <w:rFonts w:hint="eastAsia"/>
                      <w:color w:val="auto"/>
                    </w:rPr>
                    <w:t>一般排放口</w:t>
                  </w:r>
                </w:p>
              </w:tc>
              <w:tc>
                <w:tcPr>
                  <w:tcW w:w="1681" w:type="dxa"/>
                  <w:vMerge w:val="continue"/>
                  <w:shd w:val="clear" w:color="auto" w:fill="auto"/>
                  <w:vAlign w:val="center"/>
                </w:tcPr>
                <w:p>
                  <w:pPr>
                    <w:pStyle w:val="63"/>
                    <w:rPr>
                      <w:color w:val="auto"/>
                    </w:rPr>
                  </w:pPr>
                </w:p>
              </w:tc>
              <w:tc>
                <w:tcPr>
                  <w:tcW w:w="1682" w:type="dxa"/>
                  <w:shd w:val="clear" w:color="auto" w:fill="auto"/>
                  <w:vAlign w:val="center"/>
                </w:tcPr>
                <w:p>
                  <w:pPr>
                    <w:pStyle w:val="63"/>
                    <w:rPr>
                      <w:color w:val="auto"/>
                    </w:rPr>
                  </w:pPr>
                  <w:r>
                    <w:rPr>
                      <w:rFonts w:hint="eastAsia"/>
                      <w:color w:val="auto"/>
                    </w:rPr>
                    <w:t>颗粒物</w:t>
                  </w:r>
                </w:p>
              </w:tc>
              <w:tc>
                <w:tcPr>
                  <w:tcW w:w="1682" w:type="dxa"/>
                  <w:shd w:val="clear" w:color="auto" w:fill="auto"/>
                  <w:vAlign w:val="center"/>
                </w:tcPr>
                <w:p>
                  <w:pPr>
                    <w:pStyle w:val="63"/>
                    <w:rPr>
                      <w:color w:val="auto"/>
                    </w:rPr>
                  </w:pPr>
                  <w:r>
                    <w:rPr>
                      <w:rFonts w:hint="eastAsia"/>
                      <w:color w:val="auto"/>
                    </w:rPr>
                    <w:t>5</w:t>
                  </w:r>
                  <w:r>
                    <w:rPr>
                      <w:color w:val="auto"/>
                    </w:rPr>
                    <w:t>.3003</w:t>
                  </w:r>
                </w:p>
              </w:tc>
              <w:tc>
                <w:tcPr>
                  <w:tcW w:w="1682" w:type="dxa"/>
                  <w:shd w:val="clear" w:color="auto" w:fill="auto"/>
                  <w:vAlign w:val="center"/>
                </w:tcPr>
                <w:p>
                  <w:pPr>
                    <w:pStyle w:val="63"/>
                    <w:rPr>
                      <w:color w:val="auto"/>
                    </w:rPr>
                  </w:pPr>
                  <w:r>
                    <w:rPr>
                      <w:rFonts w:hint="eastAsia"/>
                      <w:color w:val="auto"/>
                    </w:rPr>
                    <w:t>5</w:t>
                  </w:r>
                  <w:r>
                    <w:rPr>
                      <w:color w:val="auto"/>
                    </w:rPr>
                    <w:t>.3003</w:t>
                  </w:r>
                </w:p>
              </w:tc>
              <w:tc>
                <w:tcPr>
                  <w:tcW w:w="1682" w:type="dxa"/>
                  <w:shd w:val="clear" w:color="auto" w:fill="auto"/>
                  <w:vAlign w:val="center"/>
                </w:tcPr>
                <w:p>
                  <w:pPr>
                    <w:pStyle w:val="63"/>
                    <w:rPr>
                      <w:color w:val="auto"/>
                    </w:rPr>
                  </w:pPr>
                  <w:r>
                    <w:rPr>
                      <w:rFonts w:hint="eastAsia"/>
                      <w:color w:val="auto"/>
                    </w:rPr>
                    <w:t>5</w:t>
                  </w:r>
                  <w:r>
                    <w:rPr>
                      <w:color w:val="auto"/>
                    </w:rPr>
                    <w:t>.3003</w:t>
                  </w:r>
                </w:p>
              </w:tc>
              <w:tc>
                <w:tcPr>
                  <w:tcW w:w="1682" w:type="dxa"/>
                  <w:shd w:val="clear" w:color="auto" w:fill="auto"/>
                  <w:vAlign w:val="center"/>
                </w:tcPr>
                <w:p>
                  <w:pPr>
                    <w:pStyle w:val="63"/>
                    <w:rPr>
                      <w:color w:val="auto"/>
                    </w:rPr>
                  </w:pPr>
                  <w:r>
                    <w:rPr>
                      <w:rFonts w:hint="eastAsia"/>
                      <w:color w:val="auto"/>
                    </w:rPr>
                    <w:t>5</w:t>
                  </w:r>
                  <w:r>
                    <w:rPr>
                      <w:color w:val="auto"/>
                    </w:rPr>
                    <w:t>.3003</w:t>
                  </w:r>
                </w:p>
              </w:tc>
              <w:tc>
                <w:tcPr>
                  <w:tcW w:w="1682" w:type="dxa"/>
                  <w:shd w:val="clear" w:color="auto" w:fill="auto"/>
                  <w:vAlign w:val="center"/>
                </w:tcPr>
                <w:p>
                  <w:pPr>
                    <w:pStyle w:val="63"/>
                    <w:rPr>
                      <w:color w:val="auto"/>
                    </w:rPr>
                  </w:pPr>
                  <w:r>
                    <w:rPr>
                      <w:rFonts w:hint="eastAsia"/>
                      <w:color w:val="auto"/>
                    </w:rPr>
                    <w:t>5</w:t>
                  </w:r>
                  <w:r>
                    <w:rPr>
                      <w:color w:val="auto"/>
                    </w:rPr>
                    <w:t>.3003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1" w:type="dxa"/>
                  <w:vMerge w:val="continue"/>
                  <w:shd w:val="clear" w:color="auto" w:fill="auto"/>
                  <w:vAlign w:val="center"/>
                </w:tcPr>
                <w:p>
                  <w:pPr>
                    <w:pStyle w:val="63"/>
                    <w:rPr>
                      <w:color w:val="auto"/>
                    </w:rPr>
                  </w:pPr>
                </w:p>
              </w:tc>
              <w:tc>
                <w:tcPr>
                  <w:tcW w:w="1681" w:type="dxa"/>
                  <w:vMerge w:val="continue"/>
                  <w:shd w:val="clear" w:color="auto" w:fill="auto"/>
                  <w:vAlign w:val="center"/>
                </w:tcPr>
                <w:p>
                  <w:pPr>
                    <w:pStyle w:val="63"/>
                    <w:rPr>
                      <w:color w:val="auto"/>
                    </w:rPr>
                  </w:pPr>
                </w:p>
              </w:tc>
              <w:tc>
                <w:tcPr>
                  <w:tcW w:w="1682" w:type="dxa"/>
                  <w:shd w:val="clear" w:color="auto" w:fill="auto"/>
                  <w:vAlign w:val="center"/>
                </w:tcPr>
                <w:p>
                  <w:pPr>
                    <w:pStyle w:val="63"/>
                    <w:rPr>
                      <w:color w:val="auto"/>
                    </w:rPr>
                  </w:pPr>
                  <w:r>
                    <w:rPr>
                      <w:rFonts w:hint="eastAsia"/>
                      <w:color w:val="auto"/>
                    </w:rPr>
                    <w:t>S</w:t>
                  </w:r>
                  <w:r>
                    <w:rPr>
                      <w:color w:val="auto"/>
                    </w:rPr>
                    <w:t>O</w:t>
                  </w:r>
                  <w:r>
                    <w:rPr>
                      <w:color w:val="auto"/>
                      <w:vertAlign w:val="subscript"/>
                    </w:rPr>
                    <w:t>2</w:t>
                  </w:r>
                </w:p>
              </w:tc>
              <w:tc>
                <w:tcPr>
                  <w:tcW w:w="1682" w:type="dxa"/>
                  <w:shd w:val="clear" w:color="auto" w:fill="auto"/>
                  <w:vAlign w:val="center"/>
                </w:tcPr>
                <w:p>
                  <w:pPr>
                    <w:pStyle w:val="63"/>
                    <w:rPr>
                      <w:color w:val="auto"/>
                    </w:rPr>
                  </w:pPr>
                  <w:r>
                    <w:rPr>
                      <w:rFonts w:hint="eastAsia"/>
                      <w:color w:val="auto"/>
                    </w:rPr>
                    <w:t>8</w:t>
                  </w:r>
                  <w:r>
                    <w:rPr>
                      <w:color w:val="auto"/>
                    </w:rPr>
                    <w:t>.938</w:t>
                  </w:r>
                </w:p>
              </w:tc>
              <w:tc>
                <w:tcPr>
                  <w:tcW w:w="1682" w:type="dxa"/>
                  <w:shd w:val="clear" w:color="auto" w:fill="auto"/>
                  <w:vAlign w:val="center"/>
                </w:tcPr>
                <w:p>
                  <w:pPr>
                    <w:pStyle w:val="63"/>
                    <w:rPr>
                      <w:color w:val="auto"/>
                    </w:rPr>
                  </w:pPr>
                  <w:r>
                    <w:rPr>
                      <w:rFonts w:hint="eastAsia"/>
                      <w:color w:val="auto"/>
                    </w:rPr>
                    <w:t>8</w:t>
                  </w:r>
                  <w:r>
                    <w:rPr>
                      <w:color w:val="auto"/>
                    </w:rPr>
                    <w:t>.938</w:t>
                  </w:r>
                </w:p>
              </w:tc>
              <w:tc>
                <w:tcPr>
                  <w:tcW w:w="1682" w:type="dxa"/>
                  <w:shd w:val="clear" w:color="auto" w:fill="auto"/>
                  <w:vAlign w:val="center"/>
                </w:tcPr>
                <w:p>
                  <w:pPr>
                    <w:pStyle w:val="63"/>
                    <w:rPr>
                      <w:color w:val="auto"/>
                    </w:rPr>
                  </w:pPr>
                  <w:r>
                    <w:rPr>
                      <w:rFonts w:hint="eastAsia"/>
                      <w:color w:val="auto"/>
                    </w:rPr>
                    <w:t>8</w:t>
                  </w:r>
                  <w:r>
                    <w:rPr>
                      <w:color w:val="auto"/>
                    </w:rPr>
                    <w:t>.938</w:t>
                  </w:r>
                </w:p>
              </w:tc>
              <w:tc>
                <w:tcPr>
                  <w:tcW w:w="1682" w:type="dxa"/>
                  <w:shd w:val="clear" w:color="auto" w:fill="auto"/>
                  <w:vAlign w:val="center"/>
                </w:tcPr>
                <w:p>
                  <w:pPr>
                    <w:pStyle w:val="63"/>
                    <w:rPr>
                      <w:color w:val="auto"/>
                    </w:rPr>
                  </w:pPr>
                  <w:r>
                    <w:rPr>
                      <w:rFonts w:hint="eastAsia"/>
                      <w:color w:val="auto"/>
                    </w:rPr>
                    <w:t>8</w:t>
                  </w:r>
                  <w:r>
                    <w:rPr>
                      <w:color w:val="auto"/>
                    </w:rPr>
                    <w:t>.938</w:t>
                  </w:r>
                </w:p>
              </w:tc>
              <w:tc>
                <w:tcPr>
                  <w:tcW w:w="1682" w:type="dxa"/>
                  <w:shd w:val="clear" w:color="auto" w:fill="auto"/>
                  <w:vAlign w:val="center"/>
                </w:tcPr>
                <w:p>
                  <w:pPr>
                    <w:pStyle w:val="63"/>
                    <w:rPr>
                      <w:color w:val="auto"/>
                    </w:rPr>
                  </w:pPr>
                  <w:r>
                    <w:rPr>
                      <w:rFonts w:hint="eastAsia"/>
                      <w:color w:val="auto"/>
                    </w:rPr>
                    <w:t>8</w:t>
                  </w:r>
                  <w:r>
                    <w:rPr>
                      <w:color w:val="auto"/>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1" w:type="dxa"/>
                  <w:vMerge w:val="continue"/>
                  <w:shd w:val="clear" w:color="auto" w:fill="auto"/>
                  <w:vAlign w:val="center"/>
                </w:tcPr>
                <w:p>
                  <w:pPr>
                    <w:pStyle w:val="63"/>
                    <w:rPr>
                      <w:color w:val="auto"/>
                    </w:rPr>
                  </w:pPr>
                </w:p>
              </w:tc>
              <w:tc>
                <w:tcPr>
                  <w:tcW w:w="1681" w:type="dxa"/>
                  <w:vMerge w:val="continue"/>
                  <w:shd w:val="clear" w:color="auto" w:fill="auto"/>
                  <w:vAlign w:val="center"/>
                </w:tcPr>
                <w:p>
                  <w:pPr>
                    <w:pStyle w:val="63"/>
                    <w:rPr>
                      <w:color w:val="auto"/>
                    </w:rPr>
                  </w:pPr>
                </w:p>
              </w:tc>
              <w:tc>
                <w:tcPr>
                  <w:tcW w:w="1682" w:type="dxa"/>
                  <w:shd w:val="clear" w:color="auto" w:fill="auto"/>
                  <w:vAlign w:val="center"/>
                </w:tcPr>
                <w:p>
                  <w:pPr>
                    <w:pStyle w:val="63"/>
                    <w:rPr>
                      <w:color w:val="auto"/>
                    </w:rPr>
                  </w:pPr>
                  <w:r>
                    <w:rPr>
                      <w:rFonts w:hint="eastAsia"/>
                      <w:color w:val="auto"/>
                    </w:rPr>
                    <w:t>N</w:t>
                  </w:r>
                  <w:r>
                    <w:rPr>
                      <w:color w:val="auto"/>
                    </w:rPr>
                    <w:t>O</w:t>
                  </w:r>
                  <w:r>
                    <w:rPr>
                      <w:rFonts w:hint="eastAsia"/>
                      <w:color w:val="auto"/>
                      <w:vertAlign w:val="subscript"/>
                    </w:rPr>
                    <w:t>x</w:t>
                  </w:r>
                </w:p>
              </w:tc>
              <w:tc>
                <w:tcPr>
                  <w:tcW w:w="1682" w:type="dxa"/>
                  <w:shd w:val="clear" w:color="auto" w:fill="auto"/>
                  <w:vAlign w:val="center"/>
                </w:tcPr>
                <w:p>
                  <w:pPr>
                    <w:pStyle w:val="63"/>
                    <w:rPr>
                      <w:color w:val="auto"/>
                    </w:rPr>
                  </w:pPr>
                  <w:r>
                    <w:rPr>
                      <w:rFonts w:hint="eastAsia"/>
                      <w:color w:val="auto"/>
                    </w:rPr>
                    <w:t>2</w:t>
                  </w:r>
                  <w:r>
                    <w:rPr>
                      <w:color w:val="auto"/>
                    </w:rPr>
                    <w:t>13.128</w:t>
                  </w:r>
                </w:p>
              </w:tc>
              <w:tc>
                <w:tcPr>
                  <w:tcW w:w="1682" w:type="dxa"/>
                  <w:shd w:val="clear" w:color="auto" w:fill="auto"/>
                  <w:vAlign w:val="center"/>
                </w:tcPr>
                <w:p>
                  <w:pPr>
                    <w:pStyle w:val="63"/>
                    <w:rPr>
                      <w:color w:val="auto"/>
                    </w:rPr>
                  </w:pPr>
                  <w:r>
                    <w:rPr>
                      <w:rFonts w:hint="eastAsia"/>
                      <w:color w:val="auto"/>
                    </w:rPr>
                    <w:t>2</w:t>
                  </w:r>
                  <w:r>
                    <w:rPr>
                      <w:color w:val="auto"/>
                    </w:rPr>
                    <w:t>13.128</w:t>
                  </w:r>
                </w:p>
              </w:tc>
              <w:tc>
                <w:tcPr>
                  <w:tcW w:w="1682" w:type="dxa"/>
                  <w:shd w:val="clear" w:color="auto" w:fill="auto"/>
                  <w:vAlign w:val="center"/>
                </w:tcPr>
                <w:p>
                  <w:pPr>
                    <w:pStyle w:val="63"/>
                    <w:rPr>
                      <w:color w:val="auto"/>
                    </w:rPr>
                  </w:pPr>
                  <w:r>
                    <w:rPr>
                      <w:rFonts w:hint="eastAsia"/>
                      <w:color w:val="auto"/>
                    </w:rPr>
                    <w:t>2</w:t>
                  </w:r>
                  <w:r>
                    <w:rPr>
                      <w:color w:val="auto"/>
                    </w:rPr>
                    <w:t>13.128</w:t>
                  </w:r>
                </w:p>
              </w:tc>
              <w:tc>
                <w:tcPr>
                  <w:tcW w:w="1682" w:type="dxa"/>
                  <w:shd w:val="clear" w:color="auto" w:fill="auto"/>
                  <w:vAlign w:val="center"/>
                </w:tcPr>
                <w:p>
                  <w:pPr>
                    <w:pStyle w:val="63"/>
                    <w:rPr>
                      <w:color w:val="auto"/>
                    </w:rPr>
                  </w:pPr>
                  <w:r>
                    <w:rPr>
                      <w:rFonts w:hint="eastAsia"/>
                      <w:color w:val="auto"/>
                    </w:rPr>
                    <w:t>2</w:t>
                  </w:r>
                  <w:r>
                    <w:rPr>
                      <w:color w:val="auto"/>
                    </w:rPr>
                    <w:t>13.128</w:t>
                  </w:r>
                </w:p>
              </w:tc>
              <w:tc>
                <w:tcPr>
                  <w:tcW w:w="1682" w:type="dxa"/>
                  <w:shd w:val="clear" w:color="auto" w:fill="auto"/>
                  <w:vAlign w:val="center"/>
                </w:tcPr>
                <w:p>
                  <w:pPr>
                    <w:pStyle w:val="63"/>
                    <w:rPr>
                      <w:color w:val="auto"/>
                    </w:rPr>
                  </w:pPr>
                  <w:r>
                    <w:rPr>
                      <w:rFonts w:hint="eastAsia"/>
                      <w:color w:val="auto"/>
                    </w:rPr>
                    <w:t>2</w:t>
                  </w:r>
                  <w:r>
                    <w:rPr>
                      <w:color w:val="auto"/>
                    </w:rPr>
                    <w:t>13.128</w:t>
                  </w:r>
                </w:p>
              </w:tc>
            </w:tr>
          </w:tbl>
          <w:p>
            <w:pPr>
              <w:ind w:firstLine="480"/>
              <w:rPr>
                <w:color w:val="auto"/>
              </w:rPr>
            </w:pPr>
            <w:r>
              <w:rPr>
                <w:rFonts w:hint="eastAsia"/>
                <w:color w:val="auto"/>
              </w:rPr>
              <w:t>师宗县沃莱迪金属材料有限公司排污许可证（排污许可证编号</w:t>
            </w:r>
            <w:r>
              <w:rPr>
                <w:color w:val="auto"/>
              </w:rPr>
              <w:t>91530323MA6N0YP27F001R</w:t>
            </w:r>
            <w:r>
              <w:rPr>
                <w:rFonts w:hint="eastAsia"/>
                <w:color w:val="auto"/>
              </w:rPr>
              <w:t>）废气总量来源于年产1</w:t>
            </w:r>
            <w:r>
              <w:rPr>
                <w:color w:val="auto"/>
              </w:rPr>
              <w:t>40</w:t>
            </w:r>
            <w:r>
              <w:rPr>
                <w:rFonts w:hint="eastAsia"/>
                <w:color w:val="auto"/>
              </w:rPr>
              <w:t>万吨热轧生产线建设项目、年产3</w:t>
            </w:r>
            <w:r>
              <w:rPr>
                <w:color w:val="auto"/>
              </w:rPr>
              <w:t>0</w:t>
            </w:r>
            <w:r>
              <w:rPr>
                <w:rFonts w:hint="eastAsia"/>
                <w:color w:val="auto"/>
              </w:rPr>
              <w:t>万吨热退火酸洗生产线建设项目、</w:t>
            </w:r>
            <w:r>
              <w:rPr>
                <w:color w:val="auto"/>
              </w:rPr>
              <w:t>不锈钢卷隧道式退火炉</w:t>
            </w:r>
            <w:r>
              <w:rPr>
                <w:rFonts w:hint="eastAsia"/>
                <w:color w:val="auto"/>
              </w:rPr>
              <w:t>建设项目三个项目废气排放总量之和。三个项目环评批复均未批复具体废气总量，排污许可证废气总量来源于三个项目环评核算结果，经统计，三个项目环评各废气排放口排放总量见下表。</w:t>
            </w:r>
          </w:p>
          <w:p>
            <w:pPr>
              <w:pStyle w:val="66"/>
              <w:rPr>
                <w:color w:val="auto"/>
              </w:rPr>
            </w:pPr>
            <w:r>
              <w:rPr>
                <w:rFonts w:hint="eastAsia"/>
                <w:color w:val="auto"/>
              </w:rPr>
              <w:t>表2</w:t>
            </w:r>
            <w:r>
              <w:rPr>
                <w:color w:val="auto"/>
              </w:rPr>
              <w:t xml:space="preserve">.3-8 </w:t>
            </w:r>
            <w:r>
              <w:rPr>
                <w:rFonts w:hint="eastAsia"/>
                <w:color w:val="auto"/>
              </w:rPr>
              <w:t>全厂排污许可证核发总量来源统计表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908"/>
              <w:gridCol w:w="1564"/>
              <w:gridCol w:w="914"/>
              <w:gridCol w:w="787"/>
              <w:gridCol w:w="1134"/>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3" w:type="pct"/>
                  <w:vMerge w:val="restart"/>
                  <w:shd w:val="clear" w:color="auto" w:fill="auto"/>
                  <w:vAlign w:val="center"/>
                </w:tcPr>
                <w:p>
                  <w:pPr>
                    <w:pStyle w:val="63"/>
                    <w:rPr>
                      <w:color w:val="auto"/>
                    </w:rPr>
                  </w:pPr>
                  <w:r>
                    <w:rPr>
                      <w:color w:val="auto"/>
                    </w:rPr>
                    <w:t>序号</w:t>
                  </w:r>
                </w:p>
              </w:tc>
              <w:tc>
                <w:tcPr>
                  <w:tcW w:w="579" w:type="pct"/>
                  <w:vMerge w:val="restart"/>
                  <w:shd w:val="clear" w:color="auto" w:fill="auto"/>
                  <w:vAlign w:val="center"/>
                </w:tcPr>
                <w:p>
                  <w:pPr>
                    <w:pStyle w:val="63"/>
                    <w:rPr>
                      <w:color w:val="auto"/>
                    </w:rPr>
                  </w:pPr>
                  <w:r>
                    <w:rPr>
                      <w:color w:val="auto"/>
                    </w:rPr>
                    <w:t>排放口编号</w:t>
                  </w:r>
                </w:p>
              </w:tc>
              <w:tc>
                <w:tcPr>
                  <w:tcW w:w="997" w:type="pct"/>
                  <w:vMerge w:val="restart"/>
                  <w:shd w:val="clear" w:color="auto" w:fill="auto"/>
                  <w:vAlign w:val="center"/>
                </w:tcPr>
                <w:p>
                  <w:pPr>
                    <w:pStyle w:val="63"/>
                    <w:rPr>
                      <w:color w:val="auto"/>
                    </w:rPr>
                  </w:pPr>
                  <w:r>
                    <w:rPr>
                      <w:color w:val="auto"/>
                    </w:rPr>
                    <w:t>排放口名称</w:t>
                  </w:r>
                </w:p>
              </w:tc>
              <w:tc>
                <w:tcPr>
                  <w:tcW w:w="1807" w:type="pct"/>
                  <w:gridSpan w:val="3"/>
                  <w:shd w:val="clear" w:color="auto" w:fill="auto"/>
                  <w:vAlign w:val="center"/>
                </w:tcPr>
                <w:p>
                  <w:pPr>
                    <w:pStyle w:val="63"/>
                    <w:rPr>
                      <w:color w:val="auto"/>
                    </w:rPr>
                  </w:pPr>
                  <w:r>
                    <w:rPr>
                      <w:color w:val="auto"/>
                    </w:rPr>
                    <w:t>指标</w:t>
                  </w:r>
                </w:p>
              </w:tc>
              <w:tc>
                <w:tcPr>
                  <w:tcW w:w="1313" w:type="pct"/>
                  <w:vMerge w:val="restart"/>
                  <w:shd w:val="clear" w:color="auto" w:fill="auto"/>
                  <w:vAlign w:val="center"/>
                </w:tcPr>
                <w:p>
                  <w:pPr>
                    <w:pStyle w:val="63"/>
                    <w:rPr>
                      <w:color w:val="auto"/>
                    </w:rPr>
                  </w:pPr>
                  <w:r>
                    <w:rPr>
                      <w:rFonts w:hint="eastAsia"/>
                      <w:color w:val="auto"/>
                    </w:rPr>
                    <w:t>指标来源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3" w:type="pct"/>
                  <w:vMerge w:val="continue"/>
                  <w:shd w:val="clear" w:color="auto" w:fill="auto"/>
                  <w:vAlign w:val="center"/>
                </w:tcPr>
                <w:p>
                  <w:pPr>
                    <w:pStyle w:val="63"/>
                    <w:rPr>
                      <w:color w:val="auto"/>
                    </w:rPr>
                  </w:pPr>
                </w:p>
              </w:tc>
              <w:tc>
                <w:tcPr>
                  <w:tcW w:w="579" w:type="pct"/>
                  <w:vMerge w:val="continue"/>
                  <w:shd w:val="clear" w:color="auto" w:fill="auto"/>
                  <w:vAlign w:val="center"/>
                </w:tcPr>
                <w:p>
                  <w:pPr>
                    <w:pStyle w:val="63"/>
                    <w:rPr>
                      <w:color w:val="auto"/>
                    </w:rPr>
                  </w:pPr>
                </w:p>
              </w:tc>
              <w:tc>
                <w:tcPr>
                  <w:tcW w:w="997" w:type="pct"/>
                  <w:vMerge w:val="continue"/>
                  <w:shd w:val="clear" w:color="auto" w:fill="auto"/>
                  <w:vAlign w:val="center"/>
                </w:tcPr>
                <w:p>
                  <w:pPr>
                    <w:pStyle w:val="63"/>
                    <w:rPr>
                      <w:color w:val="auto"/>
                    </w:rPr>
                  </w:pPr>
                </w:p>
              </w:tc>
              <w:tc>
                <w:tcPr>
                  <w:tcW w:w="583" w:type="pct"/>
                  <w:shd w:val="clear" w:color="auto" w:fill="auto"/>
                  <w:vAlign w:val="center"/>
                </w:tcPr>
                <w:p>
                  <w:pPr>
                    <w:pStyle w:val="63"/>
                    <w:rPr>
                      <w:color w:val="auto"/>
                    </w:rPr>
                  </w:pPr>
                  <w:r>
                    <w:rPr>
                      <w:color w:val="auto"/>
                    </w:rPr>
                    <w:t>颗粒物</w:t>
                  </w:r>
                </w:p>
              </w:tc>
              <w:tc>
                <w:tcPr>
                  <w:tcW w:w="502" w:type="pct"/>
                  <w:shd w:val="clear" w:color="auto" w:fill="auto"/>
                  <w:vAlign w:val="center"/>
                </w:tcPr>
                <w:p>
                  <w:pPr>
                    <w:pStyle w:val="63"/>
                    <w:rPr>
                      <w:color w:val="auto"/>
                    </w:rPr>
                  </w:pPr>
                  <w:r>
                    <w:rPr>
                      <w:color w:val="auto"/>
                    </w:rPr>
                    <w:t>SO</w:t>
                  </w:r>
                  <w:r>
                    <w:rPr>
                      <w:color w:val="auto"/>
                      <w:vertAlign w:val="subscript"/>
                    </w:rPr>
                    <w:t>2</w:t>
                  </w:r>
                </w:p>
              </w:tc>
              <w:tc>
                <w:tcPr>
                  <w:tcW w:w="723" w:type="pct"/>
                  <w:shd w:val="clear" w:color="auto" w:fill="auto"/>
                  <w:vAlign w:val="center"/>
                </w:tcPr>
                <w:p>
                  <w:pPr>
                    <w:pStyle w:val="63"/>
                    <w:rPr>
                      <w:color w:val="auto"/>
                    </w:rPr>
                  </w:pPr>
                  <w:r>
                    <w:rPr>
                      <w:color w:val="auto"/>
                    </w:rPr>
                    <w:t>NOx</w:t>
                  </w:r>
                </w:p>
              </w:tc>
              <w:tc>
                <w:tcPr>
                  <w:tcW w:w="1313" w:type="pct"/>
                  <w:vMerge w:val="continue"/>
                  <w:shd w:val="clear" w:color="auto" w:fill="auto"/>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3" w:type="pct"/>
                  <w:shd w:val="clear" w:color="auto" w:fill="auto"/>
                  <w:vAlign w:val="center"/>
                </w:tcPr>
                <w:p>
                  <w:pPr>
                    <w:pStyle w:val="63"/>
                    <w:rPr>
                      <w:color w:val="auto"/>
                    </w:rPr>
                  </w:pPr>
                  <w:r>
                    <w:rPr>
                      <w:color w:val="auto"/>
                    </w:rPr>
                    <w:t>1</w:t>
                  </w:r>
                </w:p>
              </w:tc>
              <w:tc>
                <w:tcPr>
                  <w:tcW w:w="579" w:type="pct"/>
                  <w:shd w:val="clear" w:color="auto" w:fill="auto"/>
                  <w:vAlign w:val="center"/>
                </w:tcPr>
                <w:p>
                  <w:pPr>
                    <w:pStyle w:val="63"/>
                    <w:rPr>
                      <w:color w:val="auto"/>
                    </w:rPr>
                  </w:pPr>
                  <w:r>
                    <w:rPr>
                      <w:color w:val="auto"/>
                    </w:rPr>
                    <w:t>DA001</w:t>
                  </w:r>
                </w:p>
              </w:tc>
              <w:tc>
                <w:tcPr>
                  <w:tcW w:w="997" w:type="pct"/>
                  <w:shd w:val="clear" w:color="auto" w:fill="auto"/>
                  <w:vAlign w:val="center"/>
                </w:tcPr>
                <w:p>
                  <w:pPr>
                    <w:pStyle w:val="63"/>
                    <w:rPr>
                      <w:color w:val="auto"/>
                    </w:rPr>
                  </w:pPr>
                  <w:r>
                    <w:rPr>
                      <w:color w:val="auto"/>
                    </w:rPr>
                    <w:t>热处理炉烟气排放口</w:t>
                  </w:r>
                </w:p>
              </w:tc>
              <w:tc>
                <w:tcPr>
                  <w:tcW w:w="583" w:type="pct"/>
                  <w:shd w:val="clear" w:color="auto" w:fill="auto"/>
                  <w:vAlign w:val="center"/>
                </w:tcPr>
                <w:p>
                  <w:pPr>
                    <w:pStyle w:val="63"/>
                    <w:rPr>
                      <w:color w:val="auto"/>
                    </w:rPr>
                  </w:pPr>
                  <w:r>
                    <w:rPr>
                      <w:color w:val="auto"/>
                    </w:rPr>
                    <w:t>0.04</w:t>
                  </w:r>
                </w:p>
              </w:tc>
              <w:tc>
                <w:tcPr>
                  <w:tcW w:w="502" w:type="pct"/>
                  <w:shd w:val="clear" w:color="auto" w:fill="auto"/>
                  <w:vAlign w:val="center"/>
                </w:tcPr>
                <w:p>
                  <w:pPr>
                    <w:pStyle w:val="63"/>
                    <w:rPr>
                      <w:color w:val="auto"/>
                    </w:rPr>
                  </w:pPr>
                  <w:r>
                    <w:rPr>
                      <w:color w:val="auto"/>
                    </w:rPr>
                    <w:t>0.02</w:t>
                  </w:r>
                </w:p>
              </w:tc>
              <w:tc>
                <w:tcPr>
                  <w:tcW w:w="723" w:type="pct"/>
                  <w:shd w:val="clear" w:color="auto" w:fill="auto"/>
                  <w:vAlign w:val="center"/>
                </w:tcPr>
                <w:p>
                  <w:pPr>
                    <w:pStyle w:val="63"/>
                    <w:rPr>
                      <w:color w:val="auto"/>
                    </w:rPr>
                  </w:pPr>
                  <w:r>
                    <w:rPr>
                      <w:color w:val="auto"/>
                    </w:rPr>
                    <w:t>100.8</w:t>
                  </w:r>
                </w:p>
              </w:tc>
              <w:tc>
                <w:tcPr>
                  <w:tcW w:w="1313" w:type="pct"/>
                  <w:vMerge w:val="restart"/>
                  <w:shd w:val="clear" w:color="auto" w:fill="auto"/>
                  <w:vAlign w:val="center"/>
                </w:tcPr>
                <w:p>
                  <w:pPr>
                    <w:pStyle w:val="63"/>
                    <w:rPr>
                      <w:color w:val="auto"/>
                    </w:rPr>
                  </w:pPr>
                  <w:r>
                    <w:rPr>
                      <w:rFonts w:hint="eastAsia"/>
                      <w:color w:val="auto"/>
                    </w:rPr>
                    <w:t>年产1</w:t>
                  </w:r>
                  <w:r>
                    <w:rPr>
                      <w:color w:val="auto"/>
                    </w:rPr>
                    <w:t>40</w:t>
                  </w:r>
                  <w:r>
                    <w:rPr>
                      <w:rFonts w:hint="eastAsia"/>
                      <w:color w:val="auto"/>
                    </w:rPr>
                    <w:t>万吨热轧生产线建设项目环评</w:t>
                  </w:r>
                  <w:r>
                    <w:rPr>
                      <w:rFonts w:hint="eastAsia"/>
                      <w:color w:val="auto"/>
                      <w:lang w:eastAsia="zh-CN"/>
                    </w:rPr>
                    <w:t>批复</w:t>
                  </w:r>
                  <w:r>
                    <w:rPr>
                      <w:rFonts w:hint="eastAsia"/>
                      <w:color w:val="auto"/>
                    </w:rPr>
                    <w:t>及</w:t>
                  </w:r>
                  <w:r>
                    <w:rPr>
                      <w:color w:val="auto"/>
                    </w:rPr>
                    <w:t>师宗县沃莱迪金属材料有限公司</w:t>
                  </w:r>
                  <w:r>
                    <w:rPr>
                      <w:rFonts w:hint="eastAsia"/>
                      <w:color w:val="auto"/>
                    </w:rPr>
                    <w:t>关于年产1</w:t>
                  </w:r>
                  <w:r>
                    <w:rPr>
                      <w:color w:val="auto"/>
                    </w:rPr>
                    <w:t>40</w:t>
                  </w:r>
                  <w:r>
                    <w:rPr>
                      <w:rFonts w:hint="eastAsia"/>
                      <w:color w:val="auto"/>
                    </w:rPr>
                    <w:t>万吨热轧生产线排气筒数量与环评不符的情况说明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3" w:type="pct"/>
                  <w:shd w:val="clear" w:color="auto" w:fill="auto"/>
                  <w:vAlign w:val="center"/>
                </w:tcPr>
                <w:p>
                  <w:pPr>
                    <w:pStyle w:val="63"/>
                    <w:rPr>
                      <w:color w:val="auto"/>
                    </w:rPr>
                  </w:pPr>
                  <w:r>
                    <w:rPr>
                      <w:color w:val="auto"/>
                    </w:rPr>
                    <w:t>2</w:t>
                  </w:r>
                </w:p>
              </w:tc>
              <w:tc>
                <w:tcPr>
                  <w:tcW w:w="579" w:type="pct"/>
                  <w:shd w:val="clear" w:color="auto" w:fill="auto"/>
                  <w:vAlign w:val="center"/>
                </w:tcPr>
                <w:p>
                  <w:pPr>
                    <w:pStyle w:val="63"/>
                    <w:rPr>
                      <w:color w:val="auto"/>
                    </w:rPr>
                  </w:pPr>
                  <w:r>
                    <w:rPr>
                      <w:color w:val="auto"/>
                    </w:rPr>
                    <w:t>DA002</w:t>
                  </w:r>
                </w:p>
              </w:tc>
              <w:tc>
                <w:tcPr>
                  <w:tcW w:w="997" w:type="pct"/>
                  <w:shd w:val="clear" w:color="auto" w:fill="auto"/>
                  <w:vAlign w:val="center"/>
                </w:tcPr>
                <w:p>
                  <w:pPr>
                    <w:pStyle w:val="63"/>
                    <w:rPr>
                      <w:color w:val="auto"/>
                    </w:rPr>
                  </w:pPr>
                  <w:r>
                    <w:rPr>
                      <w:color w:val="auto"/>
                    </w:rPr>
                    <w:t>卷取炉废气排放口</w:t>
                  </w:r>
                </w:p>
              </w:tc>
              <w:tc>
                <w:tcPr>
                  <w:tcW w:w="583" w:type="pct"/>
                  <w:shd w:val="clear" w:color="auto" w:fill="auto"/>
                  <w:vAlign w:val="center"/>
                </w:tcPr>
                <w:p>
                  <w:pPr>
                    <w:pStyle w:val="63"/>
                    <w:rPr>
                      <w:color w:val="auto"/>
                    </w:rPr>
                  </w:pPr>
                  <w:r>
                    <w:rPr>
                      <w:color w:val="auto"/>
                    </w:rPr>
                    <w:t>1.19</w:t>
                  </w:r>
                </w:p>
              </w:tc>
              <w:tc>
                <w:tcPr>
                  <w:tcW w:w="502" w:type="pct"/>
                  <w:shd w:val="clear" w:color="auto" w:fill="auto"/>
                  <w:vAlign w:val="center"/>
                </w:tcPr>
                <w:p>
                  <w:pPr>
                    <w:pStyle w:val="63"/>
                    <w:rPr>
                      <w:color w:val="auto"/>
                    </w:rPr>
                  </w:pPr>
                  <w:r>
                    <w:rPr>
                      <w:color w:val="auto"/>
                    </w:rPr>
                    <w:t>2.8</w:t>
                  </w:r>
                </w:p>
              </w:tc>
              <w:tc>
                <w:tcPr>
                  <w:tcW w:w="723" w:type="pct"/>
                  <w:shd w:val="clear" w:color="auto" w:fill="auto"/>
                  <w:vAlign w:val="center"/>
                </w:tcPr>
                <w:p>
                  <w:pPr>
                    <w:pStyle w:val="63"/>
                    <w:rPr>
                      <w:color w:val="auto"/>
                    </w:rPr>
                  </w:pPr>
                  <w:r>
                    <w:rPr>
                      <w:color w:val="auto"/>
                    </w:rPr>
                    <w:t>100.8</w:t>
                  </w:r>
                </w:p>
              </w:tc>
              <w:tc>
                <w:tcPr>
                  <w:tcW w:w="1313" w:type="pct"/>
                  <w:vMerge w:val="continue"/>
                  <w:shd w:val="clear" w:color="auto" w:fill="auto"/>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3" w:type="pct"/>
                  <w:shd w:val="clear" w:color="auto" w:fill="auto"/>
                  <w:vAlign w:val="center"/>
                </w:tcPr>
                <w:p>
                  <w:pPr>
                    <w:pStyle w:val="63"/>
                    <w:rPr>
                      <w:color w:val="auto"/>
                    </w:rPr>
                  </w:pPr>
                  <w:r>
                    <w:rPr>
                      <w:color w:val="auto"/>
                    </w:rPr>
                    <w:t>3</w:t>
                  </w:r>
                </w:p>
              </w:tc>
              <w:tc>
                <w:tcPr>
                  <w:tcW w:w="579" w:type="pct"/>
                  <w:shd w:val="clear" w:color="auto" w:fill="auto"/>
                  <w:vAlign w:val="center"/>
                </w:tcPr>
                <w:p>
                  <w:pPr>
                    <w:pStyle w:val="63"/>
                    <w:rPr>
                      <w:color w:val="auto"/>
                    </w:rPr>
                  </w:pPr>
                  <w:r>
                    <w:rPr>
                      <w:color w:val="auto"/>
                    </w:rPr>
                    <w:t>DA003</w:t>
                  </w:r>
                </w:p>
              </w:tc>
              <w:tc>
                <w:tcPr>
                  <w:tcW w:w="997" w:type="pct"/>
                  <w:shd w:val="clear" w:color="auto" w:fill="auto"/>
                  <w:vAlign w:val="center"/>
                </w:tcPr>
                <w:p>
                  <w:pPr>
                    <w:pStyle w:val="63"/>
                    <w:rPr>
                      <w:color w:val="auto"/>
                    </w:rPr>
                  </w:pPr>
                  <w:r>
                    <w:rPr>
                      <w:color w:val="auto"/>
                    </w:rPr>
                    <w:t>热退火炉废气排放口</w:t>
                  </w:r>
                </w:p>
              </w:tc>
              <w:tc>
                <w:tcPr>
                  <w:tcW w:w="583" w:type="pct"/>
                  <w:shd w:val="clear" w:color="auto" w:fill="auto"/>
                  <w:vAlign w:val="center"/>
                </w:tcPr>
                <w:p>
                  <w:pPr>
                    <w:pStyle w:val="63"/>
                    <w:rPr>
                      <w:color w:val="auto"/>
                    </w:rPr>
                  </w:pPr>
                  <w:r>
                    <w:rPr>
                      <w:color w:val="auto"/>
                    </w:rPr>
                    <w:t>1.88</w:t>
                  </w:r>
                </w:p>
              </w:tc>
              <w:tc>
                <w:tcPr>
                  <w:tcW w:w="502" w:type="pct"/>
                  <w:shd w:val="clear" w:color="auto" w:fill="auto"/>
                  <w:vAlign w:val="center"/>
                </w:tcPr>
                <w:p>
                  <w:pPr>
                    <w:pStyle w:val="63"/>
                    <w:rPr>
                      <w:color w:val="auto"/>
                    </w:rPr>
                  </w:pPr>
                  <w:r>
                    <w:rPr>
                      <w:color w:val="auto"/>
                    </w:rPr>
                    <w:t>5.85</w:t>
                  </w:r>
                </w:p>
              </w:tc>
              <w:tc>
                <w:tcPr>
                  <w:tcW w:w="723" w:type="pct"/>
                  <w:shd w:val="clear" w:color="auto" w:fill="auto"/>
                  <w:vAlign w:val="center"/>
                </w:tcPr>
                <w:p>
                  <w:pPr>
                    <w:pStyle w:val="63"/>
                    <w:rPr>
                      <w:color w:val="auto"/>
                    </w:rPr>
                  </w:pPr>
                  <w:r>
                    <w:rPr>
                      <w:color w:val="auto"/>
                    </w:rPr>
                    <w:t>7.5</w:t>
                  </w:r>
                </w:p>
              </w:tc>
              <w:tc>
                <w:tcPr>
                  <w:tcW w:w="1313" w:type="pct"/>
                  <w:vMerge w:val="restart"/>
                  <w:shd w:val="clear" w:color="auto" w:fill="auto"/>
                  <w:vAlign w:val="center"/>
                </w:tcPr>
                <w:p>
                  <w:pPr>
                    <w:pStyle w:val="63"/>
                    <w:rPr>
                      <w:color w:val="auto"/>
                    </w:rPr>
                  </w:pPr>
                  <w:r>
                    <w:rPr>
                      <w:rFonts w:hint="eastAsia"/>
                      <w:color w:val="auto"/>
                    </w:rPr>
                    <w:t>年产3</w:t>
                  </w:r>
                  <w:r>
                    <w:rPr>
                      <w:color w:val="auto"/>
                    </w:rPr>
                    <w:t>0</w:t>
                  </w:r>
                  <w:r>
                    <w:rPr>
                      <w:rFonts w:hint="eastAsia"/>
                      <w:color w:val="auto"/>
                    </w:rPr>
                    <w:t>万吨热退火酸洗生产线建设项目环评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3" w:type="pct"/>
                  <w:shd w:val="clear" w:color="auto" w:fill="auto"/>
                  <w:vAlign w:val="center"/>
                </w:tcPr>
                <w:p>
                  <w:pPr>
                    <w:pStyle w:val="63"/>
                    <w:rPr>
                      <w:color w:val="auto"/>
                    </w:rPr>
                  </w:pPr>
                  <w:r>
                    <w:rPr>
                      <w:color w:val="auto"/>
                    </w:rPr>
                    <w:t>4</w:t>
                  </w:r>
                </w:p>
              </w:tc>
              <w:tc>
                <w:tcPr>
                  <w:tcW w:w="579" w:type="pct"/>
                  <w:shd w:val="clear" w:color="auto" w:fill="auto"/>
                  <w:vAlign w:val="center"/>
                </w:tcPr>
                <w:p>
                  <w:pPr>
                    <w:pStyle w:val="63"/>
                    <w:rPr>
                      <w:color w:val="auto"/>
                    </w:rPr>
                  </w:pPr>
                  <w:r>
                    <w:rPr>
                      <w:color w:val="auto"/>
                    </w:rPr>
                    <w:t>DA004</w:t>
                  </w:r>
                </w:p>
              </w:tc>
              <w:tc>
                <w:tcPr>
                  <w:tcW w:w="997" w:type="pct"/>
                  <w:shd w:val="clear" w:color="auto" w:fill="auto"/>
                  <w:vAlign w:val="center"/>
                </w:tcPr>
                <w:p>
                  <w:pPr>
                    <w:pStyle w:val="63"/>
                    <w:rPr>
                      <w:color w:val="auto"/>
                    </w:rPr>
                  </w:pPr>
                  <w:r>
                    <w:rPr>
                      <w:color w:val="auto"/>
                    </w:rPr>
                    <w:t>气冷废气排放口</w:t>
                  </w:r>
                </w:p>
              </w:tc>
              <w:tc>
                <w:tcPr>
                  <w:tcW w:w="583" w:type="pct"/>
                  <w:shd w:val="clear" w:color="auto" w:fill="auto"/>
                  <w:vAlign w:val="center"/>
                </w:tcPr>
                <w:p>
                  <w:pPr>
                    <w:pStyle w:val="63"/>
                    <w:rPr>
                      <w:color w:val="auto"/>
                    </w:rPr>
                  </w:pPr>
                  <w:r>
                    <w:rPr>
                      <w:color w:val="auto"/>
                    </w:rPr>
                    <w:t>1.46</w:t>
                  </w:r>
                </w:p>
              </w:tc>
              <w:tc>
                <w:tcPr>
                  <w:tcW w:w="502" w:type="pct"/>
                  <w:shd w:val="clear" w:color="auto" w:fill="auto"/>
                  <w:vAlign w:val="center"/>
                </w:tcPr>
                <w:p>
                  <w:pPr>
                    <w:pStyle w:val="63"/>
                    <w:rPr>
                      <w:color w:val="auto"/>
                    </w:rPr>
                  </w:pPr>
                  <w:r>
                    <w:rPr>
                      <w:color w:val="auto"/>
                    </w:rPr>
                    <w:t>/</w:t>
                  </w:r>
                </w:p>
              </w:tc>
              <w:tc>
                <w:tcPr>
                  <w:tcW w:w="723" w:type="pct"/>
                  <w:shd w:val="clear" w:color="auto" w:fill="auto"/>
                  <w:vAlign w:val="center"/>
                </w:tcPr>
                <w:p>
                  <w:pPr>
                    <w:pStyle w:val="63"/>
                    <w:rPr>
                      <w:color w:val="auto"/>
                    </w:rPr>
                  </w:pPr>
                  <w:r>
                    <w:rPr>
                      <w:color w:val="auto"/>
                    </w:rPr>
                    <w:t>/</w:t>
                  </w:r>
                </w:p>
              </w:tc>
              <w:tc>
                <w:tcPr>
                  <w:tcW w:w="1313" w:type="pct"/>
                  <w:vMerge w:val="continue"/>
                  <w:shd w:val="clear" w:color="auto" w:fill="auto"/>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3" w:type="pct"/>
                  <w:shd w:val="clear" w:color="auto" w:fill="auto"/>
                  <w:vAlign w:val="center"/>
                </w:tcPr>
                <w:p>
                  <w:pPr>
                    <w:pStyle w:val="63"/>
                    <w:rPr>
                      <w:color w:val="auto"/>
                    </w:rPr>
                  </w:pPr>
                  <w:r>
                    <w:rPr>
                      <w:color w:val="auto"/>
                    </w:rPr>
                    <w:t>5</w:t>
                  </w:r>
                </w:p>
              </w:tc>
              <w:tc>
                <w:tcPr>
                  <w:tcW w:w="579" w:type="pct"/>
                  <w:shd w:val="clear" w:color="auto" w:fill="auto"/>
                  <w:vAlign w:val="center"/>
                </w:tcPr>
                <w:p>
                  <w:pPr>
                    <w:pStyle w:val="63"/>
                    <w:rPr>
                      <w:color w:val="auto"/>
                    </w:rPr>
                  </w:pPr>
                  <w:r>
                    <w:rPr>
                      <w:color w:val="auto"/>
                    </w:rPr>
                    <w:t>DA005</w:t>
                  </w:r>
                </w:p>
              </w:tc>
              <w:tc>
                <w:tcPr>
                  <w:tcW w:w="997" w:type="pct"/>
                  <w:shd w:val="clear" w:color="auto" w:fill="auto"/>
                  <w:vAlign w:val="center"/>
                </w:tcPr>
                <w:p>
                  <w:pPr>
                    <w:pStyle w:val="63"/>
                    <w:rPr>
                      <w:color w:val="auto"/>
                    </w:rPr>
                  </w:pPr>
                  <w:r>
                    <w:rPr>
                      <w:color w:val="auto"/>
                    </w:rPr>
                    <w:t>抛丸废气排放口</w:t>
                  </w:r>
                </w:p>
              </w:tc>
              <w:tc>
                <w:tcPr>
                  <w:tcW w:w="583" w:type="pct"/>
                  <w:shd w:val="clear" w:color="auto" w:fill="auto"/>
                  <w:vAlign w:val="center"/>
                </w:tcPr>
                <w:p>
                  <w:pPr>
                    <w:pStyle w:val="63"/>
                    <w:rPr>
                      <w:color w:val="auto"/>
                    </w:rPr>
                  </w:pPr>
                  <w:r>
                    <w:rPr>
                      <w:color w:val="auto"/>
                    </w:rPr>
                    <w:t>0.729</w:t>
                  </w:r>
                </w:p>
              </w:tc>
              <w:tc>
                <w:tcPr>
                  <w:tcW w:w="502" w:type="pct"/>
                  <w:shd w:val="clear" w:color="auto" w:fill="auto"/>
                  <w:vAlign w:val="center"/>
                </w:tcPr>
                <w:p>
                  <w:pPr>
                    <w:pStyle w:val="63"/>
                    <w:rPr>
                      <w:color w:val="auto"/>
                    </w:rPr>
                  </w:pPr>
                  <w:r>
                    <w:rPr>
                      <w:color w:val="auto"/>
                    </w:rPr>
                    <w:t>/</w:t>
                  </w:r>
                </w:p>
              </w:tc>
              <w:tc>
                <w:tcPr>
                  <w:tcW w:w="723" w:type="pct"/>
                  <w:shd w:val="clear" w:color="auto" w:fill="auto"/>
                  <w:vAlign w:val="center"/>
                </w:tcPr>
                <w:p>
                  <w:pPr>
                    <w:pStyle w:val="63"/>
                    <w:rPr>
                      <w:color w:val="auto"/>
                    </w:rPr>
                  </w:pPr>
                  <w:r>
                    <w:rPr>
                      <w:color w:val="auto"/>
                    </w:rPr>
                    <w:t>/</w:t>
                  </w:r>
                </w:p>
              </w:tc>
              <w:tc>
                <w:tcPr>
                  <w:tcW w:w="1313" w:type="pct"/>
                  <w:vMerge w:val="continue"/>
                  <w:shd w:val="clear" w:color="auto" w:fill="auto"/>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3" w:type="pct"/>
                  <w:shd w:val="clear" w:color="auto" w:fill="auto"/>
                  <w:vAlign w:val="center"/>
                </w:tcPr>
                <w:p>
                  <w:pPr>
                    <w:pStyle w:val="63"/>
                    <w:rPr>
                      <w:color w:val="auto"/>
                    </w:rPr>
                  </w:pPr>
                  <w:r>
                    <w:rPr>
                      <w:color w:val="auto"/>
                    </w:rPr>
                    <w:t>6</w:t>
                  </w:r>
                </w:p>
              </w:tc>
              <w:tc>
                <w:tcPr>
                  <w:tcW w:w="579" w:type="pct"/>
                  <w:shd w:val="clear" w:color="auto" w:fill="auto"/>
                  <w:vAlign w:val="center"/>
                </w:tcPr>
                <w:p>
                  <w:pPr>
                    <w:pStyle w:val="63"/>
                    <w:rPr>
                      <w:color w:val="auto"/>
                    </w:rPr>
                  </w:pPr>
                  <w:r>
                    <w:rPr>
                      <w:color w:val="auto"/>
                    </w:rPr>
                    <w:t>DA007</w:t>
                  </w:r>
                </w:p>
              </w:tc>
              <w:tc>
                <w:tcPr>
                  <w:tcW w:w="997" w:type="pct"/>
                  <w:shd w:val="clear" w:color="auto" w:fill="auto"/>
                  <w:vAlign w:val="center"/>
                </w:tcPr>
                <w:p>
                  <w:pPr>
                    <w:pStyle w:val="63"/>
                    <w:rPr>
                      <w:color w:val="auto"/>
                    </w:rPr>
                  </w:pPr>
                  <w:r>
                    <w:rPr>
                      <w:color w:val="auto"/>
                    </w:rPr>
                    <w:t>退火炉废气排放口</w:t>
                  </w:r>
                </w:p>
              </w:tc>
              <w:tc>
                <w:tcPr>
                  <w:tcW w:w="583" w:type="pct"/>
                  <w:shd w:val="clear" w:color="auto" w:fill="auto"/>
                  <w:vAlign w:val="center"/>
                </w:tcPr>
                <w:p>
                  <w:pPr>
                    <w:pStyle w:val="63"/>
                    <w:rPr>
                      <w:color w:val="auto"/>
                    </w:rPr>
                  </w:pPr>
                  <w:r>
                    <w:rPr>
                      <w:color w:val="auto"/>
                    </w:rPr>
                    <w:t>0.0013</w:t>
                  </w:r>
                </w:p>
              </w:tc>
              <w:tc>
                <w:tcPr>
                  <w:tcW w:w="502" w:type="pct"/>
                  <w:shd w:val="clear" w:color="auto" w:fill="auto"/>
                  <w:vAlign w:val="center"/>
                </w:tcPr>
                <w:p>
                  <w:pPr>
                    <w:pStyle w:val="63"/>
                    <w:rPr>
                      <w:color w:val="auto"/>
                    </w:rPr>
                  </w:pPr>
                  <w:r>
                    <w:rPr>
                      <w:color w:val="auto"/>
                    </w:rPr>
                    <w:t>0.268</w:t>
                  </w:r>
                </w:p>
              </w:tc>
              <w:tc>
                <w:tcPr>
                  <w:tcW w:w="723" w:type="pct"/>
                  <w:shd w:val="clear" w:color="auto" w:fill="auto"/>
                  <w:vAlign w:val="center"/>
                </w:tcPr>
                <w:p>
                  <w:pPr>
                    <w:pStyle w:val="63"/>
                    <w:rPr>
                      <w:color w:val="auto"/>
                    </w:rPr>
                  </w:pPr>
                  <w:r>
                    <w:rPr>
                      <w:color w:val="auto"/>
                    </w:rPr>
                    <w:t>4.028</w:t>
                  </w:r>
                </w:p>
              </w:tc>
              <w:tc>
                <w:tcPr>
                  <w:tcW w:w="1313" w:type="pct"/>
                  <w:shd w:val="clear" w:color="auto" w:fill="auto"/>
                  <w:vAlign w:val="center"/>
                </w:tcPr>
                <w:p>
                  <w:pPr>
                    <w:pStyle w:val="63"/>
                    <w:rPr>
                      <w:color w:val="auto"/>
                    </w:rPr>
                  </w:pPr>
                  <w:r>
                    <w:rPr>
                      <w:color w:val="auto"/>
                    </w:rPr>
                    <w:t>不锈钢卷隧道式退火炉</w:t>
                  </w:r>
                  <w:r>
                    <w:rPr>
                      <w:rFonts w:hint="eastAsia"/>
                      <w:color w:val="auto"/>
                    </w:rPr>
                    <w:t>建设项目环评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9" w:type="pct"/>
                  <w:gridSpan w:val="3"/>
                  <w:shd w:val="clear" w:color="auto" w:fill="auto"/>
                  <w:vAlign w:val="center"/>
                </w:tcPr>
                <w:p>
                  <w:pPr>
                    <w:pStyle w:val="63"/>
                    <w:rPr>
                      <w:color w:val="auto"/>
                    </w:rPr>
                  </w:pPr>
                  <w:r>
                    <w:rPr>
                      <w:color w:val="auto"/>
                    </w:rPr>
                    <w:t>合计</w:t>
                  </w:r>
                </w:p>
              </w:tc>
              <w:tc>
                <w:tcPr>
                  <w:tcW w:w="583" w:type="pct"/>
                  <w:shd w:val="clear" w:color="auto" w:fill="auto"/>
                  <w:vAlign w:val="center"/>
                </w:tcPr>
                <w:p>
                  <w:pPr>
                    <w:pStyle w:val="63"/>
                    <w:rPr>
                      <w:color w:val="auto"/>
                    </w:rPr>
                  </w:pPr>
                  <w:r>
                    <w:rPr>
                      <w:color w:val="auto"/>
                    </w:rPr>
                    <w:t>5.3003</w:t>
                  </w:r>
                </w:p>
              </w:tc>
              <w:tc>
                <w:tcPr>
                  <w:tcW w:w="502" w:type="pct"/>
                  <w:shd w:val="clear" w:color="auto" w:fill="auto"/>
                  <w:vAlign w:val="center"/>
                </w:tcPr>
                <w:p>
                  <w:pPr>
                    <w:pStyle w:val="63"/>
                    <w:rPr>
                      <w:color w:val="auto"/>
                    </w:rPr>
                  </w:pPr>
                  <w:r>
                    <w:rPr>
                      <w:color w:val="auto"/>
                    </w:rPr>
                    <w:t>8.938</w:t>
                  </w:r>
                </w:p>
              </w:tc>
              <w:tc>
                <w:tcPr>
                  <w:tcW w:w="723" w:type="pct"/>
                  <w:shd w:val="clear" w:color="auto" w:fill="auto"/>
                  <w:vAlign w:val="center"/>
                </w:tcPr>
                <w:p>
                  <w:pPr>
                    <w:pStyle w:val="63"/>
                    <w:rPr>
                      <w:color w:val="auto"/>
                    </w:rPr>
                  </w:pPr>
                  <w:r>
                    <w:rPr>
                      <w:color w:val="auto"/>
                    </w:rPr>
                    <w:t>213.128</w:t>
                  </w:r>
                </w:p>
              </w:tc>
              <w:tc>
                <w:tcPr>
                  <w:tcW w:w="1313" w:type="pct"/>
                  <w:shd w:val="clear" w:color="auto" w:fill="auto"/>
                  <w:vAlign w:val="center"/>
                </w:tcPr>
                <w:p>
                  <w:pPr>
                    <w:pStyle w:val="63"/>
                    <w:rPr>
                      <w:color w:val="auto"/>
                    </w:rPr>
                  </w:pPr>
                  <w:r>
                    <w:rPr>
                      <w:rFonts w:hint="eastAsia"/>
                      <w:color w:val="auto"/>
                    </w:rPr>
                    <w:t>/</w:t>
                  </w:r>
                </w:p>
              </w:tc>
            </w:tr>
          </w:tbl>
          <w:p>
            <w:pPr>
              <w:pStyle w:val="56"/>
              <w:spacing w:before="60" w:after="60"/>
              <w:rPr>
                <w:color w:val="auto"/>
              </w:rPr>
            </w:pPr>
            <w:r>
              <w:rPr>
                <w:rFonts w:hint="eastAsia"/>
                <w:color w:val="auto"/>
              </w:rPr>
              <w:t>2</w:t>
            </w:r>
            <w:r>
              <w:rPr>
                <w:color w:val="auto"/>
              </w:rPr>
              <w:t>.3.7</w:t>
            </w:r>
            <w:r>
              <w:rPr>
                <w:rFonts w:hint="eastAsia"/>
                <w:color w:val="auto"/>
              </w:rPr>
              <w:t>与项目有关的主要环境问题</w:t>
            </w:r>
          </w:p>
          <w:p>
            <w:pPr>
              <w:ind w:firstLine="480"/>
              <w:rPr>
                <w:color w:val="auto"/>
              </w:rPr>
            </w:pPr>
            <w:r>
              <w:rPr>
                <w:rFonts w:hint="eastAsia"/>
                <w:color w:val="auto"/>
              </w:rPr>
              <w:t>根据现场调查，现有工程已经落实环评及批复相关要求，废气、废水、噪声、固废措施满足排污许可证有关要求，不存在需整改的环境问题。</w:t>
            </w:r>
          </w:p>
          <w:p>
            <w:pPr>
              <w:pStyle w:val="63"/>
              <w:rPr>
                <w:color w:val="auto"/>
              </w:rPr>
            </w:pPr>
          </w:p>
          <w:p>
            <w:pPr>
              <w:pStyle w:val="63"/>
              <w:rPr>
                <w:color w:val="auto"/>
              </w:rPr>
            </w:pPr>
          </w:p>
          <w:p>
            <w:pPr>
              <w:pStyle w:val="63"/>
              <w:rPr>
                <w:color w:val="auto"/>
              </w:rPr>
            </w:pPr>
          </w:p>
          <w:p>
            <w:pPr>
              <w:pStyle w:val="63"/>
              <w:rPr>
                <w:color w:val="auto"/>
              </w:rPr>
            </w:pPr>
          </w:p>
          <w:p>
            <w:pPr>
              <w:pStyle w:val="63"/>
              <w:rPr>
                <w:color w:val="auto"/>
              </w:rPr>
            </w:pPr>
          </w:p>
          <w:p>
            <w:pPr>
              <w:pStyle w:val="63"/>
              <w:rPr>
                <w:color w:val="auto"/>
              </w:rPr>
            </w:pPr>
          </w:p>
          <w:p>
            <w:pPr>
              <w:pStyle w:val="63"/>
              <w:rPr>
                <w:color w:val="auto"/>
              </w:rPr>
            </w:pPr>
          </w:p>
          <w:p>
            <w:pPr>
              <w:pStyle w:val="63"/>
              <w:rPr>
                <w:color w:val="auto"/>
              </w:rPr>
            </w:pPr>
          </w:p>
          <w:p>
            <w:pPr>
              <w:pStyle w:val="63"/>
              <w:rPr>
                <w:color w:val="auto"/>
              </w:rPr>
            </w:pPr>
          </w:p>
          <w:p>
            <w:pPr>
              <w:pStyle w:val="63"/>
              <w:rPr>
                <w:color w:val="auto"/>
              </w:rPr>
            </w:pPr>
          </w:p>
          <w:p>
            <w:pPr>
              <w:pStyle w:val="63"/>
              <w:rPr>
                <w:color w:val="auto"/>
              </w:rPr>
            </w:pPr>
          </w:p>
          <w:p>
            <w:pPr>
              <w:pStyle w:val="63"/>
              <w:rPr>
                <w:color w:val="auto"/>
              </w:rPr>
            </w:pPr>
          </w:p>
          <w:p>
            <w:pPr>
              <w:pStyle w:val="63"/>
              <w:rPr>
                <w:color w:val="auto"/>
              </w:rPr>
            </w:pPr>
          </w:p>
          <w:p>
            <w:pPr>
              <w:pStyle w:val="63"/>
              <w:rPr>
                <w:color w:val="auto"/>
              </w:rPr>
            </w:pPr>
          </w:p>
          <w:p>
            <w:pPr>
              <w:pStyle w:val="63"/>
              <w:rPr>
                <w:color w:val="auto"/>
              </w:rPr>
            </w:pPr>
          </w:p>
          <w:p>
            <w:pPr>
              <w:pStyle w:val="63"/>
              <w:rPr>
                <w:color w:val="auto"/>
                <w:lang w:eastAsia="zh-CN"/>
              </w:rPr>
            </w:pPr>
            <w:r>
              <w:rPr>
                <w:rFonts w:hint="eastAsia"/>
                <w:color w:val="auto"/>
                <w:lang w:eastAsia="zh-CN"/>
              </w:rPr>
              <w:t xml:space="preserve"> </w:t>
            </w:r>
            <w:r>
              <w:rPr>
                <w:color w:val="auto"/>
                <w:lang w:eastAsia="zh-CN"/>
              </w:rPr>
              <w:t xml:space="preserve"> </w:t>
            </w:r>
          </w:p>
        </w:tc>
      </w:tr>
    </w:tbl>
    <w:p>
      <w:pPr>
        <w:ind w:firstLine="480"/>
        <w:jc w:val="center"/>
        <w:rPr>
          <w:color w:val="auto"/>
        </w:rPr>
      </w:pPr>
      <w:r>
        <w:rPr>
          <w:color w:val="auto"/>
        </w:rPr>
        <w:br w:type="page"/>
      </w:r>
    </w:p>
    <w:p>
      <w:pPr>
        <w:ind w:firstLine="480"/>
        <w:rPr>
          <w:color w:val="auto"/>
        </w:rPr>
        <w:sectPr>
          <w:pgSz w:w="11907" w:h="16840"/>
          <w:pgMar w:top="1440" w:right="1800" w:bottom="1440" w:left="1800" w:header="850" w:footer="850" w:gutter="0"/>
          <w:cols w:space="720" w:num="1"/>
          <w:docGrid w:linePitch="326" w:charSpace="0"/>
        </w:sectPr>
      </w:pPr>
    </w:p>
    <w:p>
      <w:pPr>
        <w:pStyle w:val="118"/>
        <w:rPr>
          <w:color w:val="auto"/>
        </w:rPr>
      </w:pPr>
      <w:bookmarkStart w:id="3" w:name="_Toc103860795"/>
      <w:r>
        <w:rPr>
          <w:rFonts w:hint="eastAsia"/>
          <w:color w:val="auto"/>
        </w:rPr>
        <w:t>三、区域环境质量现状、环境保护目标及评价标准</w:t>
      </w:r>
      <w:bookmarkEnd w:id="3"/>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0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74" w:type="pct"/>
            <w:vAlign w:val="center"/>
          </w:tcPr>
          <w:p>
            <w:pPr>
              <w:pStyle w:val="63"/>
              <w:rPr>
                <w:color w:val="auto"/>
                <w:sz w:val="24"/>
                <w:szCs w:val="24"/>
              </w:rPr>
            </w:pPr>
            <w:r>
              <w:rPr>
                <w:rFonts w:hint="eastAsia"/>
                <w:color w:val="auto"/>
                <w:sz w:val="24"/>
                <w:szCs w:val="24"/>
              </w:rPr>
              <w:t>区域环境质量现状</w:t>
            </w:r>
          </w:p>
        </w:tc>
        <w:tc>
          <w:tcPr>
            <w:tcW w:w="4726" w:type="pct"/>
            <w:vAlign w:val="center"/>
          </w:tcPr>
          <w:p>
            <w:pPr>
              <w:pStyle w:val="51"/>
              <w:spacing w:before="120" w:after="120"/>
              <w:rPr>
                <w:color w:val="auto"/>
              </w:rPr>
            </w:pPr>
            <w:r>
              <w:rPr>
                <w:rFonts w:hint="eastAsia"/>
                <w:color w:val="auto"/>
              </w:rPr>
              <w:t>3.1环境质量现状</w:t>
            </w:r>
          </w:p>
          <w:p>
            <w:pPr>
              <w:pStyle w:val="56"/>
              <w:spacing w:before="60" w:after="60"/>
              <w:rPr>
                <w:color w:val="auto"/>
              </w:rPr>
            </w:pPr>
            <w:r>
              <w:rPr>
                <w:rFonts w:hint="eastAsia"/>
                <w:color w:val="auto"/>
              </w:rPr>
              <w:t>3.1.1大气环境质量现状</w:t>
            </w:r>
          </w:p>
          <w:p>
            <w:pPr>
              <w:pStyle w:val="80"/>
              <w:ind w:firstLine="482"/>
              <w:rPr>
                <w:color w:val="auto"/>
              </w:rPr>
            </w:pPr>
            <w:r>
              <w:rPr>
                <w:rFonts w:hint="eastAsia"/>
                <w:color w:val="auto"/>
              </w:rPr>
              <w:t>1</w:t>
            </w:r>
            <w:r>
              <w:rPr>
                <w:color w:val="auto"/>
              </w:rPr>
              <w:t>.</w:t>
            </w:r>
            <w:r>
              <w:rPr>
                <w:rFonts w:hint="eastAsia"/>
                <w:color w:val="auto"/>
              </w:rPr>
              <w:t>区域环境质量现状</w:t>
            </w:r>
          </w:p>
          <w:p>
            <w:pPr>
              <w:ind w:firstLine="480"/>
              <w:rPr>
                <w:color w:val="auto"/>
              </w:rPr>
            </w:pPr>
            <w:r>
              <w:rPr>
                <w:color w:val="auto"/>
              </w:rPr>
              <w:t>本项目位于</w:t>
            </w:r>
            <w:r>
              <w:rPr>
                <w:rFonts w:hint="eastAsia"/>
                <w:color w:val="auto"/>
              </w:rPr>
              <w:t>云南师宗产业园区大同片区（云南天高镍业有限公司内）</w:t>
            </w:r>
            <w:r>
              <w:rPr>
                <w:color w:val="auto"/>
              </w:rPr>
              <w:t>，</w:t>
            </w:r>
            <w:r>
              <w:rPr>
                <w:rFonts w:hint="eastAsia"/>
                <w:color w:val="auto"/>
              </w:rPr>
              <w:t>属于大气环境质量二类功能区，项目区环境空气执行《环境空气质量标准》（</w:t>
            </w:r>
            <w:r>
              <w:rPr>
                <w:color w:val="auto"/>
              </w:rPr>
              <w:t>GB3095-2012</w:t>
            </w:r>
            <w:r>
              <w:rPr>
                <w:rFonts w:hint="eastAsia"/>
                <w:color w:val="auto"/>
              </w:rPr>
              <w:t>）及其修改单（生态环境部公告2018第29号）二级标准，标准值见下表。</w:t>
            </w:r>
          </w:p>
          <w:p>
            <w:pPr>
              <w:pStyle w:val="66"/>
              <w:rPr>
                <w:color w:val="auto"/>
              </w:rPr>
            </w:pPr>
            <w:r>
              <w:rPr>
                <w:color w:val="auto"/>
              </w:rPr>
              <w:t>表3.1-1 环境空气质量标准</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3" w:type="dxa"/>
              </w:tblCellMar>
            </w:tblPr>
            <w:tblGrid>
              <w:gridCol w:w="2018"/>
              <w:gridCol w:w="1865"/>
              <w:gridCol w:w="1853"/>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Align w:val="center"/>
                </w:tcPr>
                <w:p>
                  <w:pPr>
                    <w:pStyle w:val="63"/>
                    <w:rPr>
                      <w:color w:val="auto"/>
                    </w:rPr>
                  </w:pPr>
                  <w:r>
                    <w:rPr>
                      <w:color w:val="auto"/>
                    </w:rPr>
                    <w:t>污染物名称</w:t>
                  </w:r>
                </w:p>
              </w:tc>
              <w:tc>
                <w:tcPr>
                  <w:tcW w:w="1191" w:type="pct"/>
                  <w:vAlign w:val="center"/>
                </w:tcPr>
                <w:p>
                  <w:pPr>
                    <w:pStyle w:val="63"/>
                    <w:rPr>
                      <w:color w:val="auto"/>
                    </w:rPr>
                  </w:pPr>
                  <w:r>
                    <w:rPr>
                      <w:color w:val="auto"/>
                    </w:rPr>
                    <w:t>取值时间</w:t>
                  </w:r>
                </w:p>
              </w:tc>
              <w:tc>
                <w:tcPr>
                  <w:tcW w:w="1183" w:type="pct"/>
                  <w:vAlign w:val="center"/>
                </w:tcPr>
                <w:p>
                  <w:pPr>
                    <w:pStyle w:val="63"/>
                    <w:rPr>
                      <w:color w:val="auto"/>
                    </w:rPr>
                  </w:pPr>
                  <w:r>
                    <w:rPr>
                      <w:color w:val="auto"/>
                    </w:rPr>
                    <w:t>浓度限值</w:t>
                  </w:r>
                </w:p>
              </w:tc>
              <w:tc>
                <w:tcPr>
                  <w:tcW w:w="1337" w:type="pct"/>
                  <w:vAlign w:val="center"/>
                </w:tcPr>
                <w:p>
                  <w:pPr>
                    <w:pStyle w:val="63"/>
                    <w:rPr>
                      <w:color w:val="auto"/>
                    </w:rPr>
                  </w:pPr>
                  <w:r>
                    <w:rPr>
                      <w:color w:val="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3"/>
                    <w:rPr>
                      <w:color w:val="auto"/>
                    </w:rPr>
                  </w:pPr>
                  <w:r>
                    <w:rPr>
                      <w:color w:val="auto"/>
                    </w:rPr>
                    <w:t>总悬浮颗粒物（TSP）</w:t>
                  </w:r>
                </w:p>
              </w:tc>
              <w:tc>
                <w:tcPr>
                  <w:tcW w:w="1191" w:type="pct"/>
                  <w:vAlign w:val="center"/>
                </w:tcPr>
                <w:p>
                  <w:pPr>
                    <w:pStyle w:val="63"/>
                    <w:rPr>
                      <w:color w:val="auto"/>
                    </w:rPr>
                  </w:pPr>
                  <w:r>
                    <w:rPr>
                      <w:color w:val="auto"/>
                    </w:rPr>
                    <w:t>年平均</w:t>
                  </w:r>
                </w:p>
              </w:tc>
              <w:tc>
                <w:tcPr>
                  <w:tcW w:w="1183" w:type="pct"/>
                  <w:vAlign w:val="center"/>
                </w:tcPr>
                <w:p>
                  <w:pPr>
                    <w:pStyle w:val="63"/>
                    <w:rPr>
                      <w:color w:val="auto"/>
                    </w:rPr>
                  </w:pPr>
                  <w:r>
                    <w:rPr>
                      <w:color w:val="auto"/>
                    </w:rPr>
                    <w:t>200</w:t>
                  </w:r>
                  <w:r>
                    <w:rPr>
                      <w:bCs/>
                      <w:color w:val="auto"/>
                    </w:rPr>
                    <w:t>μg/m</w:t>
                  </w:r>
                  <w:r>
                    <w:rPr>
                      <w:bCs/>
                      <w:color w:val="auto"/>
                      <w:vertAlign w:val="superscript"/>
                    </w:rPr>
                    <w:t>3</w:t>
                  </w:r>
                </w:p>
              </w:tc>
              <w:tc>
                <w:tcPr>
                  <w:tcW w:w="1337" w:type="pct"/>
                  <w:vMerge w:val="restart"/>
                  <w:vAlign w:val="center"/>
                </w:tcPr>
                <w:p>
                  <w:pPr>
                    <w:pStyle w:val="63"/>
                    <w:rPr>
                      <w:color w:val="auto"/>
                    </w:rPr>
                  </w:pPr>
                  <w:r>
                    <w:rPr>
                      <w:color w:val="auto"/>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3"/>
                    <w:rPr>
                      <w:color w:val="auto"/>
                    </w:rPr>
                  </w:pPr>
                </w:p>
              </w:tc>
              <w:tc>
                <w:tcPr>
                  <w:tcW w:w="1191" w:type="pct"/>
                  <w:vAlign w:val="center"/>
                </w:tcPr>
                <w:p>
                  <w:pPr>
                    <w:pStyle w:val="63"/>
                    <w:rPr>
                      <w:color w:val="auto"/>
                    </w:rPr>
                  </w:pPr>
                  <w:r>
                    <w:rPr>
                      <w:color w:val="auto"/>
                    </w:rPr>
                    <w:t>24小时平均</w:t>
                  </w:r>
                </w:p>
              </w:tc>
              <w:tc>
                <w:tcPr>
                  <w:tcW w:w="1183" w:type="pct"/>
                  <w:vAlign w:val="center"/>
                </w:tcPr>
                <w:p>
                  <w:pPr>
                    <w:pStyle w:val="63"/>
                    <w:rPr>
                      <w:color w:val="auto"/>
                    </w:rPr>
                  </w:pPr>
                  <w:r>
                    <w:rPr>
                      <w:color w:val="auto"/>
                    </w:rPr>
                    <w:t>300</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3"/>
                    <w:rPr>
                      <w:color w:val="auto"/>
                    </w:rPr>
                  </w:pPr>
                  <w:r>
                    <w:rPr>
                      <w:color w:val="auto"/>
                    </w:rPr>
                    <w:t>细颗粒物(PM</w:t>
                  </w:r>
                  <w:r>
                    <w:rPr>
                      <w:color w:val="auto"/>
                      <w:vertAlign w:val="subscript"/>
                    </w:rPr>
                    <w:t>2.5</w:t>
                  </w:r>
                  <w:r>
                    <w:rPr>
                      <w:color w:val="auto"/>
                    </w:rPr>
                    <w:t>)</w:t>
                  </w:r>
                </w:p>
              </w:tc>
              <w:tc>
                <w:tcPr>
                  <w:tcW w:w="1191" w:type="pct"/>
                  <w:vAlign w:val="center"/>
                </w:tcPr>
                <w:p>
                  <w:pPr>
                    <w:pStyle w:val="63"/>
                    <w:rPr>
                      <w:color w:val="auto"/>
                    </w:rPr>
                  </w:pPr>
                  <w:r>
                    <w:rPr>
                      <w:color w:val="auto"/>
                    </w:rPr>
                    <w:t>年平均</w:t>
                  </w:r>
                </w:p>
              </w:tc>
              <w:tc>
                <w:tcPr>
                  <w:tcW w:w="1183" w:type="pct"/>
                  <w:vAlign w:val="center"/>
                </w:tcPr>
                <w:p>
                  <w:pPr>
                    <w:pStyle w:val="63"/>
                    <w:rPr>
                      <w:color w:val="auto"/>
                    </w:rPr>
                  </w:pPr>
                  <w:r>
                    <w:rPr>
                      <w:color w:val="auto"/>
                    </w:rPr>
                    <w:t>35</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3"/>
                    <w:rPr>
                      <w:color w:val="auto"/>
                    </w:rPr>
                  </w:pPr>
                </w:p>
              </w:tc>
              <w:tc>
                <w:tcPr>
                  <w:tcW w:w="1191" w:type="pct"/>
                  <w:vAlign w:val="center"/>
                </w:tcPr>
                <w:p>
                  <w:pPr>
                    <w:pStyle w:val="63"/>
                    <w:rPr>
                      <w:color w:val="auto"/>
                    </w:rPr>
                  </w:pPr>
                  <w:r>
                    <w:rPr>
                      <w:color w:val="auto"/>
                    </w:rPr>
                    <w:t>24小时平均</w:t>
                  </w:r>
                </w:p>
              </w:tc>
              <w:tc>
                <w:tcPr>
                  <w:tcW w:w="1183" w:type="pct"/>
                  <w:vAlign w:val="center"/>
                </w:tcPr>
                <w:p>
                  <w:pPr>
                    <w:pStyle w:val="63"/>
                    <w:rPr>
                      <w:color w:val="auto"/>
                    </w:rPr>
                  </w:pPr>
                  <w:r>
                    <w:rPr>
                      <w:color w:val="auto"/>
                    </w:rPr>
                    <w:t>75</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3"/>
                    <w:rPr>
                      <w:color w:val="auto"/>
                    </w:rPr>
                  </w:pPr>
                  <w:r>
                    <w:rPr>
                      <w:color w:val="auto"/>
                    </w:rPr>
                    <w:t>可吸入颗粒物(PM</w:t>
                  </w:r>
                  <w:r>
                    <w:rPr>
                      <w:color w:val="auto"/>
                      <w:vertAlign w:val="subscript"/>
                    </w:rPr>
                    <w:t>10</w:t>
                  </w:r>
                  <w:r>
                    <w:rPr>
                      <w:color w:val="auto"/>
                    </w:rPr>
                    <w:t>)</w:t>
                  </w:r>
                </w:p>
              </w:tc>
              <w:tc>
                <w:tcPr>
                  <w:tcW w:w="1191" w:type="pct"/>
                  <w:vAlign w:val="center"/>
                </w:tcPr>
                <w:p>
                  <w:pPr>
                    <w:pStyle w:val="63"/>
                    <w:rPr>
                      <w:color w:val="auto"/>
                    </w:rPr>
                  </w:pPr>
                  <w:r>
                    <w:rPr>
                      <w:color w:val="auto"/>
                    </w:rPr>
                    <w:t>年平均</w:t>
                  </w:r>
                </w:p>
              </w:tc>
              <w:tc>
                <w:tcPr>
                  <w:tcW w:w="1183" w:type="pct"/>
                  <w:vAlign w:val="center"/>
                </w:tcPr>
                <w:p>
                  <w:pPr>
                    <w:pStyle w:val="63"/>
                    <w:rPr>
                      <w:color w:val="auto"/>
                    </w:rPr>
                  </w:pPr>
                  <w:r>
                    <w:rPr>
                      <w:color w:val="auto"/>
                    </w:rPr>
                    <w:t>70</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3"/>
                    <w:rPr>
                      <w:color w:val="auto"/>
                    </w:rPr>
                  </w:pPr>
                </w:p>
              </w:tc>
              <w:tc>
                <w:tcPr>
                  <w:tcW w:w="1191" w:type="pct"/>
                  <w:vAlign w:val="center"/>
                </w:tcPr>
                <w:p>
                  <w:pPr>
                    <w:pStyle w:val="63"/>
                    <w:rPr>
                      <w:color w:val="auto"/>
                    </w:rPr>
                  </w:pPr>
                  <w:r>
                    <w:rPr>
                      <w:color w:val="auto"/>
                    </w:rPr>
                    <w:t>24小时平均</w:t>
                  </w:r>
                </w:p>
              </w:tc>
              <w:tc>
                <w:tcPr>
                  <w:tcW w:w="1183" w:type="pct"/>
                  <w:vAlign w:val="center"/>
                </w:tcPr>
                <w:p>
                  <w:pPr>
                    <w:pStyle w:val="63"/>
                    <w:rPr>
                      <w:color w:val="auto"/>
                    </w:rPr>
                  </w:pPr>
                  <w:r>
                    <w:rPr>
                      <w:color w:val="auto"/>
                    </w:rPr>
                    <w:t>150</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3"/>
                    <w:rPr>
                      <w:color w:val="auto"/>
                    </w:rPr>
                  </w:pPr>
                  <w:r>
                    <w:rPr>
                      <w:color w:val="auto"/>
                    </w:rPr>
                    <w:t>二氧化硫(SO</w:t>
                  </w:r>
                  <w:r>
                    <w:rPr>
                      <w:color w:val="auto"/>
                      <w:vertAlign w:val="subscript"/>
                    </w:rPr>
                    <w:t>2</w:t>
                  </w:r>
                  <w:r>
                    <w:rPr>
                      <w:color w:val="auto"/>
                    </w:rPr>
                    <w:t>)</w:t>
                  </w:r>
                </w:p>
              </w:tc>
              <w:tc>
                <w:tcPr>
                  <w:tcW w:w="1191" w:type="pct"/>
                  <w:vAlign w:val="center"/>
                </w:tcPr>
                <w:p>
                  <w:pPr>
                    <w:pStyle w:val="63"/>
                    <w:rPr>
                      <w:color w:val="auto"/>
                    </w:rPr>
                  </w:pPr>
                  <w:r>
                    <w:rPr>
                      <w:color w:val="auto"/>
                    </w:rPr>
                    <w:t>年平均</w:t>
                  </w:r>
                </w:p>
              </w:tc>
              <w:tc>
                <w:tcPr>
                  <w:tcW w:w="1183" w:type="pct"/>
                  <w:vAlign w:val="center"/>
                </w:tcPr>
                <w:p>
                  <w:pPr>
                    <w:pStyle w:val="63"/>
                    <w:rPr>
                      <w:color w:val="auto"/>
                    </w:rPr>
                  </w:pPr>
                  <w:r>
                    <w:rPr>
                      <w:color w:val="auto"/>
                    </w:rPr>
                    <w:t>60</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147" w:hRule="atLeast"/>
                <w:jc w:val="center"/>
              </w:trPr>
              <w:tc>
                <w:tcPr>
                  <w:tcW w:w="1289" w:type="pct"/>
                  <w:vMerge w:val="continue"/>
                  <w:vAlign w:val="center"/>
                </w:tcPr>
                <w:p>
                  <w:pPr>
                    <w:pStyle w:val="63"/>
                    <w:rPr>
                      <w:color w:val="auto"/>
                    </w:rPr>
                  </w:pPr>
                </w:p>
              </w:tc>
              <w:tc>
                <w:tcPr>
                  <w:tcW w:w="1191" w:type="pct"/>
                  <w:vAlign w:val="center"/>
                </w:tcPr>
                <w:p>
                  <w:pPr>
                    <w:pStyle w:val="63"/>
                    <w:rPr>
                      <w:color w:val="auto"/>
                    </w:rPr>
                  </w:pPr>
                  <w:r>
                    <w:rPr>
                      <w:color w:val="auto"/>
                    </w:rPr>
                    <w:t>24小时平均</w:t>
                  </w:r>
                </w:p>
              </w:tc>
              <w:tc>
                <w:tcPr>
                  <w:tcW w:w="1183" w:type="pct"/>
                  <w:vAlign w:val="center"/>
                </w:tcPr>
                <w:p>
                  <w:pPr>
                    <w:pStyle w:val="63"/>
                    <w:rPr>
                      <w:color w:val="auto"/>
                    </w:rPr>
                  </w:pPr>
                  <w:r>
                    <w:rPr>
                      <w:color w:val="auto"/>
                    </w:rPr>
                    <w:t>150</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3"/>
                    <w:rPr>
                      <w:color w:val="auto"/>
                    </w:rPr>
                  </w:pPr>
                </w:p>
              </w:tc>
              <w:tc>
                <w:tcPr>
                  <w:tcW w:w="1191" w:type="pct"/>
                  <w:vAlign w:val="center"/>
                </w:tcPr>
                <w:p>
                  <w:pPr>
                    <w:pStyle w:val="63"/>
                    <w:rPr>
                      <w:color w:val="auto"/>
                    </w:rPr>
                  </w:pPr>
                  <w:r>
                    <w:rPr>
                      <w:color w:val="auto"/>
                    </w:rPr>
                    <w:t>1小时平均</w:t>
                  </w:r>
                </w:p>
              </w:tc>
              <w:tc>
                <w:tcPr>
                  <w:tcW w:w="1183" w:type="pct"/>
                  <w:vAlign w:val="center"/>
                </w:tcPr>
                <w:p>
                  <w:pPr>
                    <w:pStyle w:val="63"/>
                    <w:rPr>
                      <w:color w:val="auto"/>
                    </w:rPr>
                  </w:pPr>
                  <w:r>
                    <w:rPr>
                      <w:color w:val="auto"/>
                    </w:rPr>
                    <w:t>500</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3"/>
                    <w:rPr>
                      <w:color w:val="auto"/>
                    </w:rPr>
                  </w:pPr>
                  <w:r>
                    <w:rPr>
                      <w:color w:val="auto"/>
                    </w:rPr>
                    <w:t>二氧化氮(NO</w:t>
                  </w:r>
                  <w:r>
                    <w:rPr>
                      <w:color w:val="auto"/>
                      <w:vertAlign w:val="subscript"/>
                    </w:rPr>
                    <w:t>2</w:t>
                  </w:r>
                  <w:r>
                    <w:rPr>
                      <w:color w:val="auto"/>
                    </w:rPr>
                    <w:t>)</w:t>
                  </w:r>
                </w:p>
              </w:tc>
              <w:tc>
                <w:tcPr>
                  <w:tcW w:w="1191" w:type="pct"/>
                  <w:vAlign w:val="center"/>
                </w:tcPr>
                <w:p>
                  <w:pPr>
                    <w:pStyle w:val="63"/>
                    <w:rPr>
                      <w:color w:val="auto"/>
                    </w:rPr>
                  </w:pPr>
                  <w:r>
                    <w:rPr>
                      <w:color w:val="auto"/>
                    </w:rPr>
                    <w:t>年平均</w:t>
                  </w:r>
                </w:p>
              </w:tc>
              <w:tc>
                <w:tcPr>
                  <w:tcW w:w="1183" w:type="pct"/>
                  <w:vAlign w:val="center"/>
                </w:tcPr>
                <w:p>
                  <w:pPr>
                    <w:pStyle w:val="63"/>
                    <w:rPr>
                      <w:color w:val="auto"/>
                    </w:rPr>
                  </w:pPr>
                  <w:r>
                    <w:rPr>
                      <w:color w:val="auto"/>
                    </w:rPr>
                    <w:t>40</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3"/>
                    <w:rPr>
                      <w:color w:val="auto"/>
                    </w:rPr>
                  </w:pPr>
                </w:p>
              </w:tc>
              <w:tc>
                <w:tcPr>
                  <w:tcW w:w="1191" w:type="pct"/>
                  <w:vAlign w:val="center"/>
                </w:tcPr>
                <w:p>
                  <w:pPr>
                    <w:pStyle w:val="63"/>
                    <w:rPr>
                      <w:color w:val="auto"/>
                    </w:rPr>
                  </w:pPr>
                  <w:r>
                    <w:rPr>
                      <w:color w:val="auto"/>
                    </w:rPr>
                    <w:t>24小时平均</w:t>
                  </w:r>
                </w:p>
              </w:tc>
              <w:tc>
                <w:tcPr>
                  <w:tcW w:w="1183" w:type="pct"/>
                  <w:vAlign w:val="center"/>
                </w:tcPr>
                <w:p>
                  <w:pPr>
                    <w:pStyle w:val="63"/>
                    <w:rPr>
                      <w:color w:val="auto"/>
                    </w:rPr>
                  </w:pPr>
                  <w:r>
                    <w:rPr>
                      <w:color w:val="auto"/>
                    </w:rPr>
                    <w:t>80</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3"/>
                    <w:rPr>
                      <w:color w:val="auto"/>
                    </w:rPr>
                  </w:pPr>
                </w:p>
              </w:tc>
              <w:tc>
                <w:tcPr>
                  <w:tcW w:w="1191" w:type="pct"/>
                  <w:vAlign w:val="center"/>
                </w:tcPr>
                <w:p>
                  <w:pPr>
                    <w:pStyle w:val="63"/>
                    <w:rPr>
                      <w:color w:val="auto"/>
                    </w:rPr>
                  </w:pPr>
                  <w:r>
                    <w:rPr>
                      <w:color w:val="auto"/>
                    </w:rPr>
                    <w:t>1小时平均</w:t>
                  </w:r>
                </w:p>
              </w:tc>
              <w:tc>
                <w:tcPr>
                  <w:tcW w:w="1183" w:type="pct"/>
                  <w:vAlign w:val="center"/>
                </w:tcPr>
                <w:p>
                  <w:pPr>
                    <w:pStyle w:val="63"/>
                    <w:rPr>
                      <w:color w:val="auto"/>
                    </w:rPr>
                  </w:pPr>
                  <w:r>
                    <w:rPr>
                      <w:color w:val="auto"/>
                    </w:rPr>
                    <w:t>200</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3"/>
                    <w:rPr>
                      <w:color w:val="auto"/>
                    </w:rPr>
                  </w:pPr>
                  <w:r>
                    <w:rPr>
                      <w:color w:val="auto"/>
                    </w:rPr>
                    <w:t>O</w:t>
                  </w:r>
                  <w:r>
                    <w:rPr>
                      <w:color w:val="auto"/>
                      <w:vertAlign w:val="subscript"/>
                    </w:rPr>
                    <w:t>3</w:t>
                  </w:r>
                </w:p>
              </w:tc>
              <w:tc>
                <w:tcPr>
                  <w:tcW w:w="1191" w:type="pct"/>
                  <w:vAlign w:val="center"/>
                </w:tcPr>
                <w:p>
                  <w:pPr>
                    <w:pStyle w:val="63"/>
                    <w:rPr>
                      <w:color w:val="auto"/>
                    </w:rPr>
                  </w:pPr>
                  <w:r>
                    <w:rPr>
                      <w:color w:val="auto"/>
                    </w:rPr>
                    <w:t>日最大8小时平均</w:t>
                  </w:r>
                </w:p>
              </w:tc>
              <w:tc>
                <w:tcPr>
                  <w:tcW w:w="1183" w:type="pct"/>
                  <w:vAlign w:val="center"/>
                </w:tcPr>
                <w:p>
                  <w:pPr>
                    <w:pStyle w:val="63"/>
                    <w:rPr>
                      <w:color w:val="auto"/>
                    </w:rPr>
                  </w:pPr>
                  <w:r>
                    <w:rPr>
                      <w:color w:val="auto"/>
                    </w:rPr>
                    <w:t>160</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3"/>
                    <w:rPr>
                      <w:color w:val="auto"/>
                    </w:rPr>
                  </w:pPr>
                </w:p>
              </w:tc>
              <w:tc>
                <w:tcPr>
                  <w:tcW w:w="1191" w:type="pct"/>
                  <w:vAlign w:val="center"/>
                </w:tcPr>
                <w:p>
                  <w:pPr>
                    <w:pStyle w:val="63"/>
                    <w:rPr>
                      <w:color w:val="auto"/>
                    </w:rPr>
                  </w:pPr>
                  <w:r>
                    <w:rPr>
                      <w:color w:val="auto"/>
                    </w:rPr>
                    <w:t>1小时平均</w:t>
                  </w:r>
                </w:p>
              </w:tc>
              <w:tc>
                <w:tcPr>
                  <w:tcW w:w="1183" w:type="pct"/>
                  <w:vAlign w:val="center"/>
                </w:tcPr>
                <w:p>
                  <w:pPr>
                    <w:pStyle w:val="63"/>
                    <w:rPr>
                      <w:color w:val="auto"/>
                    </w:rPr>
                  </w:pPr>
                  <w:r>
                    <w:rPr>
                      <w:color w:val="auto"/>
                    </w:rPr>
                    <w:t>200</w:t>
                  </w:r>
                  <w:r>
                    <w:rPr>
                      <w:bCs/>
                      <w:color w:val="auto"/>
                    </w:rPr>
                    <w:t>μg/m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3"/>
                    <w:rPr>
                      <w:color w:val="auto"/>
                    </w:rPr>
                  </w:pPr>
                  <w:r>
                    <w:rPr>
                      <w:color w:val="auto"/>
                    </w:rPr>
                    <w:t>CO</w:t>
                  </w:r>
                </w:p>
              </w:tc>
              <w:tc>
                <w:tcPr>
                  <w:tcW w:w="1191" w:type="pct"/>
                  <w:vAlign w:val="center"/>
                </w:tcPr>
                <w:p>
                  <w:pPr>
                    <w:pStyle w:val="63"/>
                    <w:rPr>
                      <w:color w:val="auto"/>
                    </w:rPr>
                  </w:pPr>
                  <w:r>
                    <w:rPr>
                      <w:color w:val="auto"/>
                    </w:rPr>
                    <w:t>24小时平均</w:t>
                  </w:r>
                </w:p>
              </w:tc>
              <w:tc>
                <w:tcPr>
                  <w:tcW w:w="1183" w:type="pct"/>
                  <w:vAlign w:val="center"/>
                </w:tcPr>
                <w:p>
                  <w:pPr>
                    <w:pStyle w:val="63"/>
                    <w:rPr>
                      <w:color w:val="auto"/>
                    </w:rPr>
                  </w:pPr>
                  <w:r>
                    <w:rPr>
                      <w:color w:val="auto"/>
                    </w:rPr>
                    <w:t>4</w:t>
                  </w:r>
                  <w:r>
                    <w:rPr>
                      <w:bCs/>
                      <w:color w:val="auto"/>
                    </w:rPr>
                    <w:t>mg/m</w:t>
                  </w:r>
                  <w:r>
                    <w:rPr>
                      <w:bCs/>
                      <w:color w:val="auto"/>
                      <w:vertAlign w:val="superscript"/>
                    </w:rPr>
                    <w:t>3</w:t>
                  </w:r>
                </w:p>
              </w:tc>
              <w:tc>
                <w:tcPr>
                  <w:tcW w:w="1337" w:type="pct"/>
                  <w:vMerge w:val="continue"/>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3"/>
                    <w:rPr>
                      <w:color w:val="auto"/>
                    </w:rPr>
                  </w:pPr>
                </w:p>
              </w:tc>
              <w:tc>
                <w:tcPr>
                  <w:tcW w:w="1191" w:type="pct"/>
                  <w:vAlign w:val="center"/>
                </w:tcPr>
                <w:p>
                  <w:pPr>
                    <w:pStyle w:val="63"/>
                    <w:rPr>
                      <w:color w:val="auto"/>
                    </w:rPr>
                  </w:pPr>
                  <w:r>
                    <w:rPr>
                      <w:color w:val="auto"/>
                    </w:rPr>
                    <w:t>1小时平均</w:t>
                  </w:r>
                </w:p>
              </w:tc>
              <w:tc>
                <w:tcPr>
                  <w:tcW w:w="1183" w:type="pct"/>
                  <w:vAlign w:val="center"/>
                </w:tcPr>
                <w:p>
                  <w:pPr>
                    <w:pStyle w:val="63"/>
                    <w:rPr>
                      <w:color w:val="auto"/>
                    </w:rPr>
                  </w:pPr>
                  <w:r>
                    <w:rPr>
                      <w:color w:val="auto"/>
                    </w:rPr>
                    <w:t>10</w:t>
                  </w:r>
                  <w:r>
                    <w:rPr>
                      <w:bCs/>
                      <w:color w:val="auto"/>
                    </w:rPr>
                    <w:t>mg/m</w:t>
                  </w:r>
                  <w:r>
                    <w:rPr>
                      <w:bCs/>
                      <w:color w:val="auto"/>
                      <w:vertAlign w:val="superscript"/>
                    </w:rPr>
                    <w:t>3</w:t>
                  </w:r>
                </w:p>
              </w:tc>
              <w:tc>
                <w:tcPr>
                  <w:tcW w:w="1337" w:type="pct"/>
                  <w:vMerge w:val="continue"/>
                  <w:vAlign w:val="center"/>
                </w:tcPr>
                <w:p>
                  <w:pPr>
                    <w:pStyle w:val="63"/>
                    <w:rPr>
                      <w:color w:val="auto"/>
                    </w:rPr>
                  </w:pPr>
                </w:p>
              </w:tc>
            </w:tr>
          </w:tbl>
          <w:p>
            <w:pPr>
              <w:ind w:firstLine="480"/>
              <w:rPr>
                <w:color w:val="auto"/>
              </w:rPr>
            </w:pPr>
            <w:r>
              <w:rPr>
                <w:rFonts w:hint="eastAsia"/>
                <w:color w:val="auto"/>
              </w:rPr>
              <w:t>根据《建设项目环境影响报告表编制技术指南》（污染影响类）（试行）要求，常规污染物引用与建设项目距离近的有效数据，包括近3年的规划环境影响评价的监测数据，国家、地方环境空气质量监测网数据或生态环境主管部门公开发布的质量数据等。</w:t>
            </w:r>
          </w:p>
          <w:p>
            <w:pPr>
              <w:ind w:firstLine="480"/>
              <w:rPr>
                <w:color w:val="auto"/>
              </w:rPr>
            </w:pPr>
            <w:r>
              <w:rPr>
                <w:rFonts w:hint="eastAsia"/>
                <w:color w:val="auto"/>
              </w:rPr>
              <w:t>根据</w:t>
            </w:r>
            <w:r>
              <w:rPr>
                <w:color w:val="auto"/>
              </w:rPr>
              <w:t>师宗县空气自动监测站2022年环境空气质量数据</w:t>
            </w:r>
            <w:r>
              <w:rPr>
                <w:rFonts w:hint="eastAsia"/>
                <w:color w:val="auto"/>
              </w:rPr>
              <w:t>，见下表</w:t>
            </w:r>
            <w:r>
              <w:rPr>
                <w:color w:val="auto"/>
              </w:rPr>
              <w:t>。</w:t>
            </w:r>
          </w:p>
          <w:p>
            <w:pPr>
              <w:pStyle w:val="66"/>
              <w:rPr>
                <w:color w:val="auto"/>
              </w:rPr>
            </w:pPr>
            <w:r>
              <w:rPr>
                <w:color w:val="auto"/>
              </w:rPr>
              <w:t>表3.1-2 师宗县2022年环境空气质量现状评价表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991"/>
              <w:gridCol w:w="2236"/>
              <w:gridCol w:w="1024"/>
              <w:gridCol w:w="911"/>
              <w:gridCol w:w="1031"/>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45" w:type="pct"/>
                  <w:vAlign w:val="center"/>
                </w:tcPr>
                <w:p>
                  <w:pPr>
                    <w:pStyle w:val="63"/>
                    <w:rPr>
                      <w:color w:val="auto"/>
                    </w:rPr>
                  </w:pPr>
                  <w:r>
                    <w:rPr>
                      <w:color w:val="auto"/>
                    </w:rPr>
                    <w:t>污染物</w:t>
                  </w:r>
                </w:p>
              </w:tc>
              <w:tc>
                <w:tcPr>
                  <w:tcW w:w="633" w:type="pct"/>
                  <w:vAlign w:val="center"/>
                </w:tcPr>
                <w:p>
                  <w:pPr>
                    <w:pStyle w:val="63"/>
                    <w:rPr>
                      <w:color w:val="auto"/>
                    </w:rPr>
                  </w:pPr>
                  <w:r>
                    <w:rPr>
                      <w:color w:val="auto"/>
                    </w:rPr>
                    <w:t>有效数据数（个）</w:t>
                  </w:r>
                </w:p>
              </w:tc>
              <w:tc>
                <w:tcPr>
                  <w:tcW w:w="1428" w:type="pct"/>
                  <w:vAlign w:val="center"/>
                </w:tcPr>
                <w:p>
                  <w:pPr>
                    <w:pStyle w:val="63"/>
                    <w:rPr>
                      <w:color w:val="auto"/>
                    </w:rPr>
                  </w:pPr>
                  <w:r>
                    <w:rPr>
                      <w:color w:val="auto"/>
                    </w:rPr>
                    <w:t>年评价指标</w:t>
                  </w:r>
                </w:p>
              </w:tc>
              <w:tc>
                <w:tcPr>
                  <w:tcW w:w="654" w:type="pct"/>
                  <w:vAlign w:val="center"/>
                </w:tcPr>
                <w:p>
                  <w:pPr>
                    <w:pStyle w:val="63"/>
                    <w:rPr>
                      <w:color w:val="auto"/>
                    </w:rPr>
                  </w:pPr>
                  <w:r>
                    <w:rPr>
                      <w:color w:val="auto"/>
                    </w:rPr>
                    <w:t>现状浓度µg/m</w:t>
                  </w:r>
                  <w:r>
                    <w:rPr>
                      <w:color w:val="auto"/>
                      <w:vertAlign w:val="superscript"/>
                    </w:rPr>
                    <w:t>3</w:t>
                  </w:r>
                </w:p>
              </w:tc>
              <w:tc>
                <w:tcPr>
                  <w:tcW w:w="582" w:type="pct"/>
                  <w:vAlign w:val="center"/>
                </w:tcPr>
                <w:p>
                  <w:pPr>
                    <w:pStyle w:val="63"/>
                    <w:rPr>
                      <w:color w:val="auto"/>
                    </w:rPr>
                  </w:pPr>
                  <w:r>
                    <w:rPr>
                      <w:color w:val="auto"/>
                    </w:rPr>
                    <w:t>标准值</w:t>
                  </w:r>
                </w:p>
                <w:p>
                  <w:pPr>
                    <w:pStyle w:val="63"/>
                    <w:rPr>
                      <w:color w:val="auto"/>
                    </w:rPr>
                  </w:pPr>
                  <w:r>
                    <w:rPr>
                      <w:color w:val="auto"/>
                    </w:rPr>
                    <w:t>µg/m</w:t>
                  </w:r>
                  <w:r>
                    <w:rPr>
                      <w:color w:val="auto"/>
                      <w:vertAlign w:val="superscript"/>
                    </w:rPr>
                    <w:t>3</w:t>
                  </w:r>
                </w:p>
              </w:tc>
              <w:tc>
                <w:tcPr>
                  <w:tcW w:w="658" w:type="pct"/>
                  <w:vAlign w:val="center"/>
                </w:tcPr>
                <w:p>
                  <w:pPr>
                    <w:pStyle w:val="63"/>
                    <w:rPr>
                      <w:color w:val="auto"/>
                    </w:rPr>
                  </w:pPr>
                  <w:r>
                    <w:rPr>
                      <w:color w:val="auto"/>
                    </w:rPr>
                    <w:t>占标率%</w:t>
                  </w:r>
                </w:p>
              </w:tc>
              <w:tc>
                <w:tcPr>
                  <w:tcW w:w="500" w:type="pct"/>
                  <w:vAlign w:val="center"/>
                </w:tcPr>
                <w:p>
                  <w:pPr>
                    <w:pStyle w:val="63"/>
                    <w:rPr>
                      <w:color w:val="auto"/>
                    </w:rPr>
                  </w:pPr>
                  <w:r>
                    <w:rPr>
                      <w:rFonts w:hint="eastAsia"/>
                      <w:color w:val="auto"/>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45" w:type="pct"/>
                  <w:vMerge w:val="restart"/>
                  <w:vAlign w:val="center"/>
                </w:tcPr>
                <w:p>
                  <w:pPr>
                    <w:pStyle w:val="63"/>
                    <w:rPr>
                      <w:color w:val="auto"/>
                    </w:rPr>
                  </w:pPr>
                  <w:r>
                    <w:rPr>
                      <w:color w:val="auto"/>
                    </w:rPr>
                    <w:t>SO</w:t>
                  </w:r>
                  <w:r>
                    <w:rPr>
                      <w:color w:val="auto"/>
                      <w:vertAlign w:val="subscript"/>
                    </w:rPr>
                    <w:t>2</w:t>
                  </w:r>
                </w:p>
              </w:tc>
              <w:tc>
                <w:tcPr>
                  <w:tcW w:w="633" w:type="pct"/>
                  <w:vMerge w:val="restart"/>
                  <w:vAlign w:val="center"/>
                </w:tcPr>
                <w:p>
                  <w:pPr>
                    <w:pStyle w:val="63"/>
                    <w:rPr>
                      <w:color w:val="auto"/>
                    </w:rPr>
                  </w:pPr>
                  <w:r>
                    <w:rPr>
                      <w:color w:val="auto"/>
                    </w:rPr>
                    <w:t>363</w:t>
                  </w:r>
                </w:p>
              </w:tc>
              <w:tc>
                <w:tcPr>
                  <w:tcW w:w="1428" w:type="pct"/>
                  <w:vAlign w:val="center"/>
                </w:tcPr>
                <w:p>
                  <w:pPr>
                    <w:pStyle w:val="63"/>
                    <w:rPr>
                      <w:color w:val="auto"/>
                    </w:rPr>
                  </w:pPr>
                  <w:r>
                    <w:rPr>
                      <w:color w:val="auto"/>
                    </w:rPr>
                    <w:t>年平均质量浓度</w:t>
                  </w:r>
                </w:p>
              </w:tc>
              <w:tc>
                <w:tcPr>
                  <w:tcW w:w="654" w:type="pct"/>
                  <w:vAlign w:val="center"/>
                </w:tcPr>
                <w:p>
                  <w:pPr>
                    <w:pStyle w:val="63"/>
                    <w:rPr>
                      <w:color w:val="auto"/>
                    </w:rPr>
                  </w:pPr>
                  <w:r>
                    <w:rPr>
                      <w:color w:val="auto"/>
                    </w:rPr>
                    <w:t>9</w:t>
                  </w:r>
                </w:p>
              </w:tc>
              <w:tc>
                <w:tcPr>
                  <w:tcW w:w="582" w:type="pct"/>
                  <w:vAlign w:val="center"/>
                </w:tcPr>
                <w:p>
                  <w:pPr>
                    <w:pStyle w:val="63"/>
                    <w:rPr>
                      <w:color w:val="auto"/>
                    </w:rPr>
                  </w:pPr>
                  <w:r>
                    <w:rPr>
                      <w:color w:val="auto"/>
                    </w:rPr>
                    <w:t>60</w:t>
                  </w:r>
                </w:p>
              </w:tc>
              <w:tc>
                <w:tcPr>
                  <w:tcW w:w="658" w:type="pct"/>
                  <w:vAlign w:val="center"/>
                </w:tcPr>
                <w:p>
                  <w:pPr>
                    <w:pStyle w:val="63"/>
                    <w:rPr>
                      <w:color w:val="auto"/>
                    </w:rPr>
                  </w:pPr>
                  <w:r>
                    <w:rPr>
                      <w:color w:val="auto"/>
                    </w:rPr>
                    <w:t>15</w:t>
                  </w:r>
                </w:p>
              </w:tc>
              <w:tc>
                <w:tcPr>
                  <w:tcW w:w="500" w:type="pct"/>
                  <w:vAlign w:val="center"/>
                </w:tcPr>
                <w:p>
                  <w:pPr>
                    <w:pStyle w:val="63"/>
                    <w:rPr>
                      <w:color w:val="auto"/>
                    </w:rPr>
                  </w:pPr>
                  <w:r>
                    <w:rPr>
                      <w:rFonts w:hint="eastAsia"/>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45" w:type="pct"/>
                  <w:vMerge w:val="continue"/>
                  <w:vAlign w:val="center"/>
                </w:tcPr>
                <w:p>
                  <w:pPr>
                    <w:pStyle w:val="63"/>
                    <w:rPr>
                      <w:color w:val="auto"/>
                    </w:rPr>
                  </w:pPr>
                </w:p>
              </w:tc>
              <w:tc>
                <w:tcPr>
                  <w:tcW w:w="633" w:type="pct"/>
                  <w:vMerge w:val="continue"/>
                  <w:vAlign w:val="center"/>
                </w:tcPr>
                <w:p>
                  <w:pPr>
                    <w:pStyle w:val="63"/>
                    <w:rPr>
                      <w:color w:val="auto"/>
                    </w:rPr>
                  </w:pPr>
                </w:p>
              </w:tc>
              <w:tc>
                <w:tcPr>
                  <w:tcW w:w="1428" w:type="pct"/>
                  <w:vAlign w:val="center"/>
                </w:tcPr>
                <w:p>
                  <w:pPr>
                    <w:pStyle w:val="63"/>
                    <w:rPr>
                      <w:color w:val="auto"/>
                    </w:rPr>
                  </w:pPr>
                  <w:r>
                    <w:rPr>
                      <w:color w:val="auto"/>
                    </w:rPr>
                    <w:t>98百分位日平均</w:t>
                  </w:r>
                </w:p>
              </w:tc>
              <w:tc>
                <w:tcPr>
                  <w:tcW w:w="654" w:type="pct"/>
                  <w:vAlign w:val="center"/>
                </w:tcPr>
                <w:p>
                  <w:pPr>
                    <w:pStyle w:val="63"/>
                    <w:rPr>
                      <w:color w:val="auto"/>
                    </w:rPr>
                  </w:pPr>
                  <w:r>
                    <w:rPr>
                      <w:color w:val="auto"/>
                    </w:rPr>
                    <w:t>18</w:t>
                  </w:r>
                </w:p>
              </w:tc>
              <w:tc>
                <w:tcPr>
                  <w:tcW w:w="582" w:type="pct"/>
                  <w:vAlign w:val="center"/>
                </w:tcPr>
                <w:p>
                  <w:pPr>
                    <w:pStyle w:val="63"/>
                    <w:rPr>
                      <w:color w:val="auto"/>
                    </w:rPr>
                  </w:pPr>
                  <w:r>
                    <w:rPr>
                      <w:color w:val="auto"/>
                    </w:rPr>
                    <w:t>150</w:t>
                  </w:r>
                </w:p>
              </w:tc>
              <w:tc>
                <w:tcPr>
                  <w:tcW w:w="658" w:type="pct"/>
                  <w:vAlign w:val="center"/>
                </w:tcPr>
                <w:p>
                  <w:pPr>
                    <w:pStyle w:val="63"/>
                    <w:rPr>
                      <w:color w:val="auto"/>
                    </w:rPr>
                  </w:pPr>
                  <w:r>
                    <w:rPr>
                      <w:color w:val="auto"/>
                    </w:rPr>
                    <w:t>12</w:t>
                  </w:r>
                </w:p>
              </w:tc>
              <w:tc>
                <w:tcPr>
                  <w:tcW w:w="500" w:type="pct"/>
                  <w:vAlign w:val="center"/>
                </w:tcPr>
                <w:p>
                  <w:pPr>
                    <w:pStyle w:val="63"/>
                    <w:rPr>
                      <w:color w:val="auto"/>
                    </w:rPr>
                  </w:pPr>
                  <w:r>
                    <w:rPr>
                      <w:rFonts w:hint="eastAsia"/>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45" w:type="pct"/>
                  <w:vMerge w:val="restart"/>
                  <w:vAlign w:val="center"/>
                </w:tcPr>
                <w:p>
                  <w:pPr>
                    <w:pStyle w:val="63"/>
                    <w:rPr>
                      <w:color w:val="auto"/>
                    </w:rPr>
                  </w:pPr>
                  <w:r>
                    <w:rPr>
                      <w:color w:val="auto"/>
                    </w:rPr>
                    <w:t>NO</w:t>
                  </w:r>
                  <w:r>
                    <w:rPr>
                      <w:color w:val="auto"/>
                      <w:vertAlign w:val="subscript"/>
                    </w:rPr>
                    <w:t>2</w:t>
                  </w:r>
                </w:p>
              </w:tc>
              <w:tc>
                <w:tcPr>
                  <w:tcW w:w="633" w:type="pct"/>
                  <w:vMerge w:val="restart"/>
                  <w:vAlign w:val="center"/>
                </w:tcPr>
                <w:p>
                  <w:pPr>
                    <w:pStyle w:val="63"/>
                    <w:rPr>
                      <w:color w:val="auto"/>
                    </w:rPr>
                  </w:pPr>
                  <w:r>
                    <w:rPr>
                      <w:color w:val="auto"/>
                    </w:rPr>
                    <w:t>363</w:t>
                  </w:r>
                </w:p>
              </w:tc>
              <w:tc>
                <w:tcPr>
                  <w:tcW w:w="1428" w:type="pct"/>
                  <w:vAlign w:val="center"/>
                </w:tcPr>
                <w:p>
                  <w:pPr>
                    <w:pStyle w:val="63"/>
                    <w:rPr>
                      <w:color w:val="auto"/>
                    </w:rPr>
                  </w:pPr>
                  <w:r>
                    <w:rPr>
                      <w:color w:val="auto"/>
                    </w:rPr>
                    <w:t>年平均质量浓度</w:t>
                  </w:r>
                </w:p>
              </w:tc>
              <w:tc>
                <w:tcPr>
                  <w:tcW w:w="654" w:type="pct"/>
                  <w:vAlign w:val="center"/>
                </w:tcPr>
                <w:p>
                  <w:pPr>
                    <w:pStyle w:val="63"/>
                    <w:rPr>
                      <w:color w:val="auto"/>
                    </w:rPr>
                  </w:pPr>
                  <w:r>
                    <w:rPr>
                      <w:color w:val="auto"/>
                    </w:rPr>
                    <w:t>18</w:t>
                  </w:r>
                </w:p>
              </w:tc>
              <w:tc>
                <w:tcPr>
                  <w:tcW w:w="582" w:type="pct"/>
                  <w:vAlign w:val="center"/>
                </w:tcPr>
                <w:p>
                  <w:pPr>
                    <w:pStyle w:val="63"/>
                    <w:rPr>
                      <w:color w:val="auto"/>
                    </w:rPr>
                  </w:pPr>
                  <w:r>
                    <w:rPr>
                      <w:color w:val="auto"/>
                    </w:rPr>
                    <w:t>40</w:t>
                  </w:r>
                </w:p>
              </w:tc>
              <w:tc>
                <w:tcPr>
                  <w:tcW w:w="658" w:type="pct"/>
                  <w:vAlign w:val="center"/>
                </w:tcPr>
                <w:p>
                  <w:pPr>
                    <w:pStyle w:val="63"/>
                    <w:rPr>
                      <w:color w:val="auto"/>
                    </w:rPr>
                  </w:pPr>
                  <w:r>
                    <w:rPr>
                      <w:color w:val="auto"/>
                    </w:rPr>
                    <w:t>45</w:t>
                  </w:r>
                </w:p>
              </w:tc>
              <w:tc>
                <w:tcPr>
                  <w:tcW w:w="500" w:type="pct"/>
                  <w:vAlign w:val="center"/>
                </w:tcPr>
                <w:p>
                  <w:pPr>
                    <w:pStyle w:val="63"/>
                    <w:rPr>
                      <w:color w:val="auto"/>
                    </w:rPr>
                  </w:pPr>
                  <w:r>
                    <w:rPr>
                      <w:rFonts w:hint="eastAsia"/>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45" w:type="pct"/>
                  <w:vMerge w:val="continue"/>
                  <w:vAlign w:val="center"/>
                </w:tcPr>
                <w:p>
                  <w:pPr>
                    <w:pStyle w:val="63"/>
                    <w:rPr>
                      <w:color w:val="auto"/>
                    </w:rPr>
                  </w:pPr>
                </w:p>
              </w:tc>
              <w:tc>
                <w:tcPr>
                  <w:tcW w:w="633" w:type="pct"/>
                  <w:vMerge w:val="continue"/>
                  <w:vAlign w:val="center"/>
                </w:tcPr>
                <w:p>
                  <w:pPr>
                    <w:pStyle w:val="63"/>
                    <w:rPr>
                      <w:color w:val="auto"/>
                    </w:rPr>
                  </w:pPr>
                </w:p>
              </w:tc>
              <w:tc>
                <w:tcPr>
                  <w:tcW w:w="1428" w:type="pct"/>
                  <w:vAlign w:val="center"/>
                </w:tcPr>
                <w:p>
                  <w:pPr>
                    <w:pStyle w:val="63"/>
                    <w:rPr>
                      <w:color w:val="auto"/>
                    </w:rPr>
                  </w:pPr>
                  <w:r>
                    <w:rPr>
                      <w:color w:val="auto"/>
                    </w:rPr>
                    <w:t>98百分位日平均</w:t>
                  </w:r>
                </w:p>
              </w:tc>
              <w:tc>
                <w:tcPr>
                  <w:tcW w:w="654" w:type="pct"/>
                  <w:vAlign w:val="center"/>
                </w:tcPr>
                <w:p>
                  <w:pPr>
                    <w:pStyle w:val="63"/>
                    <w:rPr>
                      <w:color w:val="auto"/>
                    </w:rPr>
                  </w:pPr>
                  <w:r>
                    <w:rPr>
                      <w:color w:val="auto"/>
                    </w:rPr>
                    <w:t>55</w:t>
                  </w:r>
                </w:p>
              </w:tc>
              <w:tc>
                <w:tcPr>
                  <w:tcW w:w="582" w:type="pct"/>
                  <w:vAlign w:val="center"/>
                </w:tcPr>
                <w:p>
                  <w:pPr>
                    <w:pStyle w:val="63"/>
                    <w:rPr>
                      <w:color w:val="auto"/>
                    </w:rPr>
                  </w:pPr>
                  <w:r>
                    <w:rPr>
                      <w:color w:val="auto"/>
                    </w:rPr>
                    <w:t>80</w:t>
                  </w:r>
                </w:p>
              </w:tc>
              <w:tc>
                <w:tcPr>
                  <w:tcW w:w="658" w:type="pct"/>
                  <w:vAlign w:val="center"/>
                </w:tcPr>
                <w:p>
                  <w:pPr>
                    <w:pStyle w:val="63"/>
                    <w:rPr>
                      <w:color w:val="auto"/>
                    </w:rPr>
                  </w:pPr>
                  <w:r>
                    <w:rPr>
                      <w:color w:val="auto"/>
                      <w:lang w:val="en-US"/>
                    </w:rPr>
                    <w:t>68.75</w:t>
                  </w:r>
                </w:p>
              </w:tc>
              <w:tc>
                <w:tcPr>
                  <w:tcW w:w="500" w:type="pct"/>
                  <w:vAlign w:val="center"/>
                </w:tcPr>
                <w:p>
                  <w:pPr>
                    <w:pStyle w:val="63"/>
                    <w:rPr>
                      <w:color w:val="auto"/>
                    </w:rPr>
                  </w:pPr>
                  <w:r>
                    <w:rPr>
                      <w:rFonts w:hint="eastAsia"/>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45" w:type="pct"/>
                  <w:vMerge w:val="restart"/>
                  <w:vAlign w:val="center"/>
                </w:tcPr>
                <w:p>
                  <w:pPr>
                    <w:pStyle w:val="63"/>
                    <w:rPr>
                      <w:color w:val="auto"/>
                    </w:rPr>
                  </w:pPr>
                  <w:r>
                    <w:rPr>
                      <w:color w:val="auto"/>
                    </w:rPr>
                    <w:t>PM</w:t>
                  </w:r>
                  <w:r>
                    <w:rPr>
                      <w:color w:val="auto"/>
                      <w:vertAlign w:val="subscript"/>
                    </w:rPr>
                    <w:t>10</w:t>
                  </w:r>
                </w:p>
              </w:tc>
              <w:tc>
                <w:tcPr>
                  <w:tcW w:w="633" w:type="pct"/>
                  <w:vMerge w:val="restart"/>
                  <w:vAlign w:val="center"/>
                </w:tcPr>
                <w:p>
                  <w:pPr>
                    <w:pStyle w:val="63"/>
                    <w:rPr>
                      <w:color w:val="auto"/>
                    </w:rPr>
                  </w:pPr>
                  <w:r>
                    <w:rPr>
                      <w:color w:val="auto"/>
                    </w:rPr>
                    <w:t>363</w:t>
                  </w:r>
                </w:p>
              </w:tc>
              <w:tc>
                <w:tcPr>
                  <w:tcW w:w="1428" w:type="pct"/>
                  <w:vAlign w:val="center"/>
                </w:tcPr>
                <w:p>
                  <w:pPr>
                    <w:pStyle w:val="63"/>
                    <w:rPr>
                      <w:color w:val="auto"/>
                    </w:rPr>
                  </w:pPr>
                  <w:r>
                    <w:rPr>
                      <w:color w:val="auto"/>
                    </w:rPr>
                    <w:t>年平均质量浓度</w:t>
                  </w:r>
                </w:p>
              </w:tc>
              <w:tc>
                <w:tcPr>
                  <w:tcW w:w="654" w:type="pct"/>
                  <w:vAlign w:val="center"/>
                </w:tcPr>
                <w:p>
                  <w:pPr>
                    <w:pStyle w:val="63"/>
                    <w:rPr>
                      <w:color w:val="auto"/>
                    </w:rPr>
                  </w:pPr>
                  <w:r>
                    <w:rPr>
                      <w:color w:val="auto"/>
                    </w:rPr>
                    <w:t>21</w:t>
                  </w:r>
                </w:p>
              </w:tc>
              <w:tc>
                <w:tcPr>
                  <w:tcW w:w="582" w:type="pct"/>
                  <w:vAlign w:val="center"/>
                </w:tcPr>
                <w:p>
                  <w:pPr>
                    <w:pStyle w:val="63"/>
                    <w:rPr>
                      <w:color w:val="auto"/>
                    </w:rPr>
                  </w:pPr>
                  <w:r>
                    <w:rPr>
                      <w:color w:val="auto"/>
                    </w:rPr>
                    <w:t>70</w:t>
                  </w:r>
                </w:p>
              </w:tc>
              <w:tc>
                <w:tcPr>
                  <w:tcW w:w="658" w:type="pct"/>
                  <w:vAlign w:val="center"/>
                </w:tcPr>
                <w:p>
                  <w:pPr>
                    <w:pStyle w:val="63"/>
                    <w:rPr>
                      <w:color w:val="auto"/>
                    </w:rPr>
                  </w:pPr>
                  <w:r>
                    <w:rPr>
                      <w:color w:val="auto"/>
                    </w:rPr>
                    <w:t>30</w:t>
                  </w:r>
                </w:p>
              </w:tc>
              <w:tc>
                <w:tcPr>
                  <w:tcW w:w="500" w:type="pct"/>
                  <w:vAlign w:val="center"/>
                </w:tcPr>
                <w:p>
                  <w:pPr>
                    <w:pStyle w:val="63"/>
                    <w:rPr>
                      <w:color w:val="auto"/>
                    </w:rPr>
                  </w:pPr>
                  <w:r>
                    <w:rPr>
                      <w:rFonts w:hint="eastAsia"/>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45" w:type="pct"/>
                  <w:vMerge w:val="continue"/>
                  <w:vAlign w:val="center"/>
                </w:tcPr>
                <w:p>
                  <w:pPr>
                    <w:pStyle w:val="63"/>
                    <w:rPr>
                      <w:color w:val="auto"/>
                    </w:rPr>
                  </w:pPr>
                </w:p>
              </w:tc>
              <w:tc>
                <w:tcPr>
                  <w:tcW w:w="633" w:type="pct"/>
                  <w:vMerge w:val="continue"/>
                  <w:vAlign w:val="center"/>
                </w:tcPr>
                <w:p>
                  <w:pPr>
                    <w:pStyle w:val="63"/>
                    <w:rPr>
                      <w:color w:val="auto"/>
                    </w:rPr>
                  </w:pPr>
                </w:p>
              </w:tc>
              <w:tc>
                <w:tcPr>
                  <w:tcW w:w="1428" w:type="pct"/>
                  <w:vAlign w:val="center"/>
                </w:tcPr>
                <w:p>
                  <w:pPr>
                    <w:pStyle w:val="63"/>
                    <w:rPr>
                      <w:color w:val="auto"/>
                    </w:rPr>
                  </w:pPr>
                  <w:r>
                    <w:rPr>
                      <w:color w:val="auto"/>
                    </w:rPr>
                    <w:t>95百分位日平均</w:t>
                  </w:r>
                </w:p>
              </w:tc>
              <w:tc>
                <w:tcPr>
                  <w:tcW w:w="654" w:type="pct"/>
                  <w:vAlign w:val="center"/>
                </w:tcPr>
                <w:p>
                  <w:pPr>
                    <w:pStyle w:val="63"/>
                    <w:rPr>
                      <w:color w:val="auto"/>
                    </w:rPr>
                  </w:pPr>
                  <w:r>
                    <w:rPr>
                      <w:color w:val="auto"/>
                    </w:rPr>
                    <w:t>55</w:t>
                  </w:r>
                </w:p>
              </w:tc>
              <w:tc>
                <w:tcPr>
                  <w:tcW w:w="582" w:type="pct"/>
                  <w:vAlign w:val="center"/>
                </w:tcPr>
                <w:p>
                  <w:pPr>
                    <w:pStyle w:val="63"/>
                    <w:rPr>
                      <w:color w:val="auto"/>
                    </w:rPr>
                  </w:pPr>
                  <w:r>
                    <w:rPr>
                      <w:color w:val="auto"/>
                    </w:rPr>
                    <w:t>150</w:t>
                  </w:r>
                </w:p>
              </w:tc>
              <w:tc>
                <w:tcPr>
                  <w:tcW w:w="658" w:type="pct"/>
                  <w:vAlign w:val="center"/>
                </w:tcPr>
                <w:p>
                  <w:pPr>
                    <w:pStyle w:val="63"/>
                    <w:rPr>
                      <w:color w:val="auto"/>
                    </w:rPr>
                  </w:pPr>
                  <w:r>
                    <w:rPr>
                      <w:color w:val="auto"/>
                      <w:lang w:val="en-US"/>
                    </w:rPr>
                    <w:t>36.67</w:t>
                  </w:r>
                </w:p>
              </w:tc>
              <w:tc>
                <w:tcPr>
                  <w:tcW w:w="500" w:type="pct"/>
                  <w:vAlign w:val="center"/>
                </w:tcPr>
                <w:p>
                  <w:pPr>
                    <w:pStyle w:val="63"/>
                    <w:rPr>
                      <w:color w:val="auto"/>
                    </w:rPr>
                  </w:pPr>
                  <w:r>
                    <w:rPr>
                      <w:rFonts w:hint="eastAsia"/>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45" w:type="pct"/>
                  <w:vMerge w:val="restart"/>
                  <w:vAlign w:val="center"/>
                </w:tcPr>
                <w:p>
                  <w:pPr>
                    <w:pStyle w:val="63"/>
                    <w:rPr>
                      <w:color w:val="auto"/>
                    </w:rPr>
                  </w:pPr>
                  <w:r>
                    <w:rPr>
                      <w:color w:val="auto"/>
                    </w:rPr>
                    <w:t>PM</w:t>
                  </w:r>
                  <w:r>
                    <w:rPr>
                      <w:color w:val="auto"/>
                      <w:vertAlign w:val="subscript"/>
                    </w:rPr>
                    <w:t>2.5</w:t>
                  </w:r>
                </w:p>
              </w:tc>
              <w:tc>
                <w:tcPr>
                  <w:tcW w:w="633" w:type="pct"/>
                  <w:vMerge w:val="restart"/>
                  <w:vAlign w:val="center"/>
                </w:tcPr>
                <w:p>
                  <w:pPr>
                    <w:pStyle w:val="63"/>
                    <w:rPr>
                      <w:color w:val="auto"/>
                    </w:rPr>
                  </w:pPr>
                  <w:r>
                    <w:rPr>
                      <w:color w:val="auto"/>
                    </w:rPr>
                    <w:t>363</w:t>
                  </w:r>
                </w:p>
              </w:tc>
              <w:tc>
                <w:tcPr>
                  <w:tcW w:w="1428" w:type="pct"/>
                  <w:vAlign w:val="center"/>
                </w:tcPr>
                <w:p>
                  <w:pPr>
                    <w:pStyle w:val="63"/>
                    <w:rPr>
                      <w:color w:val="auto"/>
                    </w:rPr>
                  </w:pPr>
                  <w:r>
                    <w:rPr>
                      <w:color w:val="auto"/>
                    </w:rPr>
                    <w:t>年平均质量浓度</w:t>
                  </w:r>
                </w:p>
              </w:tc>
              <w:tc>
                <w:tcPr>
                  <w:tcW w:w="654" w:type="pct"/>
                  <w:vAlign w:val="center"/>
                </w:tcPr>
                <w:p>
                  <w:pPr>
                    <w:pStyle w:val="63"/>
                    <w:rPr>
                      <w:color w:val="auto"/>
                    </w:rPr>
                  </w:pPr>
                  <w:r>
                    <w:rPr>
                      <w:color w:val="auto"/>
                    </w:rPr>
                    <w:t>15</w:t>
                  </w:r>
                </w:p>
              </w:tc>
              <w:tc>
                <w:tcPr>
                  <w:tcW w:w="582" w:type="pct"/>
                  <w:vAlign w:val="center"/>
                </w:tcPr>
                <w:p>
                  <w:pPr>
                    <w:pStyle w:val="63"/>
                    <w:rPr>
                      <w:color w:val="auto"/>
                    </w:rPr>
                  </w:pPr>
                  <w:r>
                    <w:rPr>
                      <w:color w:val="auto"/>
                    </w:rPr>
                    <w:t>35</w:t>
                  </w:r>
                </w:p>
              </w:tc>
              <w:tc>
                <w:tcPr>
                  <w:tcW w:w="658" w:type="pct"/>
                  <w:vAlign w:val="center"/>
                </w:tcPr>
                <w:p>
                  <w:pPr>
                    <w:pStyle w:val="63"/>
                    <w:rPr>
                      <w:color w:val="auto"/>
                    </w:rPr>
                  </w:pPr>
                  <w:r>
                    <w:rPr>
                      <w:color w:val="auto"/>
                      <w:lang w:val="en-US"/>
                    </w:rPr>
                    <w:t>42.86</w:t>
                  </w:r>
                </w:p>
              </w:tc>
              <w:tc>
                <w:tcPr>
                  <w:tcW w:w="500" w:type="pct"/>
                  <w:vAlign w:val="center"/>
                </w:tcPr>
                <w:p>
                  <w:pPr>
                    <w:pStyle w:val="63"/>
                    <w:rPr>
                      <w:color w:val="auto"/>
                    </w:rPr>
                  </w:pPr>
                  <w:r>
                    <w:rPr>
                      <w:rFonts w:hint="eastAsia"/>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45" w:type="pct"/>
                  <w:vMerge w:val="continue"/>
                  <w:vAlign w:val="center"/>
                </w:tcPr>
                <w:p>
                  <w:pPr>
                    <w:pStyle w:val="63"/>
                    <w:rPr>
                      <w:color w:val="auto"/>
                    </w:rPr>
                  </w:pPr>
                </w:p>
              </w:tc>
              <w:tc>
                <w:tcPr>
                  <w:tcW w:w="633" w:type="pct"/>
                  <w:vMerge w:val="continue"/>
                  <w:vAlign w:val="center"/>
                </w:tcPr>
                <w:p>
                  <w:pPr>
                    <w:pStyle w:val="63"/>
                    <w:rPr>
                      <w:color w:val="auto"/>
                    </w:rPr>
                  </w:pPr>
                </w:p>
              </w:tc>
              <w:tc>
                <w:tcPr>
                  <w:tcW w:w="1428" w:type="pct"/>
                  <w:vAlign w:val="center"/>
                </w:tcPr>
                <w:p>
                  <w:pPr>
                    <w:pStyle w:val="63"/>
                    <w:rPr>
                      <w:color w:val="auto"/>
                    </w:rPr>
                  </w:pPr>
                  <w:r>
                    <w:rPr>
                      <w:color w:val="auto"/>
                    </w:rPr>
                    <w:t>95百分位日平均</w:t>
                  </w:r>
                </w:p>
              </w:tc>
              <w:tc>
                <w:tcPr>
                  <w:tcW w:w="654" w:type="pct"/>
                  <w:vAlign w:val="center"/>
                </w:tcPr>
                <w:p>
                  <w:pPr>
                    <w:pStyle w:val="63"/>
                    <w:rPr>
                      <w:color w:val="auto"/>
                    </w:rPr>
                  </w:pPr>
                  <w:r>
                    <w:rPr>
                      <w:color w:val="auto"/>
                    </w:rPr>
                    <w:t>39</w:t>
                  </w:r>
                </w:p>
              </w:tc>
              <w:tc>
                <w:tcPr>
                  <w:tcW w:w="582" w:type="pct"/>
                  <w:vAlign w:val="center"/>
                </w:tcPr>
                <w:p>
                  <w:pPr>
                    <w:pStyle w:val="63"/>
                    <w:rPr>
                      <w:color w:val="auto"/>
                    </w:rPr>
                  </w:pPr>
                  <w:r>
                    <w:rPr>
                      <w:color w:val="auto"/>
                    </w:rPr>
                    <w:t>75</w:t>
                  </w:r>
                </w:p>
              </w:tc>
              <w:tc>
                <w:tcPr>
                  <w:tcW w:w="658" w:type="pct"/>
                  <w:vAlign w:val="center"/>
                </w:tcPr>
                <w:p>
                  <w:pPr>
                    <w:pStyle w:val="63"/>
                    <w:rPr>
                      <w:color w:val="auto"/>
                    </w:rPr>
                  </w:pPr>
                  <w:r>
                    <w:rPr>
                      <w:color w:val="auto"/>
                      <w:lang w:val="en-US"/>
                    </w:rPr>
                    <w:t>52</w:t>
                  </w:r>
                </w:p>
              </w:tc>
              <w:tc>
                <w:tcPr>
                  <w:tcW w:w="500" w:type="pct"/>
                  <w:vAlign w:val="center"/>
                </w:tcPr>
                <w:p>
                  <w:pPr>
                    <w:pStyle w:val="63"/>
                    <w:rPr>
                      <w:color w:val="auto"/>
                    </w:rPr>
                  </w:pPr>
                  <w:r>
                    <w:rPr>
                      <w:rFonts w:hint="eastAsia"/>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45" w:type="pct"/>
                  <w:vAlign w:val="center"/>
                </w:tcPr>
                <w:p>
                  <w:pPr>
                    <w:pStyle w:val="63"/>
                    <w:rPr>
                      <w:color w:val="auto"/>
                    </w:rPr>
                  </w:pPr>
                  <w:r>
                    <w:rPr>
                      <w:color w:val="auto"/>
                    </w:rPr>
                    <w:t>CO</w:t>
                  </w:r>
                </w:p>
              </w:tc>
              <w:tc>
                <w:tcPr>
                  <w:tcW w:w="633" w:type="pct"/>
                  <w:vAlign w:val="center"/>
                </w:tcPr>
                <w:p>
                  <w:pPr>
                    <w:pStyle w:val="63"/>
                    <w:rPr>
                      <w:color w:val="auto"/>
                    </w:rPr>
                  </w:pPr>
                  <w:r>
                    <w:rPr>
                      <w:color w:val="auto"/>
                    </w:rPr>
                    <w:t>361</w:t>
                  </w:r>
                </w:p>
              </w:tc>
              <w:tc>
                <w:tcPr>
                  <w:tcW w:w="1428" w:type="pct"/>
                  <w:vAlign w:val="center"/>
                </w:tcPr>
                <w:p>
                  <w:pPr>
                    <w:pStyle w:val="63"/>
                    <w:rPr>
                      <w:color w:val="auto"/>
                    </w:rPr>
                  </w:pPr>
                  <w:r>
                    <w:rPr>
                      <w:color w:val="auto"/>
                    </w:rPr>
                    <w:t>第95百分位日平均</w:t>
                  </w:r>
                </w:p>
              </w:tc>
              <w:tc>
                <w:tcPr>
                  <w:tcW w:w="654" w:type="pct"/>
                  <w:vAlign w:val="center"/>
                </w:tcPr>
                <w:p>
                  <w:pPr>
                    <w:pStyle w:val="63"/>
                    <w:rPr>
                      <w:color w:val="auto"/>
                    </w:rPr>
                  </w:pPr>
                  <w:r>
                    <w:rPr>
                      <w:color w:val="auto"/>
                    </w:rPr>
                    <w:t>1100</w:t>
                  </w:r>
                </w:p>
              </w:tc>
              <w:tc>
                <w:tcPr>
                  <w:tcW w:w="582" w:type="pct"/>
                  <w:vAlign w:val="center"/>
                </w:tcPr>
                <w:p>
                  <w:pPr>
                    <w:pStyle w:val="63"/>
                    <w:rPr>
                      <w:color w:val="auto"/>
                    </w:rPr>
                  </w:pPr>
                  <w:r>
                    <w:rPr>
                      <w:color w:val="auto"/>
                    </w:rPr>
                    <w:t>4000</w:t>
                  </w:r>
                </w:p>
              </w:tc>
              <w:tc>
                <w:tcPr>
                  <w:tcW w:w="658" w:type="pct"/>
                  <w:vAlign w:val="center"/>
                </w:tcPr>
                <w:p>
                  <w:pPr>
                    <w:pStyle w:val="63"/>
                    <w:rPr>
                      <w:color w:val="auto"/>
                    </w:rPr>
                  </w:pPr>
                  <w:r>
                    <w:rPr>
                      <w:color w:val="auto"/>
                    </w:rPr>
                    <w:t>27.5</w:t>
                  </w:r>
                </w:p>
              </w:tc>
              <w:tc>
                <w:tcPr>
                  <w:tcW w:w="500" w:type="pct"/>
                  <w:vAlign w:val="center"/>
                </w:tcPr>
                <w:p>
                  <w:pPr>
                    <w:pStyle w:val="63"/>
                    <w:rPr>
                      <w:color w:val="auto"/>
                    </w:rPr>
                  </w:pPr>
                  <w:r>
                    <w:rPr>
                      <w:rFonts w:hint="eastAsia"/>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45" w:type="pct"/>
                  <w:vAlign w:val="center"/>
                </w:tcPr>
                <w:p>
                  <w:pPr>
                    <w:pStyle w:val="63"/>
                    <w:rPr>
                      <w:color w:val="auto"/>
                    </w:rPr>
                  </w:pPr>
                  <w:r>
                    <w:rPr>
                      <w:color w:val="auto"/>
                    </w:rPr>
                    <w:t>O</w:t>
                  </w:r>
                  <w:r>
                    <w:rPr>
                      <w:color w:val="auto"/>
                      <w:vertAlign w:val="subscript"/>
                    </w:rPr>
                    <w:t>3</w:t>
                  </w:r>
                </w:p>
              </w:tc>
              <w:tc>
                <w:tcPr>
                  <w:tcW w:w="633" w:type="pct"/>
                  <w:vAlign w:val="center"/>
                </w:tcPr>
                <w:p>
                  <w:pPr>
                    <w:pStyle w:val="63"/>
                    <w:rPr>
                      <w:color w:val="auto"/>
                    </w:rPr>
                  </w:pPr>
                  <w:r>
                    <w:rPr>
                      <w:color w:val="auto"/>
                    </w:rPr>
                    <w:t>362</w:t>
                  </w:r>
                </w:p>
              </w:tc>
              <w:tc>
                <w:tcPr>
                  <w:tcW w:w="1428" w:type="pct"/>
                  <w:vAlign w:val="center"/>
                </w:tcPr>
                <w:p>
                  <w:pPr>
                    <w:pStyle w:val="63"/>
                    <w:rPr>
                      <w:color w:val="auto"/>
                    </w:rPr>
                  </w:pPr>
                  <w:r>
                    <w:rPr>
                      <w:color w:val="auto"/>
                    </w:rPr>
                    <w:t>第90百分位8h平均质量浓度</w:t>
                  </w:r>
                </w:p>
              </w:tc>
              <w:tc>
                <w:tcPr>
                  <w:tcW w:w="654" w:type="pct"/>
                  <w:vAlign w:val="center"/>
                </w:tcPr>
                <w:p>
                  <w:pPr>
                    <w:pStyle w:val="63"/>
                    <w:rPr>
                      <w:color w:val="auto"/>
                    </w:rPr>
                  </w:pPr>
                  <w:r>
                    <w:rPr>
                      <w:color w:val="auto"/>
                    </w:rPr>
                    <w:t>109</w:t>
                  </w:r>
                </w:p>
              </w:tc>
              <w:tc>
                <w:tcPr>
                  <w:tcW w:w="582" w:type="pct"/>
                  <w:vAlign w:val="center"/>
                </w:tcPr>
                <w:p>
                  <w:pPr>
                    <w:pStyle w:val="63"/>
                    <w:rPr>
                      <w:color w:val="auto"/>
                    </w:rPr>
                  </w:pPr>
                  <w:r>
                    <w:rPr>
                      <w:color w:val="auto"/>
                    </w:rPr>
                    <w:t>160</w:t>
                  </w:r>
                </w:p>
              </w:tc>
              <w:tc>
                <w:tcPr>
                  <w:tcW w:w="658" w:type="pct"/>
                  <w:vAlign w:val="center"/>
                </w:tcPr>
                <w:p>
                  <w:pPr>
                    <w:pStyle w:val="63"/>
                    <w:rPr>
                      <w:color w:val="auto"/>
                    </w:rPr>
                  </w:pPr>
                  <w:r>
                    <w:rPr>
                      <w:color w:val="auto"/>
                    </w:rPr>
                    <w:t>68.13</w:t>
                  </w:r>
                </w:p>
              </w:tc>
              <w:tc>
                <w:tcPr>
                  <w:tcW w:w="500" w:type="pct"/>
                  <w:vAlign w:val="center"/>
                </w:tcPr>
                <w:p>
                  <w:pPr>
                    <w:pStyle w:val="63"/>
                    <w:rPr>
                      <w:color w:val="auto"/>
                    </w:rPr>
                  </w:pPr>
                  <w:r>
                    <w:rPr>
                      <w:rFonts w:hint="eastAsia"/>
                      <w:color w:val="auto"/>
                      <w:lang w:eastAsia="zh-CN"/>
                    </w:rPr>
                    <w:t>达标</w:t>
                  </w:r>
                </w:p>
              </w:tc>
            </w:tr>
          </w:tbl>
          <w:p>
            <w:pPr>
              <w:ind w:firstLine="480"/>
              <w:rPr>
                <w:color w:val="auto"/>
              </w:rPr>
            </w:pPr>
            <w:r>
              <w:rPr>
                <w:color w:val="auto"/>
              </w:rPr>
              <w:t>根据《师宗县2022年城市环境空气质量报告》，师宗县中心城区2022年环境空气中PM</w:t>
            </w:r>
            <w:r>
              <w:rPr>
                <w:color w:val="auto"/>
                <w:vertAlign w:val="subscript"/>
              </w:rPr>
              <w:t>2.5</w:t>
            </w:r>
            <w:r>
              <w:rPr>
                <w:color w:val="auto"/>
              </w:rPr>
              <w:t>、PM</w:t>
            </w:r>
            <w:r>
              <w:rPr>
                <w:color w:val="auto"/>
                <w:vertAlign w:val="subscript"/>
              </w:rPr>
              <w:t>10</w:t>
            </w:r>
            <w:r>
              <w:rPr>
                <w:color w:val="auto"/>
              </w:rPr>
              <w:t>、SO</w:t>
            </w:r>
            <w:r>
              <w:rPr>
                <w:color w:val="auto"/>
                <w:vertAlign w:val="subscript"/>
              </w:rPr>
              <w:t>2</w:t>
            </w:r>
            <w:r>
              <w:rPr>
                <w:color w:val="auto"/>
              </w:rPr>
              <w:t>、NO</w:t>
            </w:r>
            <w:r>
              <w:rPr>
                <w:color w:val="auto"/>
                <w:vertAlign w:val="subscript"/>
              </w:rPr>
              <w:t>2</w:t>
            </w:r>
            <w:r>
              <w:rPr>
                <w:color w:val="auto"/>
              </w:rPr>
              <w:t>年均浓度、CO24小时平均浓度第95百分位数、O</w:t>
            </w:r>
            <w:r>
              <w:rPr>
                <w:color w:val="auto"/>
                <w:vertAlign w:val="subscript"/>
              </w:rPr>
              <w:t>3</w:t>
            </w:r>
            <w:r>
              <w:rPr>
                <w:color w:val="auto"/>
              </w:rPr>
              <w:t>8h浓度第90百分位数均小于《环境空气质量标准》（GB3095-2012）及其修改单中的二级标准要求，因此判定项目所在区域为环境空气质量达标区。</w:t>
            </w:r>
          </w:p>
          <w:p>
            <w:pPr>
              <w:pStyle w:val="80"/>
              <w:ind w:firstLine="482"/>
              <w:rPr>
                <w:color w:val="auto"/>
              </w:rPr>
            </w:pPr>
            <w:r>
              <w:rPr>
                <w:rFonts w:hint="eastAsia"/>
                <w:color w:val="auto"/>
              </w:rPr>
              <w:t>2</w:t>
            </w:r>
            <w:r>
              <w:rPr>
                <w:color w:val="auto"/>
              </w:rPr>
              <w:t>.</w:t>
            </w:r>
            <w:r>
              <w:rPr>
                <w:rFonts w:hint="eastAsia"/>
                <w:color w:val="auto"/>
              </w:rPr>
              <w:t>特征污染物补充监测情况</w:t>
            </w:r>
          </w:p>
          <w:p>
            <w:pPr>
              <w:ind w:firstLine="480"/>
              <w:rPr>
                <w:color w:val="auto"/>
              </w:rPr>
            </w:pPr>
            <w:r>
              <w:rPr>
                <w:rFonts w:hint="eastAsia"/>
                <w:color w:val="auto"/>
              </w:rPr>
              <w:t>本项目特征污染物为T</w:t>
            </w:r>
            <w:r>
              <w:rPr>
                <w:color w:val="auto"/>
              </w:rPr>
              <w:t>SP</w:t>
            </w:r>
            <w:r>
              <w:rPr>
                <w:rFonts w:hint="eastAsia"/>
                <w:color w:val="auto"/>
              </w:rPr>
              <w:t>、</w:t>
            </w:r>
            <w:r>
              <w:rPr>
                <w:color w:val="auto"/>
              </w:rPr>
              <w:t>SO</w:t>
            </w:r>
            <w:r>
              <w:rPr>
                <w:color w:val="auto"/>
                <w:vertAlign w:val="subscript"/>
              </w:rPr>
              <w:t>2</w:t>
            </w:r>
            <w:r>
              <w:rPr>
                <w:color w:val="auto"/>
              </w:rPr>
              <w:t>、NOx</w:t>
            </w:r>
            <w:r>
              <w:rPr>
                <w:rFonts w:hint="eastAsia"/>
                <w:color w:val="auto"/>
              </w:rPr>
              <w:t>、氟化物（本次技改废气排放口不涉及氟化物排放，氟化物排放来源于本次技改项目后续的酸洗工序，酸洗废气经D</w:t>
            </w:r>
            <w:r>
              <w:rPr>
                <w:color w:val="auto"/>
              </w:rPr>
              <w:t>A006</w:t>
            </w:r>
            <w:r>
              <w:rPr>
                <w:rFonts w:hint="eastAsia"/>
                <w:color w:val="auto"/>
              </w:rPr>
              <w:t>废气排放口排放，从整个项目考虑将其纳入现状评价）。</w:t>
            </w:r>
            <w:r>
              <w:rPr>
                <w:color w:val="auto"/>
              </w:rPr>
              <w:t>SO</w:t>
            </w:r>
            <w:r>
              <w:rPr>
                <w:color w:val="auto"/>
                <w:vertAlign w:val="subscript"/>
              </w:rPr>
              <w:t>2</w:t>
            </w:r>
            <w:r>
              <w:rPr>
                <w:rFonts w:hint="eastAsia"/>
                <w:color w:val="auto"/>
              </w:rPr>
              <w:t>属于</w:t>
            </w:r>
            <w:r>
              <w:rPr>
                <w:color w:val="auto"/>
              </w:rPr>
              <w:t>《环境空气质量标准》（GB3095-2012）及其修改单中的</w:t>
            </w:r>
            <w:r>
              <w:rPr>
                <w:rFonts w:hint="eastAsia"/>
                <w:color w:val="auto"/>
              </w:rPr>
              <w:t>常规污染物，上文已经对其现状达标进行判定，本次环评引用《云南师宗产业园区总体规划（2021-20</w:t>
            </w:r>
            <w:r>
              <w:rPr>
                <w:color w:val="auto"/>
              </w:rPr>
              <w:t>35</w:t>
            </w:r>
            <w:r>
              <w:rPr>
                <w:rFonts w:hint="eastAsia"/>
                <w:color w:val="auto"/>
              </w:rPr>
              <w:t>）环境影响报告书》中T</w:t>
            </w:r>
            <w:r>
              <w:rPr>
                <w:color w:val="auto"/>
              </w:rPr>
              <w:t>SP、NOx</w:t>
            </w:r>
            <w:r>
              <w:rPr>
                <w:rFonts w:hint="eastAsia"/>
                <w:color w:val="auto"/>
              </w:rPr>
              <w:t>、氟化物补充监测数据进行现状达标情况进行分析。</w:t>
            </w:r>
          </w:p>
          <w:p>
            <w:pPr>
              <w:ind w:firstLine="480"/>
              <w:rPr>
                <w:color w:val="auto"/>
              </w:rPr>
            </w:pPr>
            <w:r>
              <w:rPr>
                <w:rFonts w:hint="eastAsia"/>
                <w:color w:val="auto"/>
              </w:rPr>
              <w:t>规划环评评价期间，引用</w:t>
            </w:r>
            <w:r>
              <w:rPr>
                <w:color w:val="auto"/>
              </w:rPr>
              <w:t>云南天高镍业有限公司于2022年2月26日~3月4日委托云南浩辰环保科技有限公司</w:t>
            </w:r>
            <w:r>
              <w:rPr>
                <w:rFonts w:hint="eastAsia"/>
                <w:color w:val="auto"/>
              </w:rPr>
              <w:t>对</w:t>
            </w:r>
            <w:r>
              <w:rPr>
                <w:color w:val="auto"/>
              </w:rPr>
              <w:t>团坡</w:t>
            </w:r>
            <w:r>
              <w:rPr>
                <w:rFonts w:hint="eastAsia"/>
                <w:color w:val="auto"/>
              </w:rPr>
              <w:t>村开展了T</w:t>
            </w:r>
            <w:r>
              <w:rPr>
                <w:color w:val="auto"/>
              </w:rPr>
              <w:t>SP、NOx</w:t>
            </w:r>
            <w:r>
              <w:rPr>
                <w:rFonts w:hint="eastAsia"/>
                <w:color w:val="auto"/>
              </w:rPr>
              <w:t>、氟化物现状补充监测，监测情况见下：</w:t>
            </w:r>
          </w:p>
          <w:p>
            <w:pPr>
              <w:ind w:firstLine="480"/>
              <w:rPr>
                <w:color w:val="auto"/>
              </w:rPr>
            </w:pPr>
            <w:r>
              <w:rPr>
                <w:rFonts w:hint="eastAsia"/>
                <w:color w:val="auto"/>
              </w:rPr>
              <w:t>监测日期：</w:t>
            </w:r>
            <w:r>
              <w:rPr>
                <w:color w:val="auto"/>
              </w:rPr>
              <w:t>2022年2月26日~3月4日</w:t>
            </w:r>
            <w:r>
              <w:rPr>
                <w:rFonts w:hint="eastAsia"/>
                <w:color w:val="auto"/>
              </w:rPr>
              <w:t>，共7天</w:t>
            </w:r>
          </w:p>
          <w:p>
            <w:pPr>
              <w:ind w:firstLine="480"/>
              <w:rPr>
                <w:color w:val="auto"/>
              </w:rPr>
            </w:pPr>
            <w:r>
              <w:rPr>
                <w:rFonts w:hint="eastAsia"/>
                <w:color w:val="auto"/>
              </w:rPr>
              <w:t>监测点位：</w:t>
            </w:r>
            <w:r>
              <w:rPr>
                <w:color w:val="auto"/>
              </w:rPr>
              <w:t>团坡村，经度104°4′22.13622″，纬度24°48′46.35023″</w:t>
            </w:r>
          </w:p>
          <w:p>
            <w:pPr>
              <w:ind w:firstLine="480"/>
              <w:rPr>
                <w:color w:val="auto"/>
              </w:rPr>
            </w:pPr>
            <w:r>
              <w:rPr>
                <w:rFonts w:hint="eastAsia"/>
                <w:color w:val="auto"/>
              </w:rPr>
              <w:t>根据《建设项目环境影响报告表编制技术指南（污染影响类）（试行）》要求：排放国家、地方环境空气质量标准中有标准限值要求的特征污染物时，引用建设项目周边5千米范围内近3年的现有监测数据，无相关数据的选择当季主导风向下风向1个点位补充不少于3天的监测数据。</w:t>
            </w:r>
          </w:p>
          <w:p>
            <w:pPr>
              <w:ind w:firstLine="480"/>
              <w:rPr>
                <w:color w:val="auto"/>
              </w:rPr>
            </w:pPr>
            <w:r>
              <w:rPr>
                <w:rFonts w:hint="eastAsia"/>
                <w:color w:val="auto"/>
              </w:rPr>
              <w:t>本次引用规划环评中</w:t>
            </w:r>
            <w:r>
              <w:rPr>
                <w:color w:val="auto"/>
              </w:rPr>
              <w:t>团坡村</w:t>
            </w:r>
            <w:r>
              <w:rPr>
                <w:rFonts w:hint="eastAsia"/>
                <w:color w:val="auto"/>
              </w:rPr>
              <w:t>补充监测数据，引用监测点位位于本项目下风向1</w:t>
            </w:r>
            <w:r>
              <w:rPr>
                <w:color w:val="auto"/>
              </w:rPr>
              <w:t>.88</w:t>
            </w:r>
            <w:r>
              <w:rPr>
                <w:rFonts w:hint="eastAsia"/>
                <w:color w:val="auto"/>
              </w:rPr>
              <w:t>km处，引用监测点距离、监测时间、频次满足编制指南要求，因此引用数据合理。</w:t>
            </w:r>
          </w:p>
          <w:p>
            <w:pPr>
              <w:ind w:firstLine="480"/>
              <w:rPr>
                <w:color w:val="auto"/>
              </w:rPr>
            </w:pPr>
            <w:r>
              <w:rPr>
                <w:rFonts w:hint="eastAsia"/>
                <w:color w:val="auto"/>
              </w:rPr>
              <w:t>根据规划环评，引用监测数据统计见下表：</w:t>
            </w:r>
          </w:p>
          <w:p>
            <w:pPr>
              <w:pStyle w:val="66"/>
              <w:rPr>
                <w:color w:val="auto"/>
              </w:rPr>
            </w:pPr>
            <w:r>
              <w:rPr>
                <w:rFonts w:hint="eastAsia"/>
                <w:color w:val="auto"/>
              </w:rPr>
              <w:t>表3</w:t>
            </w:r>
            <w:r>
              <w:rPr>
                <w:color w:val="auto"/>
              </w:rPr>
              <w:t xml:space="preserve">.1-4 </w:t>
            </w:r>
            <w:r>
              <w:rPr>
                <w:rFonts w:hint="eastAsia"/>
                <w:color w:val="auto"/>
              </w:rPr>
              <w:t xml:space="preserve">引用监测结果一览表 </w:t>
            </w:r>
            <w:r>
              <w:rPr>
                <w:color w:val="auto"/>
              </w:rPr>
              <w:t xml:space="preserve">   </w:t>
            </w:r>
            <w:r>
              <w:rPr>
                <w:rFonts w:hint="eastAsia"/>
                <w:color w:val="auto"/>
              </w:rPr>
              <w:t>单位：</w:t>
            </w:r>
            <w:r>
              <w:rPr>
                <w:color w:val="auto"/>
              </w:rPr>
              <w:t>mg/m</w:t>
            </w:r>
            <w:r>
              <w:rPr>
                <w:color w:val="auto"/>
                <w:vertAlign w:val="superscript"/>
              </w:rPr>
              <w:t>3</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656"/>
              <w:gridCol w:w="827"/>
              <w:gridCol w:w="1589"/>
              <w:gridCol w:w="816"/>
              <w:gridCol w:w="850"/>
              <w:gridCol w:w="143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Align w:val="center"/>
                </w:tcPr>
                <w:p>
                  <w:pPr>
                    <w:pStyle w:val="63"/>
                    <w:rPr>
                      <w:color w:val="auto"/>
                    </w:rPr>
                  </w:pPr>
                  <w:r>
                    <w:rPr>
                      <w:color w:val="auto"/>
                    </w:rPr>
                    <w:t>监测点位</w:t>
                  </w:r>
                </w:p>
              </w:tc>
              <w:tc>
                <w:tcPr>
                  <w:tcW w:w="419" w:type="pct"/>
                  <w:vAlign w:val="center"/>
                </w:tcPr>
                <w:p>
                  <w:pPr>
                    <w:pStyle w:val="63"/>
                    <w:rPr>
                      <w:color w:val="auto"/>
                    </w:rPr>
                  </w:pPr>
                  <w:r>
                    <w:rPr>
                      <w:color w:val="auto"/>
                    </w:rPr>
                    <w:t>监测因子</w:t>
                  </w:r>
                </w:p>
              </w:tc>
              <w:tc>
                <w:tcPr>
                  <w:tcW w:w="528" w:type="pct"/>
                  <w:vAlign w:val="center"/>
                </w:tcPr>
                <w:p>
                  <w:pPr>
                    <w:pStyle w:val="63"/>
                    <w:rPr>
                      <w:color w:val="auto"/>
                    </w:rPr>
                  </w:pPr>
                  <w:r>
                    <w:rPr>
                      <w:color w:val="auto"/>
                    </w:rPr>
                    <w:t>浓度类型</w:t>
                  </w:r>
                </w:p>
              </w:tc>
              <w:tc>
                <w:tcPr>
                  <w:tcW w:w="1015" w:type="pct"/>
                  <w:vAlign w:val="center"/>
                </w:tcPr>
                <w:p>
                  <w:pPr>
                    <w:pStyle w:val="63"/>
                    <w:rPr>
                      <w:color w:val="auto"/>
                    </w:rPr>
                  </w:pPr>
                  <w:r>
                    <w:rPr>
                      <w:color w:val="auto"/>
                    </w:rPr>
                    <w:t>监测浓度范围</w:t>
                  </w:r>
                </w:p>
              </w:tc>
              <w:tc>
                <w:tcPr>
                  <w:tcW w:w="521" w:type="pct"/>
                  <w:vAlign w:val="center"/>
                </w:tcPr>
                <w:p>
                  <w:pPr>
                    <w:pStyle w:val="63"/>
                    <w:rPr>
                      <w:color w:val="auto"/>
                    </w:rPr>
                  </w:pPr>
                  <w:r>
                    <w:rPr>
                      <w:color w:val="auto"/>
                    </w:rPr>
                    <w:t>平均浓度</w:t>
                  </w:r>
                </w:p>
              </w:tc>
              <w:tc>
                <w:tcPr>
                  <w:tcW w:w="543" w:type="pct"/>
                  <w:vAlign w:val="center"/>
                </w:tcPr>
                <w:p>
                  <w:pPr>
                    <w:pStyle w:val="63"/>
                    <w:rPr>
                      <w:color w:val="auto"/>
                    </w:rPr>
                  </w:pPr>
                  <w:r>
                    <w:rPr>
                      <w:color w:val="auto"/>
                    </w:rPr>
                    <w:t>标准限值</w:t>
                  </w:r>
                </w:p>
              </w:tc>
              <w:tc>
                <w:tcPr>
                  <w:tcW w:w="916" w:type="pct"/>
                  <w:vAlign w:val="center"/>
                </w:tcPr>
                <w:p>
                  <w:pPr>
                    <w:pStyle w:val="63"/>
                    <w:rPr>
                      <w:color w:val="auto"/>
                    </w:rPr>
                  </w:pPr>
                  <w:r>
                    <w:rPr>
                      <w:color w:val="auto"/>
                    </w:rPr>
                    <w:t>占标率（%）</w:t>
                  </w:r>
                </w:p>
              </w:tc>
              <w:tc>
                <w:tcPr>
                  <w:tcW w:w="488" w:type="pct"/>
                  <w:vAlign w:val="center"/>
                </w:tcPr>
                <w:p>
                  <w:pPr>
                    <w:pStyle w:val="63"/>
                    <w:rPr>
                      <w:color w:val="auto"/>
                    </w:rPr>
                  </w:pPr>
                  <w:r>
                    <w:rPr>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pct"/>
                  <w:vMerge w:val="restart"/>
                  <w:vAlign w:val="center"/>
                </w:tcPr>
                <w:p>
                  <w:pPr>
                    <w:pStyle w:val="63"/>
                    <w:rPr>
                      <w:color w:val="auto"/>
                    </w:rPr>
                  </w:pPr>
                  <w:r>
                    <w:rPr>
                      <w:color w:val="auto"/>
                    </w:rPr>
                    <w:t>团坡村</w:t>
                  </w:r>
                </w:p>
              </w:tc>
              <w:tc>
                <w:tcPr>
                  <w:tcW w:w="419" w:type="pct"/>
                  <w:vAlign w:val="center"/>
                </w:tcPr>
                <w:p>
                  <w:pPr>
                    <w:pStyle w:val="63"/>
                    <w:rPr>
                      <w:color w:val="auto"/>
                    </w:rPr>
                  </w:pPr>
                  <w:r>
                    <w:rPr>
                      <w:color w:val="auto"/>
                    </w:rPr>
                    <w:t>TSP</w:t>
                  </w:r>
                </w:p>
              </w:tc>
              <w:tc>
                <w:tcPr>
                  <w:tcW w:w="528" w:type="pct"/>
                  <w:vAlign w:val="center"/>
                </w:tcPr>
                <w:p>
                  <w:pPr>
                    <w:pStyle w:val="63"/>
                    <w:rPr>
                      <w:color w:val="auto"/>
                    </w:rPr>
                  </w:pPr>
                  <w:r>
                    <w:rPr>
                      <w:color w:val="auto"/>
                    </w:rPr>
                    <w:t>日均浓度</w:t>
                  </w:r>
                </w:p>
              </w:tc>
              <w:tc>
                <w:tcPr>
                  <w:tcW w:w="1015" w:type="pct"/>
                  <w:vAlign w:val="center"/>
                </w:tcPr>
                <w:p>
                  <w:pPr>
                    <w:pStyle w:val="63"/>
                    <w:rPr>
                      <w:color w:val="auto"/>
                    </w:rPr>
                  </w:pPr>
                  <w:r>
                    <w:rPr>
                      <w:color w:val="auto"/>
                    </w:rPr>
                    <w:t>0.036~0.040</w:t>
                  </w:r>
                </w:p>
              </w:tc>
              <w:tc>
                <w:tcPr>
                  <w:tcW w:w="521" w:type="pct"/>
                  <w:vAlign w:val="center"/>
                </w:tcPr>
                <w:p>
                  <w:pPr>
                    <w:pStyle w:val="63"/>
                    <w:rPr>
                      <w:color w:val="auto"/>
                    </w:rPr>
                  </w:pPr>
                  <w:r>
                    <w:rPr>
                      <w:color w:val="auto"/>
                    </w:rPr>
                    <w:t>0.038</w:t>
                  </w:r>
                </w:p>
              </w:tc>
              <w:tc>
                <w:tcPr>
                  <w:tcW w:w="543" w:type="pct"/>
                  <w:vAlign w:val="center"/>
                </w:tcPr>
                <w:p>
                  <w:pPr>
                    <w:pStyle w:val="63"/>
                    <w:rPr>
                      <w:color w:val="auto"/>
                    </w:rPr>
                  </w:pPr>
                  <w:r>
                    <w:rPr>
                      <w:color w:val="auto"/>
                    </w:rPr>
                    <w:t>0.3</w:t>
                  </w:r>
                </w:p>
              </w:tc>
              <w:tc>
                <w:tcPr>
                  <w:tcW w:w="916" w:type="pct"/>
                  <w:vAlign w:val="center"/>
                </w:tcPr>
                <w:p>
                  <w:pPr>
                    <w:pStyle w:val="63"/>
                    <w:rPr>
                      <w:color w:val="auto"/>
                    </w:rPr>
                  </w:pPr>
                  <w:r>
                    <w:rPr>
                      <w:color w:val="auto"/>
                    </w:rPr>
                    <w:t>12~13</w:t>
                  </w:r>
                </w:p>
              </w:tc>
              <w:tc>
                <w:tcPr>
                  <w:tcW w:w="489" w:type="pct"/>
                  <w:vAlign w:val="center"/>
                </w:tcPr>
                <w:p>
                  <w:pPr>
                    <w:pStyle w:val="63"/>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vAlign w:val="center"/>
                </w:tcPr>
                <w:p>
                  <w:pPr>
                    <w:pStyle w:val="63"/>
                    <w:rPr>
                      <w:color w:val="auto"/>
                    </w:rPr>
                  </w:pPr>
                </w:p>
              </w:tc>
              <w:tc>
                <w:tcPr>
                  <w:tcW w:w="419" w:type="pct"/>
                  <w:vMerge w:val="restart"/>
                  <w:vAlign w:val="center"/>
                </w:tcPr>
                <w:p>
                  <w:pPr>
                    <w:pStyle w:val="63"/>
                    <w:rPr>
                      <w:color w:val="auto"/>
                    </w:rPr>
                  </w:pPr>
                  <w:r>
                    <w:rPr>
                      <w:color w:val="auto"/>
                    </w:rPr>
                    <w:t>NOx</w:t>
                  </w:r>
                </w:p>
              </w:tc>
              <w:tc>
                <w:tcPr>
                  <w:tcW w:w="528" w:type="pct"/>
                  <w:vAlign w:val="center"/>
                </w:tcPr>
                <w:p>
                  <w:pPr>
                    <w:pStyle w:val="63"/>
                    <w:rPr>
                      <w:color w:val="auto"/>
                    </w:rPr>
                  </w:pPr>
                  <w:r>
                    <w:rPr>
                      <w:color w:val="auto"/>
                    </w:rPr>
                    <w:t>小时浓度</w:t>
                  </w:r>
                </w:p>
              </w:tc>
              <w:tc>
                <w:tcPr>
                  <w:tcW w:w="1015" w:type="pct"/>
                  <w:vAlign w:val="center"/>
                </w:tcPr>
                <w:p>
                  <w:pPr>
                    <w:pStyle w:val="63"/>
                    <w:rPr>
                      <w:color w:val="auto"/>
                    </w:rPr>
                  </w:pPr>
                  <w:r>
                    <w:rPr>
                      <w:color w:val="auto"/>
                    </w:rPr>
                    <w:t>0.017~0.054</w:t>
                  </w:r>
                </w:p>
              </w:tc>
              <w:tc>
                <w:tcPr>
                  <w:tcW w:w="521" w:type="pct"/>
                  <w:vAlign w:val="center"/>
                </w:tcPr>
                <w:p>
                  <w:pPr>
                    <w:pStyle w:val="63"/>
                    <w:rPr>
                      <w:color w:val="auto"/>
                    </w:rPr>
                  </w:pPr>
                  <w:r>
                    <w:rPr>
                      <w:color w:val="auto"/>
                    </w:rPr>
                    <w:t>0.034</w:t>
                  </w:r>
                </w:p>
              </w:tc>
              <w:tc>
                <w:tcPr>
                  <w:tcW w:w="543" w:type="pct"/>
                  <w:vAlign w:val="center"/>
                </w:tcPr>
                <w:p>
                  <w:pPr>
                    <w:pStyle w:val="63"/>
                    <w:rPr>
                      <w:color w:val="auto"/>
                    </w:rPr>
                  </w:pPr>
                  <w:r>
                    <w:rPr>
                      <w:color w:val="auto"/>
                    </w:rPr>
                    <w:t>0.25</w:t>
                  </w:r>
                </w:p>
              </w:tc>
              <w:tc>
                <w:tcPr>
                  <w:tcW w:w="916" w:type="pct"/>
                  <w:vAlign w:val="center"/>
                </w:tcPr>
                <w:p>
                  <w:pPr>
                    <w:pStyle w:val="63"/>
                    <w:rPr>
                      <w:color w:val="auto"/>
                    </w:rPr>
                  </w:pPr>
                  <w:r>
                    <w:rPr>
                      <w:color w:val="auto"/>
                    </w:rPr>
                    <w:t>6.8~21.6</w:t>
                  </w:r>
                </w:p>
              </w:tc>
              <w:tc>
                <w:tcPr>
                  <w:tcW w:w="488" w:type="pct"/>
                  <w:vAlign w:val="center"/>
                </w:tcPr>
                <w:p>
                  <w:pPr>
                    <w:pStyle w:val="63"/>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vAlign w:val="center"/>
                </w:tcPr>
                <w:p>
                  <w:pPr>
                    <w:pStyle w:val="63"/>
                    <w:rPr>
                      <w:color w:val="auto"/>
                    </w:rPr>
                  </w:pPr>
                </w:p>
              </w:tc>
              <w:tc>
                <w:tcPr>
                  <w:tcW w:w="419" w:type="pct"/>
                  <w:vMerge w:val="continue"/>
                  <w:vAlign w:val="center"/>
                </w:tcPr>
                <w:p>
                  <w:pPr>
                    <w:pStyle w:val="63"/>
                    <w:rPr>
                      <w:color w:val="auto"/>
                    </w:rPr>
                  </w:pPr>
                </w:p>
              </w:tc>
              <w:tc>
                <w:tcPr>
                  <w:tcW w:w="528" w:type="pct"/>
                  <w:vAlign w:val="center"/>
                </w:tcPr>
                <w:p>
                  <w:pPr>
                    <w:pStyle w:val="63"/>
                    <w:rPr>
                      <w:color w:val="auto"/>
                    </w:rPr>
                  </w:pPr>
                  <w:r>
                    <w:rPr>
                      <w:color w:val="auto"/>
                    </w:rPr>
                    <w:t>日均浓度</w:t>
                  </w:r>
                </w:p>
              </w:tc>
              <w:tc>
                <w:tcPr>
                  <w:tcW w:w="1015" w:type="pct"/>
                  <w:vAlign w:val="center"/>
                </w:tcPr>
                <w:p>
                  <w:pPr>
                    <w:pStyle w:val="63"/>
                    <w:rPr>
                      <w:color w:val="auto"/>
                    </w:rPr>
                  </w:pPr>
                  <w:r>
                    <w:rPr>
                      <w:color w:val="auto"/>
                    </w:rPr>
                    <w:t>0.023~0.034</w:t>
                  </w:r>
                </w:p>
              </w:tc>
              <w:tc>
                <w:tcPr>
                  <w:tcW w:w="521" w:type="pct"/>
                  <w:vAlign w:val="center"/>
                </w:tcPr>
                <w:p>
                  <w:pPr>
                    <w:pStyle w:val="63"/>
                    <w:rPr>
                      <w:color w:val="auto"/>
                    </w:rPr>
                  </w:pPr>
                  <w:r>
                    <w:rPr>
                      <w:color w:val="auto"/>
                    </w:rPr>
                    <w:t>0.028</w:t>
                  </w:r>
                </w:p>
              </w:tc>
              <w:tc>
                <w:tcPr>
                  <w:tcW w:w="543" w:type="pct"/>
                  <w:vAlign w:val="center"/>
                </w:tcPr>
                <w:p>
                  <w:pPr>
                    <w:pStyle w:val="63"/>
                    <w:rPr>
                      <w:color w:val="auto"/>
                    </w:rPr>
                  </w:pPr>
                  <w:r>
                    <w:rPr>
                      <w:color w:val="auto"/>
                    </w:rPr>
                    <w:t>0.1</w:t>
                  </w:r>
                </w:p>
              </w:tc>
              <w:tc>
                <w:tcPr>
                  <w:tcW w:w="916" w:type="pct"/>
                  <w:vAlign w:val="center"/>
                </w:tcPr>
                <w:p>
                  <w:pPr>
                    <w:pStyle w:val="63"/>
                    <w:rPr>
                      <w:color w:val="auto"/>
                    </w:rPr>
                  </w:pPr>
                  <w:r>
                    <w:rPr>
                      <w:color w:val="auto"/>
                    </w:rPr>
                    <w:t>23~34</w:t>
                  </w:r>
                </w:p>
              </w:tc>
              <w:tc>
                <w:tcPr>
                  <w:tcW w:w="488" w:type="pct"/>
                  <w:vAlign w:val="center"/>
                </w:tcPr>
                <w:p>
                  <w:pPr>
                    <w:pStyle w:val="63"/>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vAlign w:val="center"/>
                </w:tcPr>
                <w:p>
                  <w:pPr>
                    <w:pStyle w:val="63"/>
                    <w:rPr>
                      <w:color w:val="auto"/>
                    </w:rPr>
                  </w:pPr>
                </w:p>
              </w:tc>
              <w:tc>
                <w:tcPr>
                  <w:tcW w:w="419" w:type="pct"/>
                  <w:vAlign w:val="center"/>
                </w:tcPr>
                <w:p>
                  <w:pPr>
                    <w:pStyle w:val="63"/>
                    <w:rPr>
                      <w:color w:val="auto"/>
                    </w:rPr>
                  </w:pPr>
                  <w:r>
                    <w:rPr>
                      <w:rFonts w:hint="eastAsia"/>
                      <w:color w:val="auto"/>
                      <w:lang w:eastAsia="zh-CN"/>
                    </w:rPr>
                    <w:t>氟化物</w:t>
                  </w:r>
                </w:p>
              </w:tc>
              <w:tc>
                <w:tcPr>
                  <w:tcW w:w="528" w:type="pct"/>
                  <w:vAlign w:val="center"/>
                </w:tcPr>
                <w:p>
                  <w:pPr>
                    <w:pStyle w:val="63"/>
                    <w:rPr>
                      <w:color w:val="auto"/>
                    </w:rPr>
                  </w:pPr>
                  <w:r>
                    <w:rPr>
                      <w:color w:val="auto"/>
                      <w:lang w:val="en-US"/>
                    </w:rPr>
                    <w:t>日均浓度</w:t>
                  </w:r>
                </w:p>
              </w:tc>
              <w:tc>
                <w:tcPr>
                  <w:tcW w:w="1015" w:type="pct"/>
                  <w:vAlign w:val="center"/>
                </w:tcPr>
                <w:p>
                  <w:pPr>
                    <w:pStyle w:val="63"/>
                    <w:rPr>
                      <w:color w:val="auto"/>
                    </w:rPr>
                  </w:pPr>
                  <w:r>
                    <w:rPr>
                      <w:color w:val="auto"/>
                      <w:lang w:val="en-US"/>
                    </w:rPr>
                    <w:t>1.96~3.20µg/m</w:t>
                  </w:r>
                  <w:r>
                    <w:rPr>
                      <w:color w:val="auto"/>
                      <w:vertAlign w:val="superscript"/>
                      <w:lang w:val="en-US"/>
                    </w:rPr>
                    <w:t>3</w:t>
                  </w:r>
                </w:p>
              </w:tc>
              <w:tc>
                <w:tcPr>
                  <w:tcW w:w="521" w:type="pct"/>
                  <w:vAlign w:val="center"/>
                </w:tcPr>
                <w:p>
                  <w:pPr>
                    <w:pStyle w:val="63"/>
                    <w:rPr>
                      <w:color w:val="auto"/>
                    </w:rPr>
                  </w:pPr>
                  <w:r>
                    <w:rPr>
                      <w:color w:val="auto"/>
                      <w:lang w:val="en-US"/>
                    </w:rPr>
                    <w:t>2.5µg/m</w:t>
                  </w:r>
                  <w:r>
                    <w:rPr>
                      <w:color w:val="auto"/>
                      <w:vertAlign w:val="superscript"/>
                      <w:lang w:val="en-US"/>
                    </w:rPr>
                    <w:t>3</w:t>
                  </w:r>
                </w:p>
              </w:tc>
              <w:tc>
                <w:tcPr>
                  <w:tcW w:w="543" w:type="pct"/>
                  <w:vAlign w:val="center"/>
                </w:tcPr>
                <w:p>
                  <w:pPr>
                    <w:pStyle w:val="63"/>
                    <w:rPr>
                      <w:color w:val="auto"/>
                    </w:rPr>
                  </w:pPr>
                  <w:r>
                    <w:rPr>
                      <w:color w:val="auto"/>
                      <w:lang w:val="en-US"/>
                    </w:rPr>
                    <w:t>7µg/m</w:t>
                  </w:r>
                  <w:r>
                    <w:rPr>
                      <w:color w:val="auto"/>
                      <w:vertAlign w:val="superscript"/>
                      <w:lang w:val="en-US"/>
                    </w:rPr>
                    <w:t>3</w:t>
                  </w:r>
                </w:p>
              </w:tc>
              <w:tc>
                <w:tcPr>
                  <w:tcW w:w="916" w:type="pct"/>
                  <w:vAlign w:val="center"/>
                </w:tcPr>
                <w:p>
                  <w:pPr>
                    <w:pStyle w:val="63"/>
                    <w:rPr>
                      <w:color w:val="auto"/>
                    </w:rPr>
                  </w:pPr>
                  <w:r>
                    <w:rPr>
                      <w:color w:val="auto"/>
                      <w:lang w:val="en-US"/>
                    </w:rPr>
                    <w:t>0.28~0.46</w:t>
                  </w:r>
                </w:p>
              </w:tc>
              <w:tc>
                <w:tcPr>
                  <w:tcW w:w="488" w:type="pct"/>
                  <w:vAlign w:val="center"/>
                </w:tcPr>
                <w:p>
                  <w:pPr>
                    <w:pStyle w:val="63"/>
                    <w:rPr>
                      <w:color w:val="auto"/>
                    </w:rPr>
                  </w:pPr>
                  <w:r>
                    <w:rPr>
                      <w:color w:val="auto"/>
                    </w:rPr>
                    <w:t>达标</w:t>
                  </w:r>
                </w:p>
              </w:tc>
            </w:tr>
          </w:tbl>
          <w:p>
            <w:pPr>
              <w:pStyle w:val="63"/>
              <w:rPr>
                <w:color w:val="auto"/>
              </w:rPr>
            </w:pPr>
          </w:p>
          <w:p>
            <w:pPr>
              <w:ind w:firstLine="480"/>
              <w:rPr>
                <w:color w:val="auto"/>
              </w:rPr>
            </w:pPr>
            <w:r>
              <w:rPr>
                <w:rFonts w:hint="eastAsia"/>
                <w:color w:val="auto"/>
              </w:rPr>
              <w:t>根据引用监测数据，项目区周边T</w:t>
            </w:r>
            <w:r>
              <w:rPr>
                <w:color w:val="auto"/>
              </w:rPr>
              <w:t>SP、NOx满足《环境空气质量标准》（GB3095-2012）及其修改单中的二级标准要求。</w:t>
            </w:r>
          </w:p>
          <w:p>
            <w:pPr>
              <w:pStyle w:val="56"/>
              <w:spacing w:before="60" w:after="60"/>
              <w:rPr>
                <w:color w:val="auto"/>
              </w:rPr>
            </w:pPr>
            <w:r>
              <w:rPr>
                <w:rFonts w:hint="eastAsia"/>
                <w:color w:val="auto"/>
                <w:lang w:val="zh-CN"/>
              </w:rPr>
              <w:t>3.1.2</w:t>
            </w:r>
            <w:r>
              <w:rPr>
                <w:rFonts w:hint="eastAsia"/>
                <w:color w:val="auto"/>
              </w:rPr>
              <w:t>地表水环境质量现状</w:t>
            </w:r>
          </w:p>
          <w:p>
            <w:pPr>
              <w:ind w:firstLine="480"/>
              <w:rPr>
                <w:color w:val="auto"/>
              </w:rPr>
            </w:pPr>
            <w:r>
              <w:rPr>
                <w:color w:val="auto"/>
              </w:rPr>
              <w:t>本项目位于</w:t>
            </w:r>
            <w:r>
              <w:rPr>
                <w:rFonts w:hint="eastAsia"/>
                <w:color w:val="auto"/>
              </w:rPr>
              <w:t>云南师宗产业园区大同片区</w:t>
            </w:r>
            <w:r>
              <w:rPr>
                <w:color w:val="auto"/>
              </w:rPr>
              <w:t>，大同片区涉及的</w:t>
            </w:r>
            <w:r>
              <w:rPr>
                <w:rFonts w:hint="eastAsia"/>
                <w:color w:val="auto"/>
              </w:rPr>
              <w:t>地表水体</w:t>
            </w:r>
            <w:r>
              <w:rPr>
                <w:color w:val="auto"/>
              </w:rPr>
              <w:t>为子午河，属于珠江流域南盘江水系，根据《云南省水功能区划（2014年修订）》，子午河</w:t>
            </w:r>
            <w:r>
              <w:rPr>
                <w:rFonts w:hint="eastAsia"/>
                <w:color w:val="auto"/>
              </w:rPr>
              <w:t>位于</w:t>
            </w:r>
            <w:r>
              <w:rPr>
                <w:color w:val="auto"/>
              </w:rPr>
              <w:t>“喜旧溪河麒麟-罗平保留区”，现状水质为Ⅲ类，规划水平年水质目标为Ⅲ类，执行《地表水环境质量标准》（GB3838-2002）Ⅲ类标准。</w:t>
            </w:r>
          </w:p>
          <w:p>
            <w:pPr>
              <w:ind w:firstLine="480"/>
              <w:rPr>
                <w:color w:val="auto"/>
              </w:rPr>
            </w:pPr>
            <w:r>
              <w:rPr>
                <w:rFonts w:hint="eastAsia"/>
                <w:color w:val="auto"/>
              </w:rPr>
              <w:t>子午河在师宗境内设有七排省控断面，根据曲靖市生态环境局公布的2</w:t>
            </w:r>
            <w:r>
              <w:rPr>
                <w:color w:val="auto"/>
              </w:rPr>
              <w:t>023</w:t>
            </w:r>
            <w:r>
              <w:rPr>
                <w:rFonts w:hint="eastAsia"/>
                <w:color w:val="auto"/>
              </w:rPr>
              <w:t>年曲靖市水环境质量数据，2</w:t>
            </w:r>
            <w:r>
              <w:rPr>
                <w:color w:val="auto"/>
              </w:rPr>
              <w:t>023</w:t>
            </w:r>
            <w:r>
              <w:rPr>
                <w:rFonts w:hint="eastAsia"/>
                <w:color w:val="auto"/>
              </w:rPr>
              <w:t>年度，子午河七排断面水环境质量达到</w:t>
            </w:r>
            <w:r>
              <w:rPr>
                <w:color w:val="auto"/>
              </w:rPr>
              <w:t>《地表水环境质量标准》（GB3838-2002）</w:t>
            </w:r>
            <w:r>
              <w:rPr>
                <w:rFonts w:hint="eastAsia"/>
                <w:color w:val="auto"/>
              </w:rPr>
              <w:t>Ⅱ类，优于</w:t>
            </w:r>
            <w:r>
              <w:rPr>
                <w:color w:val="auto"/>
              </w:rPr>
              <w:t>Ⅲ类标准</w:t>
            </w:r>
            <w:r>
              <w:rPr>
                <w:rFonts w:hint="eastAsia"/>
                <w:color w:val="auto"/>
              </w:rPr>
              <w:t>。</w:t>
            </w:r>
          </w:p>
          <w:p>
            <w:pPr>
              <w:pStyle w:val="56"/>
              <w:spacing w:before="60" w:after="60"/>
              <w:rPr>
                <w:color w:val="auto"/>
              </w:rPr>
            </w:pPr>
            <w:r>
              <w:rPr>
                <w:rFonts w:hint="eastAsia"/>
                <w:color w:val="auto"/>
              </w:rPr>
              <w:t>3.1.3声环境质量现状</w:t>
            </w:r>
          </w:p>
          <w:p>
            <w:pPr>
              <w:ind w:firstLine="480"/>
              <w:rPr>
                <w:color w:val="auto"/>
              </w:rPr>
            </w:pPr>
            <w:r>
              <w:rPr>
                <w:rFonts w:hint="eastAsia"/>
                <w:color w:val="auto"/>
              </w:rPr>
              <w:t>本项目位于云南师宗产业园区大同片区，</w:t>
            </w:r>
            <w:r>
              <w:rPr>
                <w:color w:val="auto"/>
              </w:rPr>
              <w:t>所在区域属声环境功能3类区，区域声环境执行《声环境质量标准》（GB3096-2008）中3类标准要求。</w:t>
            </w:r>
            <w:r>
              <w:rPr>
                <w:rFonts w:hint="eastAsia"/>
                <w:color w:val="auto"/>
              </w:rPr>
              <w:t>根据现场踏勘，项目厂界周边50m范围内不存在声环境保护目标，根据《建设项目环境影响报告表编制技术指南》（污染影响类）（试行）要求，厂界外周边50m范围内无声环境保护目标的，不需开展现状监测。</w:t>
            </w:r>
          </w:p>
          <w:p>
            <w:pPr>
              <w:pStyle w:val="56"/>
              <w:spacing w:before="60" w:after="60"/>
              <w:rPr>
                <w:color w:val="auto"/>
              </w:rPr>
            </w:pPr>
            <w:r>
              <w:rPr>
                <w:rFonts w:hint="eastAsia"/>
                <w:color w:val="auto"/>
              </w:rPr>
              <w:t>3.1.4地下水、土壤环境</w:t>
            </w:r>
          </w:p>
          <w:p>
            <w:pPr>
              <w:ind w:firstLine="480"/>
              <w:rPr>
                <w:color w:val="auto"/>
              </w:rPr>
            </w:pPr>
            <w:r>
              <w:rPr>
                <w:rFonts w:hint="eastAsia"/>
                <w:color w:val="auto"/>
              </w:rPr>
              <w:t>根据《建设项目环境影响报告表编制技术指南》（污染影响类）（试行）要求，原则上不开展地下水、土壤环境质量监测，可能存在地下水、土壤环境污染途径的，应结合污染源、保护目标分布情况开展现状调查以留作背景值。本次技改将现有焦炉煤气管线拆除，从现有1</w:t>
            </w:r>
            <w:r>
              <w:rPr>
                <w:color w:val="auto"/>
              </w:rPr>
              <w:t>40</w:t>
            </w:r>
            <w:r>
              <w:rPr>
                <w:rFonts w:hint="eastAsia"/>
                <w:color w:val="auto"/>
              </w:rPr>
              <w:t>万吨热轧生产线预留天然气阀门新建1</w:t>
            </w:r>
            <w:r>
              <w:rPr>
                <w:color w:val="auto"/>
              </w:rPr>
              <w:t>54</w:t>
            </w:r>
            <w:r>
              <w:rPr>
                <w:rFonts w:hint="eastAsia"/>
                <w:color w:val="auto"/>
              </w:rPr>
              <w:t>m</w:t>
            </w:r>
            <w:r>
              <w:rPr>
                <w:color w:val="auto"/>
              </w:rPr>
              <w:t>DN100</w:t>
            </w:r>
            <w:r>
              <w:rPr>
                <w:rFonts w:hint="eastAsia"/>
                <w:color w:val="auto"/>
              </w:rPr>
              <w:t>天然气管线接入退火炉，本次技改敷设的天然气管线架空进入厂房内，现有厂房地面进行了防渗处理，正常情况下不会发生泄漏，事故状态下发生泄漏后天然气迅速挥发进入大气环境中，不存在渗漏进入地下水和土壤的情形，不会对周边地下水、土壤环境造成污染，因此无需开展地下水、土壤环境质量现状监测。</w:t>
            </w:r>
          </w:p>
          <w:p>
            <w:pPr>
              <w:ind w:firstLine="480"/>
              <w:rPr>
                <w:color w:val="auto"/>
              </w:rPr>
            </w:pPr>
            <w:r>
              <w:rPr>
                <w:rFonts w:hint="eastAsia"/>
                <w:color w:val="auto"/>
              </w:rPr>
              <w:t>本项目用地范围在云南天高镍业有限公司范围内，2</w:t>
            </w:r>
            <w:r>
              <w:rPr>
                <w:color w:val="auto"/>
              </w:rPr>
              <w:t>023</w:t>
            </w:r>
            <w:r>
              <w:rPr>
                <w:rFonts w:hint="eastAsia"/>
                <w:color w:val="auto"/>
              </w:rPr>
              <w:t>年8月，云南天高镍业有限公司开展了全厂土壤污染隐患排查，根据《云南天高镍业有限公司土壤污染隐患排查报告》：</w:t>
            </w:r>
          </w:p>
          <w:p>
            <w:pPr>
              <w:ind w:firstLine="480"/>
              <w:rPr>
                <w:color w:val="auto"/>
              </w:rPr>
            </w:pPr>
            <w:r>
              <w:rPr>
                <w:rFonts w:hint="eastAsia"/>
                <w:color w:val="auto"/>
              </w:rPr>
              <w:t>1</w:t>
            </w:r>
            <w:r>
              <w:rPr>
                <w:color w:val="auto"/>
              </w:rPr>
              <w:t>.</w:t>
            </w:r>
            <w:r>
              <w:rPr>
                <w:rFonts w:hint="eastAsia"/>
                <w:color w:val="auto"/>
              </w:rPr>
              <w:t>天高镍业全厂地下水整体由南东向北西径流，于子午河排泄。周边具有地下水采样条件的水井主要位于小官庄村、孟家村。根据地下水流向及周边水井分布情况可知，小官庄村水井位于区域地下水流向上游，孟家村位于区域地下水流向下游。2</w:t>
            </w:r>
            <w:r>
              <w:rPr>
                <w:color w:val="auto"/>
              </w:rPr>
              <w:t>020</w:t>
            </w:r>
            <w:r>
              <w:rPr>
                <w:rFonts w:hint="eastAsia"/>
                <w:color w:val="auto"/>
              </w:rPr>
              <w:t>年至2</w:t>
            </w:r>
            <w:r>
              <w:rPr>
                <w:color w:val="auto"/>
              </w:rPr>
              <w:t>023</w:t>
            </w:r>
            <w:r>
              <w:rPr>
                <w:rFonts w:hint="eastAsia"/>
                <w:color w:val="auto"/>
              </w:rPr>
              <w:t>年，天高镍业按季度对小官庄村、孟家村水井进行了跟踪监测，根据隐患排查报告结论，项目区周边地下水满足《地下水质量标准》（GB14848-2017）中Ⅲ类要求，地下水水质良好。</w:t>
            </w:r>
          </w:p>
          <w:p>
            <w:pPr>
              <w:ind w:firstLine="480"/>
              <w:rPr>
                <w:color w:val="auto"/>
              </w:rPr>
            </w:pPr>
            <w:r>
              <w:rPr>
                <w:rFonts w:hint="eastAsia"/>
                <w:color w:val="auto"/>
              </w:rPr>
              <w:t>2</w:t>
            </w:r>
            <w:r>
              <w:rPr>
                <w:color w:val="auto"/>
              </w:rPr>
              <w:t>.</w:t>
            </w:r>
            <w:r>
              <w:rPr>
                <w:rFonts w:hint="eastAsia"/>
                <w:color w:val="auto"/>
              </w:rPr>
              <w:t>天高镍业2</w:t>
            </w:r>
            <w:r>
              <w:rPr>
                <w:color w:val="auto"/>
              </w:rPr>
              <w:t>020</w:t>
            </w:r>
            <w:r>
              <w:rPr>
                <w:rFonts w:hint="eastAsia"/>
                <w:color w:val="auto"/>
              </w:rPr>
              <w:t>年至2</w:t>
            </w:r>
            <w:r>
              <w:rPr>
                <w:color w:val="auto"/>
              </w:rPr>
              <w:t>023</w:t>
            </w:r>
            <w:r>
              <w:rPr>
                <w:rFonts w:hint="eastAsia"/>
                <w:color w:val="auto"/>
              </w:rPr>
              <w:t>年对厂区下风向1#、厂区下风向2#、厂区上风向、东厂界1#、东厂界2#、南厂界1#、南厂界2#、西厂界1#、西厂界2#、北厂界1#、北厂界2#、生活区1#、生活区2#开展了土壤环境跟踪监测。根据隐患排查报告结论，各监测点满足《土壤环境质量 建设用地土壤污染风险管控标准（试行）》（GB36600-2018）中第二类用地筛选值要求。</w:t>
            </w:r>
          </w:p>
          <w:p>
            <w:pPr>
              <w:ind w:firstLine="480"/>
              <w:rPr>
                <w:color w:val="auto"/>
              </w:rPr>
            </w:pPr>
            <w:r>
              <w:rPr>
                <w:rFonts w:hint="eastAsia"/>
                <w:color w:val="auto"/>
              </w:rPr>
              <w:t>综上，从天高镍业隐患排查报告结论可判断，项目区周边地下水和土壤环境未受污染，该结论反映了本项目运营至今未发生过土壤、地下水污染。</w:t>
            </w:r>
          </w:p>
          <w:p>
            <w:pPr>
              <w:pStyle w:val="56"/>
              <w:spacing w:before="60" w:after="60"/>
              <w:rPr>
                <w:color w:val="auto"/>
              </w:rPr>
            </w:pPr>
            <w:r>
              <w:rPr>
                <w:rFonts w:hint="eastAsia"/>
                <w:color w:val="auto"/>
              </w:rPr>
              <w:t>3.1.</w:t>
            </w:r>
            <w:r>
              <w:rPr>
                <w:color w:val="auto"/>
              </w:rPr>
              <w:t>5</w:t>
            </w:r>
            <w:r>
              <w:rPr>
                <w:rFonts w:hint="eastAsia"/>
                <w:color w:val="auto"/>
              </w:rPr>
              <w:t>生态环境</w:t>
            </w:r>
          </w:p>
          <w:p>
            <w:pPr>
              <w:ind w:firstLine="480"/>
              <w:rPr>
                <w:color w:val="auto"/>
              </w:rPr>
            </w:pPr>
            <w:r>
              <w:rPr>
                <w:rFonts w:hint="eastAsia"/>
                <w:color w:val="auto"/>
              </w:rPr>
              <w:t>本项目位于云南师宗产业园区大同片区，评价区由于受到多年的人工干扰，原生植被几乎已经被次生植被和人工植被所代替，根据现场调查，项目周边植被主要为厂区绿化的乔灌木、草地等。项目区内不涉及国家级和省级重点保护物种、珍稀濒危物种，以及狭域分布物种；项目内人为干扰较大，生物多样性单一，生态系统结构简单。从总体上来看，该项目所在区域生态环境一般。项目周边200m范围没有原生植被和国家规定需要特殊保护的动植物，生物多样性简单。项目区内生态系统发育不完整、物种多样性较差，易受人为控制，生态环境质量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74" w:type="pct"/>
            <w:vAlign w:val="center"/>
          </w:tcPr>
          <w:p>
            <w:pPr>
              <w:pStyle w:val="63"/>
              <w:rPr>
                <w:color w:val="auto"/>
                <w:sz w:val="24"/>
                <w:szCs w:val="24"/>
                <w:lang w:eastAsia="zh-CN"/>
              </w:rPr>
            </w:pPr>
            <w:r>
              <w:rPr>
                <w:rFonts w:hint="eastAsia"/>
                <w:color w:val="auto"/>
                <w:sz w:val="24"/>
                <w:szCs w:val="24"/>
                <w:lang w:eastAsia="zh-CN"/>
              </w:rPr>
              <w:t>环境保护目标</w:t>
            </w:r>
          </w:p>
        </w:tc>
        <w:tc>
          <w:tcPr>
            <w:tcW w:w="4726" w:type="pct"/>
            <w:vAlign w:val="center"/>
          </w:tcPr>
          <w:p>
            <w:pPr>
              <w:pStyle w:val="51"/>
              <w:spacing w:before="120" w:after="120"/>
              <w:rPr>
                <w:color w:val="auto"/>
              </w:rPr>
            </w:pPr>
            <w:r>
              <w:rPr>
                <w:rFonts w:hint="eastAsia"/>
                <w:color w:val="auto"/>
              </w:rPr>
              <w:t>3.2环境保护目标</w:t>
            </w:r>
          </w:p>
          <w:p>
            <w:pPr>
              <w:ind w:firstLine="480"/>
              <w:rPr>
                <w:color w:val="auto"/>
              </w:rPr>
            </w:pPr>
            <w:r>
              <w:rPr>
                <w:rFonts w:hint="eastAsia"/>
                <w:color w:val="auto"/>
              </w:rPr>
              <w:t>根据《建设项目环境影响报告表编制技术指南》（污染影响类）（试行），污染影响类项目环境保护目标判断要素为：大气环境、声环境、地下水、生态环境。</w:t>
            </w:r>
          </w:p>
          <w:p>
            <w:pPr>
              <w:pStyle w:val="80"/>
              <w:ind w:firstLine="482"/>
              <w:rPr>
                <w:color w:val="auto"/>
              </w:rPr>
            </w:pPr>
            <w:r>
              <w:rPr>
                <w:rFonts w:hint="eastAsia"/>
                <w:color w:val="auto"/>
              </w:rPr>
              <w:t>1</w:t>
            </w:r>
            <w:r>
              <w:rPr>
                <w:color w:val="auto"/>
              </w:rPr>
              <w:t>.</w:t>
            </w:r>
            <w:r>
              <w:rPr>
                <w:rFonts w:hint="eastAsia"/>
                <w:color w:val="auto"/>
              </w:rPr>
              <w:t>大气环境</w:t>
            </w:r>
          </w:p>
          <w:p>
            <w:pPr>
              <w:ind w:firstLine="480"/>
              <w:rPr>
                <w:color w:val="auto"/>
              </w:rPr>
            </w:pPr>
            <w:r>
              <w:rPr>
                <w:rFonts w:hint="eastAsia"/>
                <w:color w:val="auto"/>
              </w:rPr>
              <w:t>本项目周边50</w:t>
            </w:r>
            <w:r>
              <w:rPr>
                <w:color w:val="auto"/>
              </w:rPr>
              <w:t>0</w:t>
            </w:r>
            <w:r>
              <w:rPr>
                <w:rFonts w:hint="eastAsia"/>
                <w:color w:val="auto"/>
              </w:rPr>
              <w:t>m范围内无大气环境保护目标。</w:t>
            </w:r>
          </w:p>
          <w:p>
            <w:pPr>
              <w:pStyle w:val="80"/>
              <w:ind w:firstLine="482"/>
              <w:rPr>
                <w:color w:val="auto"/>
              </w:rPr>
            </w:pPr>
            <w:r>
              <w:rPr>
                <w:rFonts w:hint="eastAsia"/>
                <w:color w:val="auto"/>
              </w:rPr>
              <w:t>2</w:t>
            </w:r>
            <w:r>
              <w:rPr>
                <w:color w:val="auto"/>
              </w:rPr>
              <w:t>.</w:t>
            </w:r>
            <w:r>
              <w:rPr>
                <w:rFonts w:hint="eastAsia"/>
                <w:color w:val="auto"/>
              </w:rPr>
              <w:t>声环境</w:t>
            </w:r>
          </w:p>
          <w:p>
            <w:pPr>
              <w:ind w:firstLine="480"/>
              <w:rPr>
                <w:color w:val="auto"/>
              </w:rPr>
            </w:pPr>
            <w:r>
              <w:rPr>
                <w:rFonts w:hint="eastAsia"/>
                <w:color w:val="auto"/>
              </w:rPr>
              <w:t>本项目周边5</w:t>
            </w:r>
            <w:r>
              <w:rPr>
                <w:color w:val="auto"/>
              </w:rPr>
              <w:t>0</w:t>
            </w:r>
            <w:r>
              <w:rPr>
                <w:rFonts w:hint="eastAsia"/>
                <w:color w:val="auto"/>
              </w:rPr>
              <w:t>m范围内无声环境保护目标。</w:t>
            </w:r>
          </w:p>
          <w:p>
            <w:pPr>
              <w:pStyle w:val="80"/>
              <w:ind w:firstLine="482"/>
              <w:rPr>
                <w:color w:val="auto"/>
              </w:rPr>
            </w:pPr>
            <w:r>
              <w:rPr>
                <w:color w:val="auto"/>
              </w:rPr>
              <w:t>3.</w:t>
            </w:r>
            <w:r>
              <w:rPr>
                <w:rFonts w:hint="eastAsia"/>
                <w:color w:val="auto"/>
              </w:rPr>
              <w:t>地下水</w:t>
            </w:r>
          </w:p>
          <w:p>
            <w:pPr>
              <w:ind w:firstLine="480"/>
              <w:rPr>
                <w:color w:val="auto"/>
              </w:rPr>
            </w:pPr>
            <w:r>
              <w:rPr>
                <w:rFonts w:hint="eastAsia"/>
                <w:color w:val="auto"/>
              </w:rPr>
              <w:t>项目区厂界500m范围内无地下水集中式饮用水水源和热水、矿泉水、温泉等特殊地下水资源，因此无地下水保护目标。</w:t>
            </w:r>
          </w:p>
          <w:p>
            <w:pPr>
              <w:pStyle w:val="80"/>
              <w:ind w:firstLine="482"/>
              <w:rPr>
                <w:color w:val="auto"/>
              </w:rPr>
            </w:pPr>
            <w:r>
              <w:rPr>
                <w:color w:val="auto"/>
              </w:rPr>
              <w:t>4.</w:t>
            </w:r>
            <w:r>
              <w:rPr>
                <w:rFonts w:hint="eastAsia"/>
                <w:color w:val="auto"/>
              </w:rPr>
              <w:t>生态环境</w:t>
            </w:r>
          </w:p>
          <w:p>
            <w:pPr>
              <w:ind w:firstLine="480"/>
              <w:rPr>
                <w:color w:val="auto"/>
              </w:rPr>
            </w:pPr>
            <w:r>
              <w:rPr>
                <w:rFonts w:hint="eastAsia"/>
                <w:color w:val="auto"/>
              </w:rPr>
              <w:t>本项目位于云南师宗产业园区大同片区，根据现场踏勘，项目区周边无生态环境保护目标。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4" w:type="pct"/>
            <w:vAlign w:val="center"/>
          </w:tcPr>
          <w:p>
            <w:pPr>
              <w:pStyle w:val="63"/>
              <w:rPr>
                <w:color w:val="auto"/>
                <w:sz w:val="24"/>
                <w:szCs w:val="24"/>
              </w:rPr>
            </w:pPr>
            <w:r>
              <w:rPr>
                <w:rFonts w:hint="eastAsia"/>
                <w:color w:val="auto"/>
                <w:sz w:val="24"/>
                <w:szCs w:val="24"/>
              </w:rPr>
              <w:t>污染物排放控制标准</w:t>
            </w:r>
          </w:p>
        </w:tc>
        <w:tc>
          <w:tcPr>
            <w:tcW w:w="4726" w:type="pct"/>
            <w:vAlign w:val="center"/>
          </w:tcPr>
          <w:p>
            <w:pPr>
              <w:pStyle w:val="51"/>
              <w:spacing w:before="120" w:after="120"/>
              <w:rPr>
                <w:color w:val="auto"/>
              </w:rPr>
            </w:pPr>
            <w:r>
              <w:rPr>
                <w:rFonts w:hint="eastAsia"/>
                <w:color w:val="auto"/>
              </w:rPr>
              <w:t>3.3污染物排放标准</w:t>
            </w:r>
          </w:p>
          <w:p>
            <w:pPr>
              <w:pStyle w:val="56"/>
              <w:spacing w:before="60" w:after="60"/>
              <w:rPr>
                <w:color w:val="auto"/>
              </w:rPr>
            </w:pPr>
            <w:r>
              <w:rPr>
                <w:rFonts w:hint="eastAsia"/>
                <w:color w:val="auto"/>
              </w:rPr>
              <w:t>3.3.1废气排放标准</w:t>
            </w:r>
          </w:p>
          <w:p>
            <w:pPr>
              <w:pStyle w:val="80"/>
              <w:ind w:firstLine="482"/>
              <w:rPr>
                <w:color w:val="auto"/>
              </w:rPr>
            </w:pPr>
            <w:r>
              <w:rPr>
                <w:rFonts w:hint="eastAsia"/>
                <w:color w:val="auto"/>
              </w:rPr>
              <w:t>1</w:t>
            </w:r>
            <w:r>
              <w:rPr>
                <w:color w:val="auto"/>
              </w:rPr>
              <w:t>.施工期</w:t>
            </w:r>
          </w:p>
          <w:p>
            <w:pPr>
              <w:pStyle w:val="104"/>
              <w:ind w:firstLine="480"/>
              <w:rPr>
                <w:rFonts w:eastAsiaTheme="minorEastAsia"/>
                <w:color w:val="auto"/>
                <w:szCs w:val="24"/>
              </w:rPr>
            </w:pPr>
            <w:r>
              <w:rPr>
                <w:rFonts w:hAnsiTheme="minorEastAsia" w:eastAsiaTheme="minorEastAsia"/>
                <w:color w:val="auto"/>
                <w:szCs w:val="24"/>
              </w:rPr>
              <w:t>施工期扬尘执行《大气污染物综合排放标准》（</w:t>
            </w:r>
            <w:r>
              <w:rPr>
                <w:rFonts w:eastAsiaTheme="minorEastAsia"/>
                <w:color w:val="auto"/>
                <w:szCs w:val="24"/>
              </w:rPr>
              <w:t>GB16297-1996</w:t>
            </w:r>
            <w:r>
              <w:rPr>
                <w:rFonts w:hAnsiTheme="minorEastAsia" w:eastAsiaTheme="minorEastAsia"/>
                <w:color w:val="auto"/>
                <w:szCs w:val="24"/>
              </w:rPr>
              <w:t>）（表</w:t>
            </w:r>
            <w:r>
              <w:rPr>
                <w:rFonts w:eastAsiaTheme="minorEastAsia"/>
                <w:color w:val="auto"/>
                <w:szCs w:val="24"/>
              </w:rPr>
              <w:t>2</w:t>
            </w:r>
            <w:r>
              <w:rPr>
                <w:rFonts w:hAnsiTheme="minorEastAsia" w:eastAsiaTheme="minorEastAsia"/>
                <w:color w:val="auto"/>
                <w:szCs w:val="24"/>
              </w:rPr>
              <w:t>）中的无组织排放监控浓度限值标准，即颗粒物周界外浓度最高点无组织排放浓度限值</w:t>
            </w:r>
            <w:r>
              <w:rPr>
                <w:rFonts w:eastAsiaTheme="minorEastAsia"/>
                <w:color w:val="auto"/>
                <w:szCs w:val="24"/>
              </w:rPr>
              <w:t>1.0mg/m</w:t>
            </w:r>
            <w:r>
              <w:rPr>
                <w:rFonts w:eastAsiaTheme="minorEastAsia"/>
                <w:color w:val="auto"/>
                <w:szCs w:val="24"/>
                <w:vertAlign w:val="superscript"/>
              </w:rPr>
              <w:t>3</w:t>
            </w:r>
            <w:r>
              <w:rPr>
                <w:rFonts w:hAnsiTheme="minorEastAsia" w:eastAsiaTheme="minorEastAsia"/>
                <w:color w:val="auto"/>
                <w:szCs w:val="24"/>
              </w:rPr>
              <w:t>。</w:t>
            </w:r>
          </w:p>
          <w:p>
            <w:pPr>
              <w:pStyle w:val="80"/>
              <w:ind w:firstLine="482"/>
              <w:rPr>
                <w:color w:val="auto"/>
              </w:rPr>
            </w:pPr>
            <w:r>
              <w:rPr>
                <w:rFonts w:hint="eastAsia"/>
                <w:color w:val="auto"/>
              </w:rPr>
              <w:t>2</w:t>
            </w:r>
            <w:r>
              <w:rPr>
                <w:color w:val="auto"/>
              </w:rPr>
              <w:t>.</w:t>
            </w:r>
            <w:r>
              <w:rPr>
                <w:rFonts w:hint="eastAsia"/>
                <w:color w:val="auto"/>
              </w:rPr>
              <w:t>运营期</w:t>
            </w:r>
          </w:p>
          <w:p>
            <w:pPr>
              <w:ind w:firstLine="480"/>
              <w:rPr>
                <w:color w:val="auto"/>
              </w:rPr>
            </w:pPr>
            <w:r>
              <w:rPr>
                <w:rFonts w:hint="eastAsia"/>
                <w:color w:val="auto"/>
              </w:rPr>
              <w:t>天然气</w:t>
            </w:r>
            <w:r>
              <w:rPr>
                <w:color w:val="auto"/>
              </w:rPr>
              <w:t>燃烧后产生的SO</w:t>
            </w:r>
            <w:r>
              <w:rPr>
                <w:color w:val="auto"/>
                <w:vertAlign w:val="subscript"/>
              </w:rPr>
              <w:t>2</w:t>
            </w:r>
            <w:r>
              <w:rPr>
                <w:color w:val="auto"/>
              </w:rPr>
              <w:t>、颗粒物、NOx</w:t>
            </w:r>
            <w:r>
              <w:rPr>
                <w:rFonts w:hint="eastAsia"/>
                <w:color w:val="auto"/>
              </w:rPr>
              <w:t>经现有项目</w:t>
            </w:r>
            <w:r>
              <w:rPr>
                <w:color w:val="auto"/>
              </w:rPr>
              <w:t>热退火炉废气排放口</w:t>
            </w:r>
            <w:r>
              <w:rPr>
                <w:rFonts w:hint="eastAsia"/>
                <w:color w:val="auto"/>
              </w:rPr>
              <w:t>（</w:t>
            </w:r>
            <w:r>
              <w:rPr>
                <w:color w:val="auto"/>
              </w:rPr>
              <w:t>DA003</w:t>
            </w:r>
            <w:r>
              <w:rPr>
                <w:rFonts w:hint="eastAsia"/>
                <w:color w:val="auto"/>
              </w:rPr>
              <w:t>，H</w:t>
            </w:r>
            <w:r>
              <w:rPr>
                <w:color w:val="auto"/>
              </w:rPr>
              <w:t>=18</w:t>
            </w:r>
            <w:r>
              <w:rPr>
                <w:rFonts w:hint="eastAsia"/>
                <w:color w:val="auto"/>
              </w:rPr>
              <w:t>m）排放，</w:t>
            </w:r>
            <w:r>
              <w:rPr>
                <w:color w:val="auto"/>
              </w:rPr>
              <w:t>执行《轧钢工业大气污染物排放标准》（GB28665-2012）</w:t>
            </w:r>
            <w:r>
              <w:rPr>
                <w:rFonts w:hint="eastAsia"/>
                <w:color w:val="auto"/>
              </w:rPr>
              <w:t>及其修改单</w:t>
            </w:r>
            <w:r>
              <w:rPr>
                <w:color w:val="auto"/>
              </w:rPr>
              <w:t>表2中热处理炉排放标准</w:t>
            </w:r>
            <w:r>
              <w:rPr>
                <w:rFonts w:hint="eastAsia"/>
                <w:color w:val="auto"/>
              </w:rPr>
              <w:t>，具体标准值见下表。</w:t>
            </w:r>
          </w:p>
          <w:p>
            <w:pPr>
              <w:pStyle w:val="66"/>
              <w:rPr>
                <w:color w:val="auto"/>
              </w:rPr>
            </w:pPr>
            <w:r>
              <w:rPr>
                <w:color w:val="auto"/>
              </w:rPr>
              <w:t>表3.3-1 热退火炉燃烧废气排放标准   单位：mg/m</w:t>
            </w:r>
            <w:r>
              <w:rPr>
                <w:color w:val="auto"/>
                <w:vertAlign w:val="superscript"/>
              </w:rPr>
              <w:t>3</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6"/>
              <w:gridCol w:w="1647"/>
              <w:gridCol w:w="1649"/>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pct"/>
                  <w:vAlign w:val="center"/>
                </w:tcPr>
                <w:p>
                  <w:pPr>
                    <w:pStyle w:val="63"/>
                    <w:rPr>
                      <w:color w:val="auto"/>
                    </w:rPr>
                  </w:pPr>
                  <w:r>
                    <w:rPr>
                      <w:color w:val="auto"/>
                    </w:rPr>
                    <w:t>污染物</w:t>
                  </w:r>
                </w:p>
              </w:tc>
              <w:tc>
                <w:tcPr>
                  <w:tcW w:w="1052" w:type="pct"/>
                  <w:vAlign w:val="center"/>
                </w:tcPr>
                <w:p>
                  <w:pPr>
                    <w:pStyle w:val="63"/>
                    <w:rPr>
                      <w:color w:val="auto"/>
                    </w:rPr>
                  </w:pPr>
                  <w:r>
                    <w:rPr>
                      <w:color w:val="auto"/>
                    </w:rPr>
                    <w:t>SO</w:t>
                  </w:r>
                  <w:r>
                    <w:rPr>
                      <w:color w:val="auto"/>
                      <w:vertAlign w:val="subscript"/>
                    </w:rPr>
                    <w:t>2</w:t>
                  </w:r>
                </w:p>
              </w:tc>
              <w:tc>
                <w:tcPr>
                  <w:tcW w:w="1053" w:type="pct"/>
                  <w:vAlign w:val="center"/>
                </w:tcPr>
                <w:p>
                  <w:pPr>
                    <w:pStyle w:val="63"/>
                    <w:rPr>
                      <w:color w:val="auto"/>
                    </w:rPr>
                  </w:pPr>
                  <w:r>
                    <w:rPr>
                      <w:color w:val="auto"/>
                    </w:rPr>
                    <w:t>NO</w:t>
                  </w:r>
                  <w:r>
                    <w:rPr>
                      <w:color w:val="auto"/>
                      <w:vertAlign w:val="subscript"/>
                    </w:rPr>
                    <w:t>X</w:t>
                  </w:r>
                </w:p>
              </w:tc>
              <w:tc>
                <w:tcPr>
                  <w:tcW w:w="1053" w:type="pct"/>
                  <w:vAlign w:val="center"/>
                </w:tcPr>
                <w:p>
                  <w:pPr>
                    <w:pStyle w:val="63"/>
                    <w:rPr>
                      <w:color w:val="auto"/>
                    </w:rPr>
                  </w:pPr>
                  <w:r>
                    <w:rPr>
                      <w:color w:val="auto"/>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pct"/>
                  <w:vAlign w:val="center"/>
                </w:tcPr>
                <w:p>
                  <w:pPr>
                    <w:pStyle w:val="63"/>
                    <w:rPr>
                      <w:color w:val="auto"/>
                    </w:rPr>
                  </w:pPr>
                  <w:r>
                    <w:rPr>
                      <w:color w:val="auto"/>
                    </w:rPr>
                    <w:t>有组织排放限值</w:t>
                  </w:r>
                </w:p>
              </w:tc>
              <w:tc>
                <w:tcPr>
                  <w:tcW w:w="1052" w:type="pct"/>
                  <w:vAlign w:val="center"/>
                </w:tcPr>
                <w:p>
                  <w:pPr>
                    <w:pStyle w:val="63"/>
                    <w:rPr>
                      <w:color w:val="auto"/>
                    </w:rPr>
                  </w:pPr>
                  <w:r>
                    <w:rPr>
                      <w:color w:val="auto"/>
                    </w:rPr>
                    <w:t>100</w:t>
                  </w:r>
                </w:p>
              </w:tc>
              <w:tc>
                <w:tcPr>
                  <w:tcW w:w="1053" w:type="pct"/>
                  <w:vAlign w:val="center"/>
                </w:tcPr>
                <w:p>
                  <w:pPr>
                    <w:pStyle w:val="63"/>
                    <w:rPr>
                      <w:color w:val="auto"/>
                    </w:rPr>
                  </w:pPr>
                  <w:r>
                    <w:rPr>
                      <w:color w:val="auto"/>
                    </w:rPr>
                    <w:t>200</w:t>
                  </w:r>
                </w:p>
              </w:tc>
              <w:tc>
                <w:tcPr>
                  <w:tcW w:w="1053" w:type="pct"/>
                  <w:vAlign w:val="center"/>
                </w:tcPr>
                <w:p>
                  <w:pPr>
                    <w:pStyle w:val="63"/>
                    <w:rPr>
                      <w:color w:val="auto"/>
                    </w:rPr>
                  </w:pPr>
                  <w:r>
                    <w:rPr>
                      <w:color w:val="auto"/>
                    </w:rPr>
                    <w:t>20</w:t>
                  </w:r>
                </w:p>
              </w:tc>
            </w:tr>
          </w:tbl>
          <w:p>
            <w:pPr>
              <w:pStyle w:val="63"/>
              <w:rPr>
                <w:color w:val="auto"/>
              </w:rPr>
            </w:pPr>
          </w:p>
          <w:p>
            <w:pPr>
              <w:pStyle w:val="56"/>
              <w:spacing w:before="60" w:after="60"/>
              <w:rPr>
                <w:color w:val="auto"/>
              </w:rPr>
            </w:pPr>
            <w:r>
              <w:rPr>
                <w:rFonts w:hint="eastAsia"/>
                <w:color w:val="auto"/>
              </w:rPr>
              <w:t>3.3.2污水排放标准</w:t>
            </w:r>
          </w:p>
          <w:p>
            <w:pPr>
              <w:ind w:firstLine="480"/>
              <w:rPr>
                <w:color w:val="auto"/>
              </w:rPr>
            </w:pPr>
            <w:r>
              <w:rPr>
                <w:rFonts w:hint="eastAsia"/>
                <w:color w:val="auto"/>
              </w:rPr>
              <w:t>本项目仅对燃烧系统进行改造，不新增劳动定员，不改变其他生产工序，因此运营期不新增生活污水和生产废水，本次评价不设废水排放标准。</w:t>
            </w:r>
          </w:p>
          <w:p>
            <w:pPr>
              <w:pStyle w:val="56"/>
              <w:spacing w:before="60" w:after="60"/>
              <w:rPr>
                <w:color w:val="auto"/>
              </w:rPr>
            </w:pPr>
            <w:r>
              <w:rPr>
                <w:rFonts w:hint="eastAsia"/>
                <w:color w:val="auto"/>
              </w:rPr>
              <w:t>3.3.3噪声排放标准</w:t>
            </w:r>
          </w:p>
          <w:p>
            <w:pPr>
              <w:pStyle w:val="80"/>
              <w:ind w:firstLine="482"/>
              <w:rPr>
                <w:color w:val="auto"/>
              </w:rPr>
            </w:pPr>
            <w:r>
              <w:rPr>
                <w:rFonts w:hint="eastAsia"/>
                <w:color w:val="auto"/>
              </w:rPr>
              <w:t>1</w:t>
            </w:r>
            <w:r>
              <w:rPr>
                <w:color w:val="auto"/>
              </w:rPr>
              <w:t>.</w:t>
            </w:r>
            <w:r>
              <w:rPr>
                <w:rFonts w:hint="eastAsia"/>
                <w:color w:val="auto"/>
              </w:rPr>
              <w:t>施工期</w:t>
            </w:r>
          </w:p>
          <w:p>
            <w:pPr>
              <w:pStyle w:val="110"/>
              <w:spacing w:line="360" w:lineRule="auto"/>
              <w:ind w:firstLine="482"/>
              <w:rPr>
                <w:bCs/>
                <w:color w:val="auto"/>
              </w:rPr>
            </w:pPr>
            <w:r>
              <w:rPr>
                <w:rFonts w:hAnsiTheme="minorEastAsia" w:eastAsiaTheme="minorEastAsia"/>
                <w:b w:val="0"/>
                <w:bCs/>
                <w:color w:val="auto"/>
                <w:sz w:val="24"/>
                <w:szCs w:val="24"/>
                <w:lang w:val="zh-CN"/>
              </w:rPr>
              <w:t>执行《建筑施工场界环境噪声排放标准》（</w:t>
            </w:r>
            <w:r>
              <w:rPr>
                <w:rFonts w:eastAsiaTheme="minorEastAsia"/>
                <w:b w:val="0"/>
                <w:bCs/>
                <w:color w:val="auto"/>
                <w:sz w:val="24"/>
                <w:szCs w:val="24"/>
                <w:lang w:val="zh-CN"/>
              </w:rPr>
              <w:t>GB12523-2011</w:t>
            </w:r>
            <w:r>
              <w:rPr>
                <w:rFonts w:hAnsiTheme="minorEastAsia" w:eastAsiaTheme="minorEastAsia"/>
                <w:b w:val="0"/>
                <w:bCs/>
                <w:color w:val="auto"/>
                <w:sz w:val="24"/>
                <w:szCs w:val="24"/>
                <w:lang w:val="zh-CN"/>
              </w:rPr>
              <w:t>），标准值见表</w:t>
            </w:r>
            <w:r>
              <w:rPr>
                <w:rFonts w:eastAsiaTheme="minorEastAsia"/>
                <w:b w:val="0"/>
                <w:bCs/>
                <w:color w:val="auto"/>
                <w:sz w:val="24"/>
                <w:szCs w:val="24"/>
                <w:lang w:val="zh-CN"/>
              </w:rPr>
              <w:t>3.3-2</w:t>
            </w:r>
            <w:r>
              <w:rPr>
                <w:rFonts w:hint="eastAsia" w:eastAsiaTheme="minorEastAsia"/>
                <w:b w:val="0"/>
                <w:bCs/>
                <w:color w:val="auto"/>
                <w:sz w:val="24"/>
                <w:szCs w:val="24"/>
              </w:rPr>
              <w:t>所示。</w:t>
            </w:r>
          </w:p>
          <w:p>
            <w:pPr>
              <w:pStyle w:val="66"/>
              <w:rPr>
                <w:color w:val="auto"/>
              </w:rPr>
            </w:pPr>
            <w:r>
              <w:rPr>
                <w:color w:val="auto"/>
              </w:rPr>
              <w:t xml:space="preserve">表3.3-2 </w:t>
            </w:r>
            <w:r>
              <w:rPr>
                <w:rFonts w:hint="eastAsia"/>
                <w:color w:val="auto"/>
              </w:rPr>
              <w:t>建</w:t>
            </w:r>
            <w:r>
              <w:rPr>
                <w:color w:val="auto"/>
              </w:rPr>
              <w:t>筑施工噪声排放标准单位：dB(A)</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3"/>
              <w:gridCol w:w="3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9" w:type="pct"/>
                  <w:vAlign w:val="center"/>
                </w:tcPr>
                <w:p>
                  <w:pPr>
                    <w:pStyle w:val="63"/>
                    <w:rPr>
                      <w:color w:val="auto"/>
                    </w:rPr>
                  </w:pPr>
                  <w:r>
                    <w:rPr>
                      <w:color w:val="auto"/>
                    </w:rPr>
                    <w:t>昼间</w:t>
                  </w:r>
                </w:p>
              </w:tc>
              <w:tc>
                <w:tcPr>
                  <w:tcW w:w="2500" w:type="pct"/>
                  <w:vAlign w:val="center"/>
                </w:tcPr>
                <w:p>
                  <w:pPr>
                    <w:pStyle w:val="63"/>
                    <w:rPr>
                      <w:color w:val="auto"/>
                    </w:rPr>
                  </w:pPr>
                  <w:r>
                    <w:rPr>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499" w:type="pct"/>
                  <w:vAlign w:val="center"/>
                </w:tcPr>
                <w:p>
                  <w:pPr>
                    <w:pStyle w:val="63"/>
                    <w:rPr>
                      <w:color w:val="auto"/>
                    </w:rPr>
                  </w:pPr>
                  <w:r>
                    <w:rPr>
                      <w:color w:val="auto"/>
                    </w:rPr>
                    <w:t>70</w:t>
                  </w:r>
                </w:p>
              </w:tc>
              <w:tc>
                <w:tcPr>
                  <w:tcW w:w="2500" w:type="pct"/>
                  <w:vAlign w:val="center"/>
                </w:tcPr>
                <w:p>
                  <w:pPr>
                    <w:pStyle w:val="63"/>
                    <w:rPr>
                      <w:color w:val="auto"/>
                    </w:rPr>
                  </w:pPr>
                  <w:r>
                    <w:rPr>
                      <w:color w:val="auto"/>
                    </w:rPr>
                    <w:t>55</w:t>
                  </w:r>
                </w:p>
              </w:tc>
            </w:tr>
          </w:tbl>
          <w:p>
            <w:pPr>
              <w:pStyle w:val="80"/>
              <w:ind w:firstLine="482"/>
              <w:rPr>
                <w:color w:val="auto"/>
              </w:rPr>
            </w:pPr>
            <w:r>
              <w:rPr>
                <w:rFonts w:hint="eastAsia"/>
                <w:color w:val="auto"/>
              </w:rPr>
              <w:t>2</w:t>
            </w:r>
            <w:r>
              <w:rPr>
                <w:color w:val="auto"/>
              </w:rPr>
              <w:t>.</w:t>
            </w:r>
            <w:r>
              <w:rPr>
                <w:rFonts w:hint="eastAsia"/>
                <w:color w:val="auto"/>
              </w:rPr>
              <w:t>运营期</w:t>
            </w:r>
          </w:p>
          <w:p>
            <w:pPr>
              <w:pStyle w:val="92"/>
              <w:ind w:firstLine="480"/>
              <w:rPr>
                <w:color w:val="auto"/>
              </w:rPr>
            </w:pPr>
            <w:r>
              <w:rPr>
                <w:rFonts w:hint="eastAsia"/>
                <w:color w:val="auto"/>
              </w:rPr>
              <w:t>运营期项目区东、南、西、北四侧厂界噪声执行《工业企业厂界环境噪声排放标准》（</w:t>
            </w:r>
            <w:r>
              <w:rPr>
                <w:color w:val="auto"/>
              </w:rPr>
              <w:t>GB-12348-2008</w:t>
            </w:r>
            <w:r>
              <w:rPr>
                <w:rFonts w:hint="eastAsia"/>
                <w:color w:val="auto"/>
              </w:rPr>
              <w:t>）中</w:t>
            </w:r>
            <w:r>
              <w:rPr>
                <w:color w:val="auto"/>
              </w:rPr>
              <w:t>3</w:t>
            </w:r>
            <w:r>
              <w:rPr>
                <w:rFonts w:hint="eastAsia"/>
                <w:color w:val="auto"/>
              </w:rPr>
              <w:t>类标准</w:t>
            </w:r>
            <w:r>
              <w:rPr>
                <w:rFonts w:hint="eastAsia"/>
                <w:color w:val="auto"/>
                <w:kern w:val="0"/>
              </w:rPr>
              <w:t>，</w:t>
            </w:r>
            <w:r>
              <w:rPr>
                <w:rFonts w:hint="eastAsia"/>
                <w:color w:val="auto"/>
              </w:rPr>
              <w:t>标准值如下：</w:t>
            </w:r>
          </w:p>
          <w:p>
            <w:pPr>
              <w:pStyle w:val="66"/>
              <w:ind w:firstLine="480"/>
              <w:rPr>
                <w:color w:val="auto"/>
              </w:rPr>
            </w:pPr>
            <w:r>
              <w:rPr>
                <w:rFonts w:hint="eastAsia"/>
                <w:color w:val="auto"/>
              </w:rPr>
              <w:t>表3.3-</w:t>
            </w:r>
            <w:r>
              <w:rPr>
                <w:color w:val="auto"/>
              </w:rPr>
              <w:t>3</w:t>
            </w:r>
            <w:r>
              <w:rPr>
                <w:rFonts w:hint="eastAsia"/>
                <w:color w:val="auto"/>
              </w:rPr>
              <w:t xml:space="preserve"> 运营期厂界噪声标准限值    （单位：dB(A)）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1"/>
              <w:gridCol w:w="2366"/>
              <w:gridCol w:w="2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95" w:type="pct"/>
                  <w:vAlign w:val="center"/>
                </w:tcPr>
                <w:p>
                  <w:pPr>
                    <w:pStyle w:val="63"/>
                    <w:ind w:firstLine="480"/>
                    <w:rPr>
                      <w:color w:val="auto"/>
                    </w:rPr>
                  </w:pPr>
                  <w:r>
                    <w:rPr>
                      <w:rFonts w:hint="eastAsia"/>
                      <w:color w:val="auto"/>
                    </w:rPr>
                    <w:t>功能区</w:t>
                  </w:r>
                </w:p>
              </w:tc>
              <w:tc>
                <w:tcPr>
                  <w:tcW w:w="1511" w:type="pct"/>
                  <w:vAlign w:val="center"/>
                </w:tcPr>
                <w:p>
                  <w:pPr>
                    <w:pStyle w:val="63"/>
                    <w:ind w:firstLine="480"/>
                    <w:rPr>
                      <w:color w:val="auto"/>
                    </w:rPr>
                  </w:pPr>
                  <w:r>
                    <w:rPr>
                      <w:rFonts w:hint="eastAsia"/>
                      <w:color w:val="auto"/>
                    </w:rPr>
                    <w:t>昼间</w:t>
                  </w:r>
                </w:p>
              </w:tc>
              <w:tc>
                <w:tcPr>
                  <w:tcW w:w="1694" w:type="pct"/>
                  <w:vAlign w:val="center"/>
                </w:tcPr>
                <w:p>
                  <w:pPr>
                    <w:pStyle w:val="63"/>
                    <w:ind w:firstLine="480"/>
                    <w:rPr>
                      <w:color w:val="auto"/>
                    </w:rPr>
                  </w:pPr>
                  <w:r>
                    <w:rPr>
                      <w:rFonts w:hint="eastAsia"/>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95" w:type="pct"/>
                  <w:vAlign w:val="center"/>
                </w:tcPr>
                <w:p>
                  <w:pPr>
                    <w:pStyle w:val="63"/>
                    <w:ind w:firstLine="480"/>
                    <w:rPr>
                      <w:color w:val="auto"/>
                    </w:rPr>
                  </w:pPr>
                  <w:r>
                    <w:rPr>
                      <w:color w:val="auto"/>
                    </w:rPr>
                    <w:t>3</w:t>
                  </w:r>
                  <w:r>
                    <w:rPr>
                      <w:rFonts w:hint="eastAsia"/>
                      <w:color w:val="auto"/>
                    </w:rPr>
                    <w:t>类</w:t>
                  </w:r>
                </w:p>
              </w:tc>
              <w:tc>
                <w:tcPr>
                  <w:tcW w:w="1511" w:type="pct"/>
                  <w:vAlign w:val="center"/>
                </w:tcPr>
                <w:p>
                  <w:pPr>
                    <w:pStyle w:val="63"/>
                    <w:ind w:firstLine="480"/>
                    <w:rPr>
                      <w:color w:val="auto"/>
                    </w:rPr>
                  </w:pPr>
                  <w:r>
                    <w:rPr>
                      <w:rFonts w:hint="eastAsia"/>
                      <w:color w:val="auto"/>
                    </w:rPr>
                    <w:t>6</w:t>
                  </w:r>
                  <w:r>
                    <w:rPr>
                      <w:color w:val="auto"/>
                    </w:rPr>
                    <w:t>5</w:t>
                  </w:r>
                </w:p>
              </w:tc>
              <w:tc>
                <w:tcPr>
                  <w:tcW w:w="1694" w:type="pct"/>
                  <w:vAlign w:val="center"/>
                </w:tcPr>
                <w:p>
                  <w:pPr>
                    <w:pStyle w:val="63"/>
                    <w:ind w:firstLine="480"/>
                    <w:rPr>
                      <w:color w:val="auto"/>
                    </w:rPr>
                  </w:pPr>
                  <w:r>
                    <w:rPr>
                      <w:color w:val="auto"/>
                    </w:rPr>
                    <w:t>55</w:t>
                  </w:r>
                </w:p>
              </w:tc>
            </w:tr>
          </w:tbl>
          <w:p>
            <w:pPr>
              <w:pStyle w:val="56"/>
              <w:spacing w:before="60" w:after="60"/>
              <w:rPr>
                <w:color w:val="auto"/>
              </w:rPr>
            </w:pPr>
            <w:r>
              <w:rPr>
                <w:rFonts w:hint="eastAsia"/>
                <w:color w:val="auto"/>
              </w:rPr>
              <w:t>3.3.4固体废物</w:t>
            </w:r>
          </w:p>
          <w:p>
            <w:pPr>
              <w:ind w:firstLine="480"/>
              <w:rPr>
                <w:color w:val="auto"/>
              </w:rPr>
            </w:pPr>
            <w:r>
              <w:rPr>
                <w:color w:val="auto"/>
              </w:rPr>
              <w:t>一般工业固体废物执行《一般工业固体废物贮存</w:t>
            </w:r>
            <w:r>
              <w:rPr>
                <w:rFonts w:hint="eastAsia"/>
                <w:color w:val="auto"/>
              </w:rPr>
              <w:t>和填埋</w:t>
            </w:r>
            <w:r>
              <w:rPr>
                <w:color w:val="auto"/>
              </w:rPr>
              <w:t>污染控制标准》（GB18599-2</w:t>
            </w:r>
            <w:r>
              <w:rPr>
                <w:rFonts w:hint="eastAsia"/>
                <w:color w:val="auto"/>
              </w:rPr>
              <w:t>020</w:t>
            </w:r>
            <w:r>
              <w:rPr>
                <w:color w:val="auto"/>
              </w:rPr>
              <w:t>）</w:t>
            </w:r>
            <w:r>
              <w:rPr>
                <w:rFonts w:hint="eastAsia"/>
                <w:color w:val="auto"/>
              </w:rPr>
              <w:t>有关要求</w:t>
            </w:r>
            <w:r>
              <w:rPr>
                <w:color w:val="auto"/>
              </w:rPr>
              <w:t>；危险废物执行《危险废物贮存污染控制标准》（GB18597-2023）</w:t>
            </w:r>
            <w:r>
              <w:rPr>
                <w:rFonts w:hint="eastAsia"/>
                <w:color w:val="auto"/>
              </w:rPr>
              <w:t>有关要求</w:t>
            </w: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 w:type="pct"/>
            <w:vAlign w:val="center"/>
          </w:tcPr>
          <w:p>
            <w:pPr>
              <w:pStyle w:val="63"/>
              <w:rPr>
                <w:color w:val="auto"/>
                <w:sz w:val="24"/>
                <w:szCs w:val="24"/>
              </w:rPr>
            </w:pPr>
            <w:r>
              <w:rPr>
                <w:rFonts w:hint="eastAsia"/>
                <w:color w:val="auto"/>
                <w:sz w:val="24"/>
                <w:szCs w:val="24"/>
                <w:lang w:eastAsia="zh-CN"/>
              </w:rPr>
              <w:t>总量控制指标</w:t>
            </w:r>
          </w:p>
        </w:tc>
        <w:tc>
          <w:tcPr>
            <w:tcW w:w="4726" w:type="pct"/>
            <w:vAlign w:val="center"/>
          </w:tcPr>
          <w:p>
            <w:pPr>
              <w:pStyle w:val="51"/>
              <w:spacing w:before="120" w:after="120"/>
              <w:rPr>
                <w:color w:val="auto"/>
              </w:rPr>
            </w:pPr>
            <w:r>
              <w:rPr>
                <w:rFonts w:hint="eastAsia"/>
                <w:color w:val="auto"/>
              </w:rPr>
              <w:t>3.4总量控制指标</w:t>
            </w:r>
          </w:p>
          <w:p>
            <w:pPr>
              <w:pStyle w:val="92"/>
              <w:ind w:firstLine="482"/>
              <w:rPr>
                <w:color w:val="auto"/>
              </w:rPr>
            </w:pPr>
            <w:r>
              <w:rPr>
                <w:rFonts w:hint="eastAsia"/>
                <w:b/>
                <w:color w:val="auto"/>
              </w:rPr>
              <w:t>废水：</w:t>
            </w:r>
            <w:r>
              <w:rPr>
                <w:rFonts w:hint="eastAsia"/>
                <w:color w:val="auto"/>
              </w:rPr>
              <w:t>本项目运营后不涉及新增生产废水和生活污水，现有项目生产废水和生活污水经处理后均回用，不外排，不设废水总量控制指标。</w:t>
            </w:r>
          </w:p>
          <w:p>
            <w:pPr>
              <w:pStyle w:val="92"/>
              <w:ind w:firstLine="482"/>
              <w:rPr>
                <w:color w:val="auto"/>
              </w:rPr>
            </w:pPr>
            <w:r>
              <w:rPr>
                <w:rFonts w:hint="eastAsia"/>
                <w:b/>
                <w:color w:val="auto"/>
              </w:rPr>
              <w:t>废气：</w:t>
            </w:r>
            <w:r>
              <w:rPr>
                <w:color w:val="auto"/>
              </w:rPr>
              <w:t>根据《曲靖市生态环境局关于进一步加强建设项目主要污染物排放总量指标管理的通知》（曲环通〔2022〕65号），项目废气排放</w:t>
            </w:r>
            <w:r>
              <w:rPr>
                <w:rFonts w:hint="eastAsia"/>
                <w:color w:val="auto"/>
              </w:rPr>
              <w:t>总量指标</w:t>
            </w:r>
            <w:r>
              <w:rPr>
                <w:color w:val="auto"/>
              </w:rPr>
              <w:t>涉及</w:t>
            </w:r>
            <w:r>
              <w:rPr>
                <w:color w:val="auto"/>
                <w:lang w:val="zh-CN"/>
              </w:rPr>
              <w:t>SO</w:t>
            </w:r>
            <w:r>
              <w:rPr>
                <w:color w:val="auto"/>
                <w:vertAlign w:val="subscript"/>
                <w:lang w:val="zh-CN"/>
              </w:rPr>
              <w:t>2</w:t>
            </w:r>
            <w:r>
              <w:rPr>
                <w:color w:val="auto"/>
              </w:rPr>
              <w:t>、</w:t>
            </w:r>
            <w:r>
              <w:rPr>
                <w:color w:val="auto"/>
                <w:lang w:val="zh-CN"/>
              </w:rPr>
              <w:t>NOx</w:t>
            </w:r>
            <w:r>
              <w:rPr>
                <w:rFonts w:hint="eastAsia"/>
                <w:color w:val="auto"/>
              </w:rPr>
              <w:t>。本项目技改前后废气总量控制指标计算见下表：</w:t>
            </w:r>
          </w:p>
          <w:p>
            <w:pPr>
              <w:pStyle w:val="66"/>
              <w:rPr>
                <w:color w:val="auto"/>
              </w:rPr>
            </w:pPr>
            <w:r>
              <w:rPr>
                <w:rFonts w:hint="eastAsia"/>
                <w:color w:val="auto"/>
              </w:rPr>
              <w:t>表3</w:t>
            </w:r>
            <w:r>
              <w:rPr>
                <w:color w:val="auto"/>
              </w:rPr>
              <w:t xml:space="preserve">.4-1 </w:t>
            </w:r>
            <w:r>
              <w:rPr>
                <w:rFonts w:hint="eastAsia"/>
                <w:color w:val="auto"/>
              </w:rPr>
              <w:t xml:space="preserve">废气总量指标计算一览表 </w:t>
            </w:r>
            <w:r>
              <w:rPr>
                <w:color w:val="auto"/>
              </w:rPr>
              <w:t xml:space="preserve">   </w:t>
            </w:r>
            <w:r>
              <w:rPr>
                <w:rFonts w:hint="eastAsia"/>
                <w:color w:val="auto"/>
              </w:rPr>
              <w:t>单位：t/a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2120"/>
              <w:gridCol w:w="1276"/>
              <w:gridCol w:w="905"/>
              <w:gridCol w:w="1077"/>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78" w:type="pct"/>
                  <w:vMerge w:val="restart"/>
                  <w:shd w:val="clear" w:color="auto" w:fill="auto"/>
                  <w:vAlign w:val="center"/>
                </w:tcPr>
                <w:p>
                  <w:pPr>
                    <w:pStyle w:val="63"/>
                    <w:rPr>
                      <w:color w:val="auto"/>
                    </w:rPr>
                  </w:pPr>
                  <w:r>
                    <w:rPr>
                      <w:color w:val="auto"/>
                    </w:rPr>
                    <w:t>排放口编号</w:t>
                  </w:r>
                </w:p>
              </w:tc>
              <w:tc>
                <w:tcPr>
                  <w:tcW w:w="1354" w:type="pct"/>
                  <w:vMerge w:val="restart"/>
                  <w:shd w:val="clear" w:color="auto" w:fill="auto"/>
                  <w:vAlign w:val="center"/>
                </w:tcPr>
                <w:p>
                  <w:pPr>
                    <w:pStyle w:val="63"/>
                    <w:rPr>
                      <w:color w:val="auto"/>
                    </w:rPr>
                  </w:pPr>
                  <w:r>
                    <w:rPr>
                      <w:color w:val="auto"/>
                    </w:rPr>
                    <w:t>排放口名称</w:t>
                  </w:r>
                </w:p>
              </w:tc>
              <w:tc>
                <w:tcPr>
                  <w:tcW w:w="1393" w:type="pct"/>
                  <w:gridSpan w:val="2"/>
                  <w:shd w:val="clear" w:color="auto" w:fill="auto"/>
                  <w:vAlign w:val="center"/>
                </w:tcPr>
                <w:p>
                  <w:pPr>
                    <w:pStyle w:val="63"/>
                    <w:rPr>
                      <w:color w:val="auto"/>
                    </w:rPr>
                  </w:pPr>
                  <w:r>
                    <w:rPr>
                      <w:color w:val="auto"/>
                    </w:rPr>
                    <w:t>SO</w:t>
                  </w:r>
                  <w:r>
                    <w:rPr>
                      <w:color w:val="auto"/>
                      <w:vertAlign w:val="subscript"/>
                    </w:rPr>
                    <w:t>2</w:t>
                  </w:r>
                </w:p>
              </w:tc>
              <w:tc>
                <w:tcPr>
                  <w:tcW w:w="1375" w:type="pct"/>
                  <w:gridSpan w:val="2"/>
                  <w:shd w:val="clear" w:color="auto" w:fill="auto"/>
                  <w:vAlign w:val="center"/>
                </w:tcPr>
                <w:p>
                  <w:pPr>
                    <w:pStyle w:val="63"/>
                    <w:rPr>
                      <w:color w:val="auto"/>
                    </w:rPr>
                  </w:pPr>
                  <w:r>
                    <w:rPr>
                      <w:color w:val="auto"/>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78" w:type="pct"/>
                  <w:vMerge w:val="continue"/>
                  <w:shd w:val="clear" w:color="auto" w:fill="auto"/>
                  <w:vAlign w:val="center"/>
                </w:tcPr>
                <w:p>
                  <w:pPr>
                    <w:pStyle w:val="63"/>
                    <w:rPr>
                      <w:color w:val="auto"/>
                    </w:rPr>
                  </w:pPr>
                </w:p>
              </w:tc>
              <w:tc>
                <w:tcPr>
                  <w:tcW w:w="1354" w:type="pct"/>
                  <w:vMerge w:val="continue"/>
                  <w:shd w:val="clear" w:color="auto" w:fill="auto"/>
                  <w:vAlign w:val="center"/>
                </w:tcPr>
                <w:p>
                  <w:pPr>
                    <w:pStyle w:val="63"/>
                    <w:rPr>
                      <w:color w:val="auto"/>
                    </w:rPr>
                  </w:pPr>
                </w:p>
              </w:tc>
              <w:tc>
                <w:tcPr>
                  <w:tcW w:w="815" w:type="pct"/>
                  <w:shd w:val="clear" w:color="auto" w:fill="auto"/>
                  <w:vAlign w:val="center"/>
                </w:tcPr>
                <w:p>
                  <w:pPr>
                    <w:pStyle w:val="63"/>
                    <w:rPr>
                      <w:color w:val="auto"/>
                    </w:rPr>
                  </w:pPr>
                  <w:r>
                    <w:rPr>
                      <w:rFonts w:hint="eastAsia"/>
                      <w:color w:val="auto"/>
                    </w:rPr>
                    <w:t>技改前</w:t>
                  </w:r>
                </w:p>
              </w:tc>
              <w:tc>
                <w:tcPr>
                  <w:tcW w:w="578" w:type="pct"/>
                  <w:shd w:val="clear" w:color="auto" w:fill="auto"/>
                  <w:vAlign w:val="center"/>
                </w:tcPr>
                <w:p>
                  <w:pPr>
                    <w:pStyle w:val="63"/>
                    <w:rPr>
                      <w:color w:val="auto"/>
                    </w:rPr>
                  </w:pPr>
                  <w:r>
                    <w:rPr>
                      <w:rFonts w:hint="eastAsia"/>
                      <w:color w:val="auto"/>
                    </w:rPr>
                    <w:t>技改后</w:t>
                  </w:r>
                </w:p>
              </w:tc>
              <w:tc>
                <w:tcPr>
                  <w:tcW w:w="688" w:type="pct"/>
                  <w:shd w:val="clear" w:color="auto" w:fill="auto"/>
                  <w:vAlign w:val="center"/>
                </w:tcPr>
                <w:p>
                  <w:pPr>
                    <w:pStyle w:val="63"/>
                    <w:rPr>
                      <w:color w:val="auto"/>
                    </w:rPr>
                  </w:pPr>
                  <w:r>
                    <w:rPr>
                      <w:rFonts w:hint="eastAsia"/>
                      <w:color w:val="auto"/>
                    </w:rPr>
                    <w:t>技改前</w:t>
                  </w:r>
                </w:p>
              </w:tc>
              <w:tc>
                <w:tcPr>
                  <w:tcW w:w="687" w:type="pct"/>
                  <w:shd w:val="clear" w:color="auto" w:fill="auto"/>
                  <w:vAlign w:val="center"/>
                </w:tcPr>
                <w:p>
                  <w:pPr>
                    <w:pStyle w:val="63"/>
                    <w:rPr>
                      <w:color w:val="auto"/>
                    </w:rPr>
                  </w:pPr>
                  <w:r>
                    <w:rPr>
                      <w:rFonts w:hint="eastAsia"/>
                      <w:color w:val="auto"/>
                    </w:rPr>
                    <w:t>技改后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78" w:type="pct"/>
                  <w:shd w:val="clear" w:color="auto" w:fill="auto"/>
                  <w:vAlign w:val="center"/>
                </w:tcPr>
                <w:p>
                  <w:pPr>
                    <w:pStyle w:val="63"/>
                    <w:rPr>
                      <w:color w:val="auto"/>
                    </w:rPr>
                  </w:pPr>
                  <w:r>
                    <w:rPr>
                      <w:color w:val="auto"/>
                    </w:rPr>
                    <w:t>DA003</w:t>
                  </w:r>
                </w:p>
              </w:tc>
              <w:tc>
                <w:tcPr>
                  <w:tcW w:w="1354" w:type="pct"/>
                  <w:shd w:val="clear" w:color="auto" w:fill="auto"/>
                  <w:vAlign w:val="center"/>
                </w:tcPr>
                <w:p>
                  <w:pPr>
                    <w:pStyle w:val="63"/>
                    <w:rPr>
                      <w:color w:val="auto"/>
                    </w:rPr>
                  </w:pPr>
                  <w:r>
                    <w:rPr>
                      <w:color w:val="auto"/>
                    </w:rPr>
                    <w:t>热退火炉废气排放口</w:t>
                  </w:r>
                </w:p>
              </w:tc>
              <w:tc>
                <w:tcPr>
                  <w:tcW w:w="815" w:type="pct"/>
                  <w:shd w:val="clear" w:color="auto" w:fill="auto"/>
                  <w:vAlign w:val="center"/>
                </w:tcPr>
                <w:p>
                  <w:pPr>
                    <w:pStyle w:val="63"/>
                    <w:rPr>
                      <w:color w:val="auto"/>
                    </w:rPr>
                  </w:pPr>
                  <w:r>
                    <w:rPr>
                      <w:color w:val="auto"/>
                    </w:rPr>
                    <w:t>5.85</w:t>
                  </w:r>
                </w:p>
              </w:tc>
              <w:tc>
                <w:tcPr>
                  <w:tcW w:w="578" w:type="pct"/>
                  <w:shd w:val="clear" w:color="auto" w:fill="auto"/>
                  <w:vAlign w:val="center"/>
                </w:tcPr>
                <w:p>
                  <w:pPr>
                    <w:pStyle w:val="63"/>
                    <w:rPr>
                      <w:color w:val="auto"/>
                    </w:rPr>
                  </w:pPr>
                  <w:r>
                    <w:rPr>
                      <w:color w:val="auto"/>
                      <w:lang w:val="en-US"/>
                    </w:rPr>
                    <w:t>2.534</w:t>
                  </w:r>
                </w:p>
              </w:tc>
              <w:tc>
                <w:tcPr>
                  <w:tcW w:w="688" w:type="pct"/>
                  <w:shd w:val="clear" w:color="auto" w:fill="auto"/>
                  <w:vAlign w:val="center"/>
                </w:tcPr>
                <w:p>
                  <w:pPr>
                    <w:pStyle w:val="63"/>
                    <w:rPr>
                      <w:color w:val="auto"/>
                    </w:rPr>
                  </w:pPr>
                  <w:r>
                    <w:rPr>
                      <w:color w:val="auto"/>
                    </w:rPr>
                    <w:t>7.5</w:t>
                  </w:r>
                </w:p>
              </w:tc>
              <w:tc>
                <w:tcPr>
                  <w:tcW w:w="687" w:type="pct"/>
                  <w:shd w:val="clear" w:color="auto" w:fill="auto"/>
                  <w:vAlign w:val="center"/>
                </w:tcPr>
                <w:p>
                  <w:pPr>
                    <w:pStyle w:val="63"/>
                    <w:rPr>
                      <w:color w:val="auto"/>
                    </w:rPr>
                  </w:pPr>
                  <w:r>
                    <w:rPr>
                      <w:color w:val="auto"/>
                      <w:lang w:val="en-US"/>
                    </w:rPr>
                    <w:t>9.408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32" w:type="pct"/>
                  <w:gridSpan w:val="2"/>
                  <w:shd w:val="clear" w:color="auto" w:fill="auto"/>
                  <w:vAlign w:val="center"/>
                </w:tcPr>
                <w:p>
                  <w:pPr>
                    <w:pStyle w:val="63"/>
                    <w:rPr>
                      <w:color w:val="auto"/>
                    </w:rPr>
                  </w:pPr>
                  <w:r>
                    <w:rPr>
                      <w:rFonts w:hint="eastAsia"/>
                      <w:color w:val="auto"/>
                    </w:rPr>
                    <w:t>变化量</w:t>
                  </w:r>
                </w:p>
              </w:tc>
              <w:tc>
                <w:tcPr>
                  <w:tcW w:w="1393" w:type="pct"/>
                  <w:gridSpan w:val="2"/>
                  <w:shd w:val="clear" w:color="auto" w:fill="auto"/>
                  <w:vAlign w:val="center"/>
                </w:tcPr>
                <w:p>
                  <w:pPr>
                    <w:pStyle w:val="63"/>
                    <w:rPr>
                      <w:color w:val="auto"/>
                    </w:rPr>
                  </w:pPr>
                  <w:r>
                    <w:rPr>
                      <w:rFonts w:hint="eastAsia"/>
                      <w:color w:val="auto"/>
                      <w:lang w:val="en-US"/>
                    </w:rPr>
                    <w:t>-</w:t>
                  </w:r>
                  <w:r>
                    <w:rPr>
                      <w:color w:val="auto"/>
                      <w:lang w:val="en-US"/>
                    </w:rPr>
                    <w:t>3.316</w:t>
                  </w:r>
                </w:p>
              </w:tc>
              <w:tc>
                <w:tcPr>
                  <w:tcW w:w="1375" w:type="pct"/>
                  <w:gridSpan w:val="2"/>
                  <w:shd w:val="clear" w:color="auto" w:fill="auto"/>
                  <w:vAlign w:val="center"/>
                </w:tcPr>
                <w:p>
                  <w:pPr>
                    <w:pStyle w:val="63"/>
                    <w:rPr>
                      <w:color w:val="auto"/>
                    </w:rPr>
                  </w:pPr>
                  <w:r>
                    <w:rPr>
                      <w:color w:val="auto"/>
                      <w:lang w:val="en-US"/>
                    </w:rPr>
                    <w:t>+1.908</w:t>
                  </w:r>
                </w:p>
              </w:tc>
            </w:tr>
          </w:tbl>
          <w:p>
            <w:pPr>
              <w:pStyle w:val="92"/>
              <w:ind w:firstLine="480"/>
              <w:rPr>
                <w:color w:val="auto"/>
              </w:rPr>
            </w:pPr>
            <w:r>
              <w:rPr>
                <w:rFonts w:hint="eastAsia"/>
                <w:color w:val="auto"/>
              </w:rPr>
              <w:t>根据上表，本次技改项目由于使用清洁燃料天然气，天然气热值高于焦炉煤气，技改后天然气用量低于焦炉煤气用量，S</w:t>
            </w:r>
            <w:r>
              <w:rPr>
                <w:color w:val="auto"/>
              </w:rPr>
              <w:t>O</w:t>
            </w:r>
            <w:r>
              <w:rPr>
                <w:color w:val="auto"/>
                <w:vertAlign w:val="subscript"/>
              </w:rPr>
              <w:t>2</w:t>
            </w:r>
            <w:r>
              <w:rPr>
                <w:rFonts w:hint="eastAsia"/>
                <w:color w:val="auto"/>
              </w:rPr>
              <w:t>排放总量相比原项目减少，没有突破原项目环评及排污许可证核发的总量，本次技改项目S</w:t>
            </w:r>
            <w:r>
              <w:rPr>
                <w:color w:val="auto"/>
              </w:rPr>
              <w:t>O</w:t>
            </w:r>
            <w:r>
              <w:rPr>
                <w:color w:val="auto"/>
                <w:vertAlign w:val="subscript"/>
              </w:rPr>
              <w:t>2</w:t>
            </w:r>
            <w:r>
              <w:rPr>
                <w:rFonts w:hint="eastAsia"/>
                <w:color w:val="auto"/>
              </w:rPr>
              <w:t>不新增总量控制指标，沿用原项目总量。</w:t>
            </w:r>
          </w:p>
          <w:p>
            <w:pPr>
              <w:pStyle w:val="92"/>
              <w:ind w:firstLine="480"/>
              <w:rPr>
                <w:color w:val="auto"/>
              </w:rPr>
            </w:pPr>
            <w:r>
              <w:rPr>
                <w:rFonts w:hint="eastAsia"/>
                <w:color w:val="auto"/>
              </w:rPr>
              <w:t>根据上表，本次技改项目</w:t>
            </w:r>
            <w:r>
              <w:rPr>
                <w:color w:val="auto"/>
              </w:rPr>
              <w:t>NOx</w:t>
            </w:r>
            <w:r>
              <w:rPr>
                <w:rFonts w:hint="eastAsia"/>
                <w:color w:val="auto"/>
              </w:rPr>
              <w:t>排放总量相比原项目增加，本次技改项目</w:t>
            </w:r>
            <w:r>
              <w:rPr>
                <w:color w:val="auto"/>
              </w:rPr>
              <w:t>NOx</w:t>
            </w:r>
            <w:r>
              <w:rPr>
                <w:rFonts w:hint="eastAsia"/>
                <w:color w:val="auto"/>
              </w:rPr>
              <w:t>新增总量控制指标由全厂进行调配，从</w:t>
            </w:r>
            <w:r>
              <w:rPr>
                <w:rFonts w:hint="eastAsia"/>
                <w:bCs/>
                <w:color w:val="auto"/>
              </w:rPr>
              <w:t>年产1</w:t>
            </w:r>
            <w:r>
              <w:rPr>
                <w:bCs/>
                <w:color w:val="auto"/>
              </w:rPr>
              <w:t>40</w:t>
            </w:r>
            <w:r>
              <w:rPr>
                <w:rFonts w:hint="eastAsia"/>
                <w:bCs/>
                <w:color w:val="auto"/>
              </w:rPr>
              <w:t>万吨热轧生产线建设项目</w:t>
            </w:r>
            <w:r>
              <w:rPr>
                <w:color w:val="auto"/>
              </w:rPr>
              <w:t>DA001</w:t>
            </w:r>
            <w:r>
              <w:rPr>
                <w:rFonts w:hint="eastAsia"/>
                <w:color w:val="auto"/>
              </w:rPr>
              <w:t>废气排放口进行调配，全厂其他排放口</w:t>
            </w:r>
            <w:r>
              <w:rPr>
                <w:color w:val="auto"/>
              </w:rPr>
              <w:t>NOx</w:t>
            </w:r>
            <w:r>
              <w:rPr>
                <w:rFonts w:hint="eastAsia"/>
                <w:color w:val="auto"/>
              </w:rPr>
              <w:t>总量保持不变，调配计算见下表。</w:t>
            </w:r>
          </w:p>
          <w:p>
            <w:pPr>
              <w:pStyle w:val="66"/>
              <w:rPr>
                <w:color w:val="auto"/>
              </w:rPr>
            </w:pPr>
            <w:r>
              <w:rPr>
                <w:rFonts w:hint="eastAsia"/>
                <w:color w:val="auto"/>
              </w:rPr>
              <w:t>表3</w:t>
            </w:r>
            <w:r>
              <w:rPr>
                <w:color w:val="auto"/>
              </w:rPr>
              <w:t>.4-2 NOx</w:t>
            </w:r>
            <w:r>
              <w:rPr>
                <w:rFonts w:hint="eastAsia"/>
                <w:color w:val="auto"/>
              </w:rPr>
              <w:t xml:space="preserve">总量指标调配一览表 </w:t>
            </w:r>
            <w:r>
              <w:rPr>
                <w:color w:val="auto"/>
              </w:rPr>
              <w:t xml:space="preserve">   </w:t>
            </w:r>
            <w:r>
              <w:rPr>
                <w:rFonts w:hint="eastAsia"/>
                <w:color w:val="auto"/>
              </w:rPr>
              <w:t>单位：t/a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985"/>
              <w:gridCol w:w="1417"/>
              <w:gridCol w:w="1142"/>
              <w:gridCol w:w="1276"/>
              <w:gridCol w:w="1276"/>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Merge w:val="restart"/>
                  <w:shd w:val="clear" w:color="auto" w:fill="auto"/>
                  <w:vAlign w:val="center"/>
                </w:tcPr>
                <w:p>
                  <w:pPr>
                    <w:pStyle w:val="63"/>
                    <w:rPr>
                      <w:color w:val="auto"/>
                    </w:rPr>
                  </w:pPr>
                  <w:r>
                    <w:rPr>
                      <w:color w:val="auto"/>
                    </w:rPr>
                    <w:t>序号</w:t>
                  </w:r>
                </w:p>
              </w:tc>
              <w:tc>
                <w:tcPr>
                  <w:tcW w:w="629" w:type="pct"/>
                  <w:vMerge w:val="restart"/>
                  <w:shd w:val="clear" w:color="auto" w:fill="auto"/>
                  <w:vAlign w:val="center"/>
                </w:tcPr>
                <w:p>
                  <w:pPr>
                    <w:pStyle w:val="63"/>
                    <w:rPr>
                      <w:color w:val="auto"/>
                    </w:rPr>
                  </w:pPr>
                  <w:r>
                    <w:rPr>
                      <w:color w:val="auto"/>
                    </w:rPr>
                    <w:t>排放口编号</w:t>
                  </w:r>
                </w:p>
              </w:tc>
              <w:tc>
                <w:tcPr>
                  <w:tcW w:w="905" w:type="pct"/>
                  <w:vMerge w:val="restart"/>
                  <w:shd w:val="clear" w:color="auto" w:fill="auto"/>
                  <w:vAlign w:val="center"/>
                </w:tcPr>
                <w:p>
                  <w:pPr>
                    <w:pStyle w:val="63"/>
                    <w:rPr>
                      <w:color w:val="auto"/>
                    </w:rPr>
                  </w:pPr>
                  <w:r>
                    <w:rPr>
                      <w:color w:val="auto"/>
                    </w:rPr>
                    <w:t>排放口名称</w:t>
                  </w:r>
                </w:p>
              </w:tc>
              <w:tc>
                <w:tcPr>
                  <w:tcW w:w="3039" w:type="pct"/>
                  <w:gridSpan w:val="4"/>
                  <w:shd w:val="clear" w:color="auto" w:fill="auto"/>
                  <w:vAlign w:val="center"/>
                </w:tcPr>
                <w:p>
                  <w:pPr>
                    <w:pStyle w:val="63"/>
                    <w:rPr>
                      <w:color w:val="auto"/>
                    </w:rPr>
                  </w:pPr>
                  <w:r>
                    <w:rPr>
                      <w:color w:val="auto"/>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Merge w:val="continue"/>
                  <w:shd w:val="clear" w:color="auto" w:fill="auto"/>
                  <w:vAlign w:val="center"/>
                </w:tcPr>
                <w:p>
                  <w:pPr>
                    <w:pStyle w:val="63"/>
                    <w:rPr>
                      <w:color w:val="auto"/>
                    </w:rPr>
                  </w:pPr>
                </w:p>
              </w:tc>
              <w:tc>
                <w:tcPr>
                  <w:tcW w:w="629" w:type="pct"/>
                  <w:vMerge w:val="continue"/>
                  <w:shd w:val="clear" w:color="auto" w:fill="auto"/>
                  <w:vAlign w:val="center"/>
                </w:tcPr>
                <w:p>
                  <w:pPr>
                    <w:pStyle w:val="63"/>
                    <w:rPr>
                      <w:color w:val="auto"/>
                    </w:rPr>
                  </w:pPr>
                </w:p>
              </w:tc>
              <w:tc>
                <w:tcPr>
                  <w:tcW w:w="905" w:type="pct"/>
                  <w:vMerge w:val="continue"/>
                  <w:shd w:val="clear" w:color="auto" w:fill="auto"/>
                  <w:vAlign w:val="center"/>
                </w:tcPr>
                <w:p>
                  <w:pPr>
                    <w:pStyle w:val="63"/>
                    <w:rPr>
                      <w:color w:val="auto"/>
                    </w:rPr>
                  </w:pPr>
                </w:p>
              </w:tc>
              <w:tc>
                <w:tcPr>
                  <w:tcW w:w="729" w:type="pct"/>
                  <w:shd w:val="clear" w:color="auto" w:fill="auto"/>
                  <w:vAlign w:val="center"/>
                </w:tcPr>
                <w:p>
                  <w:pPr>
                    <w:pStyle w:val="63"/>
                    <w:rPr>
                      <w:color w:val="auto"/>
                    </w:rPr>
                  </w:pPr>
                  <w:r>
                    <w:rPr>
                      <w:rFonts w:hint="eastAsia"/>
                      <w:color w:val="auto"/>
                    </w:rPr>
                    <w:t>许可总量</w:t>
                  </w:r>
                </w:p>
              </w:tc>
              <w:tc>
                <w:tcPr>
                  <w:tcW w:w="815" w:type="pct"/>
                  <w:shd w:val="clear" w:color="auto" w:fill="auto"/>
                  <w:vAlign w:val="center"/>
                </w:tcPr>
                <w:p>
                  <w:pPr>
                    <w:pStyle w:val="63"/>
                    <w:rPr>
                      <w:color w:val="auto"/>
                    </w:rPr>
                  </w:pPr>
                  <w:r>
                    <w:rPr>
                      <w:rFonts w:hint="eastAsia"/>
                      <w:color w:val="auto"/>
                    </w:rPr>
                    <w:t>实际排放量</w:t>
                  </w:r>
                </w:p>
              </w:tc>
              <w:tc>
                <w:tcPr>
                  <w:tcW w:w="815" w:type="pct"/>
                  <w:shd w:val="clear" w:color="auto" w:fill="auto"/>
                  <w:vAlign w:val="center"/>
                </w:tcPr>
                <w:p>
                  <w:pPr>
                    <w:pStyle w:val="63"/>
                    <w:rPr>
                      <w:color w:val="auto"/>
                    </w:rPr>
                  </w:pPr>
                  <w:r>
                    <w:rPr>
                      <w:rFonts w:hint="eastAsia"/>
                      <w:color w:val="auto"/>
                      <w:lang w:eastAsia="zh-CN"/>
                    </w:rPr>
                    <w:t>本项目技改后排放量</w:t>
                  </w:r>
                </w:p>
              </w:tc>
              <w:tc>
                <w:tcPr>
                  <w:tcW w:w="680" w:type="pct"/>
                  <w:shd w:val="clear" w:color="auto" w:fill="auto"/>
                  <w:vAlign w:val="center"/>
                </w:tcPr>
                <w:p>
                  <w:pPr>
                    <w:pStyle w:val="63"/>
                    <w:rPr>
                      <w:color w:val="auto"/>
                    </w:rPr>
                  </w:pPr>
                  <w:r>
                    <w:rPr>
                      <w:rFonts w:hint="eastAsia"/>
                      <w:color w:val="auto"/>
                    </w:rPr>
                    <w:t>剩余总量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shd w:val="clear" w:color="auto" w:fill="auto"/>
                  <w:vAlign w:val="center"/>
                </w:tcPr>
                <w:p>
                  <w:pPr>
                    <w:pStyle w:val="63"/>
                    <w:rPr>
                      <w:color w:val="auto"/>
                    </w:rPr>
                  </w:pPr>
                  <w:r>
                    <w:rPr>
                      <w:color w:val="auto"/>
                    </w:rPr>
                    <w:t>1</w:t>
                  </w:r>
                </w:p>
              </w:tc>
              <w:tc>
                <w:tcPr>
                  <w:tcW w:w="629" w:type="pct"/>
                  <w:shd w:val="clear" w:color="auto" w:fill="auto"/>
                  <w:vAlign w:val="center"/>
                </w:tcPr>
                <w:p>
                  <w:pPr>
                    <w:pStyle w:val="63"/>
                    <w:rPr>
                      <w:color w:val="auto"/>
                    </w:rPr>
                  </w:pPr>
                  <w:r>
                    <w:rPr>
                      <w:color w:val="auto"/>
                    </w:rPr>
                    <w:t>DA001</w:t>
                  </w:r>
                </w:p>
              </w:tc>
              <w:tc>
                <w:tcPr>
                  <w:tcW w:w="905" w:type="pct"/>
                  <w:shd w:val="clear" w:color="auto" w:fill="auto"/>
                  <w:vAlign w:val="center"/>
                </w:tcPr>
                <w:p>
                  <w:pPr>
                    <w:pStyle w:val="63"/>
                    <w:rPr>
                      <w:color w:val="auto"/>
                    </w:rPr>
                  </w:pPr>
                  <w:r>
                    <w:rPr>
                      <w:color w:val="auto"/>
                    </w:rPr>
                    <w:t>热处理炉烟气排放口</w:t>
                  </w:r>
                </w:p>
              </w:tc>
              <w:tc>
                <w:tcPr>
                  <w:tcW w:w="729" w:type="pct"/>
                  <w:shd w:val="clear" w:color="auto" w:fill="auto"/>
                  <w:vAlign w:val="center"/>
                </w:tcPr>
                <w:p>
                  <w:pPr>
                    <w:pStyle w:val="63"/>
                    <w:rPr>
                      <w:color w:val="auto"/>
                    </w:rPr>
                  </w:pPr>
                  <w:r>
                    <w:rPr>
                      <w:color w:val="auto"/>
                    </w:rPr>
                    <w:t>100.8</w:t>
                  </w:r>
                </w:p>
              </w:tc>
              <w:tc>
                <w:tcPr>
                  <w:tcW w:w="815" w:type="pct"/>
                  <w:shd w:val="clear" w:color="auto" w:fill="auto"/>
                  <w:vAlign w:val="center"/>
                </w:tcPr>
                <w:p>
                  <w:pPr>
                    <w:pStyle w:val="63"/>
                    <w:rPr>
                      <w:color w:val="auto"/>
                    </w:rPr>
                  </w:pPr>
                  <w:r>
                    <w:rPr>
                      <w:color w:val="auto"/>
                      <w:lang w:val="en-US"/>
                    </w:rPr>
                    <w:t>30.262</w:t>
                  </w:r>
                </w:p>
              </w:tc>
              <w:tc>
                <w:tcPr>
                  <w:tcW w:w="815" w:type="pct"/>
                  <w:shd w:val="clear" w:color="auto" w:fill="auto"/>
                  <w:vAlign w:val="center"/>
                </w:tcPr>
                <w:p>
                  <w:pPr>
                    <w:pStyle w:val="63"/>
                    <w:rPr>
                      <w:color w:val="auto"/>
                    </w:rPr>
                  </w:pPr>
                  <w:r>
                    <w:rPr>
                      <w:color w:val="auto"/>
                      <w:lang w:val="en-US"/>
                    </w:rPr>
                    <w:t>30.262</w:t>
                  </w:r>
                </w:p>
              </w:tc>
              <w:tc>
                <w:tcPr>
                  <w:tcW w:w="680" w:type="pct"/>
                  <w:shd w:val="clear" w:color="auto" w:fill="auto"/>
                  <w:vAlign w:val="center"/>
                </w:tcPr>
                <w:p>
                  <w:pPr>
                    <w:pStyle w:val="63"/>
                    <w:rPr>
                      <w:color w:val="auto"/>
                    </w:rPr>
                  </w:pPr>
                  <w:r>
                    <w:rPr>
                      <w:rFonts w:hint="eastAsia"/>
                      <w:color w:val="auto"/>
                    </w:rPr>
                    <w:t>7</w:t>
                  </w:r>
                  <w:r>
                    <w:rPr>
                      <w:color w:val="auto"/>
                    </w:rPr>
                    <w:t>0.538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shd w:val="clear" w:color="auto" w:fill="auto"/>
                  <w:vAlign w:val="center"/>
                </w:tcPr>
                <w:p>
                  <w:pPr>
                    <w:pStyle w:val="63"/>
                    <w:rPr>
                      <w:color w:val="auto"/>
                      <w:lang w:eastAsia="zh-CN"/>
                    </w:rPr>
                  </w:pPr>
                  <w:r>
                    <w:rPr>
                      <w:rFonts w:hint="eastAsia"/>
                      <w:color w:val="auto"/>
                      <w:lang w:eastAsia="zh-CN"/>
                    </w:rPr>
                    <w:t>2</w:t>
                  </w:r>
                </w:p>
              </w:tc>
              <w:tc>
                <w:tcPr>
                  <w:tcW w:w="629" w:type="pct"/>
                  <w:shd w:val="clear" w:color="auto" w:fill="auto"/>
                  <w:vAlign w:val="center"/>
                </w:tcPr>
                <w:p>
                  <w:pPr>
                    <w:pStyle w:val="63"/>
                    <w:rPr>
                      <w:color w:val="auto"/>
                    </w:rPr>
                  </w:pPr>
                  <w:r>
                    <w:rPr>
                      <w:color w:val="auto"/>
                    </w:rPr>
                    <w:t>DA003</w:t>
                  </w:r>
                </w:p>
              </w:tc>
              <w:tc>
                <w:tcPr>
                  <w:tcW w:w="905" w:type="pct"/>
                  <w:shd w:val="clear" w:color="auto" w:fill="auto"/>
                  <w:vAlign w:val="center"/>
                </w:tcPr>
                <w:p>
                  <w:pPr>
                    <w:pStyle w:val="63"/>
                    <w:rPr>
                      <w:color w:val="auto"/>
                    </w:rPr>
                  </w:pPr>
                  <w:r>
                    <w:rPr>
                      <w:color w:val="auto"/>
                    </w:rPr>
                    <w:t>热退火炉废气排放口</w:t>
                  </w:r>
                </w:p>
              </w:tc>
              <w:tc>
                <w:tcPr>
                  <w:tcW w:w="729" w:type="pct"/>
                  <w:shd w:val="clear" w:color="auto" w:fill="auto"/>
                  <w:vAlign w:val="center"/>
                </w:tcPr>
                <w:p>
                  <w:pPr>
                    <w:pStyle w:val="63"/>
                    <w:rPr>
                      <w:color w:val="auto"/>
                      <w:lang w:eastAsia="zh-CN"/>
                    </w:rPr>
                  </w:pPr>
                  <w:r>
                    <w:rPr>
                      <w:rFonts w:hint="eastAsia"/>
                      <w:color w:val="auto"/>
                      <w:lang w:eastAsia="zh-CN"/>
                    </w:rPr>
                    <w:t>7</w:t>
                  </w:r>
                  <w:r>
                    <w:rPr>
                      <w:color w:val="auto"/>
                      <w:lang w:eastAsia="zh-CN"/>
                    </w:rPr>
                    <w:t>.5</w:t>
                  </w:r>
                </w:p>
              </w:tc>
              <w:tc>
                <w:tcPr>
                  <w:tcW w:w="815" w:type="pct"/>
                  <w:shd w:val="clear" w:color="auto" w:fill="auto"/>
                  <w:vAlign w:val="center"/>
                </w:tcPr>
                <w:p>
                  <w:pPr>
                    <w:pStyle w:val="63"/>
                    <w:rPr>
                      <w:color w:val="auto"/>
                      <w:lang w:val="en-US"/>
                    </w:rPr>
                  </w:pPr>
                  <w:r>
                    <w:rPr>
                      <w:color w:val="auto"/>
                      <w:lang w:val="en-US"/>
                    </w:rPr>
                    <w:t>0</w:t>
                  </w:r>
                </w:p>
              </w:tc>
              <w:tc>
                <w:tcPr>
                  <w:tcW w:w="815" w:type="pct"/>
                  <w:shd w:val="clear" w:color="auto" w:fill="auto"/>
                  <w:vAlign w:val="center"/>
                </w:tcPr>
                <w:p>
                  <w:pPr>
                    <w:pStyle w:val="63"/>
                    <w:rPr>
                      <w:color w:val="auto"/>
                      <w:lang w:eastAsia="zh-CN"/>
                    </w:rPr>
                  </w:pPr>
                  <w:r>
                    <w:rPr>
                      <w:color w:val="auto"/>
                      <w:lang w:val="en-US"/>
                    </w:rPr>
                    <w:t>9.408</w:t>
                  </w:r>
                </w:p>
              </w:tc>
              <w:tc>
                <w:tcPr>
                  <w:tcW w:w="680" w:type="pct"/>
                  <w:shd w:val="clear" w:color="auto" w:fill="auto"/>
                  <w:vAlign w:val="center"/>
                </w:tcPr>
                <w:p>
                  <w:pPr>
                    <w:pStyle w:val="63"/>
                    <w:rPr>
                      <w:color w:val="auto"/>
                      <w:lang w:eastAsia="zh-CN"/>
                    </w:rPr>
                  </w:pPr>
                  <w:r>
                    <w:rPr>
                      <w:rFonts w:hint="eastAsia"/>
                      <w:color w:val="auto"/>
                      <w:lang w:eastAsia="zh-CN"/>
                    </w:rPr>
                    <w:t>-</w:t>
                  </w:r>
                  <w:r>
                    <w:rPr>
                      <w:color w:val="auto"/>
                      <w:lang w:eastAsia="zh-CN"/>
                    </w:rPr>
                    <w:t>1.908</w:t>
                  </w:r>
                </w:p>
              </w:tc>
            </w:tr>
          </w:tbl>
          <w:p>
            <w:pPr>
              <w:pStyle w:val="92"/>
              <w:ind w:firstLine="480"/>
              <w:rPr>
                <w:color w:val="auto"/>
              </w:rPr>
            </w:pPr>
            <w:r>
              <w:rPr>
                <w:rFonts w:hint="eastAsia"/>
                <w:color w:val="auto"/>
              </w:rPr>
              <w:t>根据上表，</w:t>
            </w:r>
            <w:r>
              <w:rPr>
                <w:color w:val="auto"/>
              </w:rPr>
              <w:t>DA001</w:t>
            </w:r>
            <w:r>
              <w:rPr>
                <w:rFonts w:hint="eastAsia"/>
                <w:color w:val="auto"/>
              </w:rPr>
              <w:t>废气排放口</w:t>
            </w:r>
            <w:r>
              <w:rPr>
                <w:color w:val="auto"/>
              </w:rPr>
              <w:t>NOx</w:t>
            </w:r>
            <w:r>
              <w:rPr>
                <w:rFonts w:hint="eastAsia"/>
                <w:color w:val="auto"/>
              </w:rPr>
              <w:t>剩余总量为7</w:t>
            </w:r>
            <w:r>
              <w:rPr>
                <w:color w:val="auto"/>
              </w:rPr>
              <w:t>0.538</w:t>
            </w:r>
            <w:r>
              <w:rPr>
                <w:rFonts w:hint="eastAsia"/>
                <w:color w:val="auto"/>
              </w:rPr>
              <w:t>t/a，本项目技改后D</w:t>
            </w:r>
            <w:r>
              <w:rPr>
                <w:color w:val="auto"/>
              </w:rPr>
              <w:t>A003</w:t>
            </w:r>
            <w:r>
              <w:rPr>
                <w:rFonts w:hint="eastAsia"/>
                <w:color w:val="auto"/>
              </w:rPr>
              <w:t>在现有许可总量基础上新增</w:t>
            </w:r>
            <w:r>
              <w:rPr>
                <w:color w:val="auto"/>
              </w:rPr>
              <w:t>NOx</w:t>
            </w:r>
            <w:r>
              <w:rPr>
                <w:rFonts w:hint="eastAsia"/>
                <w:color w:val="auto"/>
              </w:rPr>
              <w:t>总量1</w:t>
            </w:r>
            <w:r>
              <w:rPr>
                <w:color w:val="auto"/>
              </w:rPr>
              <w:t>.908</w:t>
            </w:r>
            <w:r>
              <w:rPr>
                <w:rFonts w:hint="eastAsia"/>
                <w:color w:val="auto"/>
              </w:rPr>
              <w:t>t/a，</w:t>
            </w:r>
            <w:r>
              <w:rPr>
                <w:color w:val="auto"/>
              </w:rPr>
              <w:t>DA001</w:t>
            </w:r>
            <w:r>
              <w:rPr>
                <w:rFonts w:hint="eastAsia"/>
                <w:color w:val="auto"/>
              </w:rPr>
              <w:t>废气排放口</w:t>
            </w:r>
            <w:r>
              <w:rPr>
                <w:color w:val="auto"/>
              </w:rPr>
              <w:t>NOx</w:t>
            </w:r>
            <w:r>
              <w:rPr>
                <w:rFonts w:hint="eastAsia"/>
                <w:color w:val="auto"/>
              </w:rPr>
              <w:t>剩余总量可以满足本项目新增的</w:t>
            </w:r>
            <w:r>
              <w:rPr>
                <w:color w:val="auto"/>
              </w:rPr>
              <w:t>NOx</w:t>
            </w:r>
            <w:r>
              <w:rPr>
                <w:rFonts w:hint="eastAsia"/>
                <w:color w:val="auto"/>
              </w:rPr>
              <w:t>总量。</w:t>
            </w:r>
          </w:p>
          <w:p>
            <w:pPr>
              <w:pStyle w:val="92"/>
              <w:ind w:firstLine="482"/>
              <w:rPr>
                <w:color w:val="auto"/>
              </w:rPr>
            </w:pPr>
            <w:r>
              <w:rPr>
                <w:rFonts w:hint="eastAsia"/>
                <w:b/>
                <w:color w:val="auto"/>
              </w:rPr>
              <w:t>固体废物：</w:t>
            </w:r>
            <w:r>
              <w:rPr>
                <w:color w:val="auto"/>
              </w:rPr>
              <w:t>根据《曲靖市生态环境局关于进一步加强建设项目主要污染物排放总量指标管理的通知》（曲环通〔2022〕65号）</w:t>
            </w:r>
            <w:r>
              <w:rPr>
                <w:rFonts w:hint="eastAsia"/>
                <w:color w:val="auto"/>
              </w:rPr>
              <w:t>，重金属污染物指标为：铅、汞、镉、铬、砷，本项目不涉及重金属污染指标，不设重金属总量控制指标。</w:t>
            </w:r>
          </w:p>
          <w:p>
            <w:pPr>
              <w:pStyle w:val="92"/>
              <w:ind w:firstLine="480"/>
              <w:rPr>
                <w:color w:val="auto"/>
              </w:rPr>
            </w:pPr>
          </w:p>
          <w:p>
            <w:pPr>
              <w:pStyle w:val="92"/>
              <w:ind w:firstLine="480"/>
              <w:rPr>
                <w:color w:val="auto"/>
              </w:rPr>
            </w:pPr>
          </w:p>
          <w:p>
            <w:pPr>
              <w:pStyle w:val="92"/>
              <w:ind w:firstLine="480"/>
              <w:rPr>
                <w:color w:val="auto"/>
              </w:rPr>
            </w:pPr>
            <w:r>
              <w:rPr>
                <w:rFonts w:hint="eastAsia"/>
                <w:color w:val="auto"/>
              </w:rPr>
              <w:t xml:space="preserve"> </w:t>
            </w:r>
            <w:r>
              <w:rPr>
                <w:color w:val="auto"/>
              </w:rPr>
              <w:t xml:space="preserve"> </w:t>
            </w:r>
          </w:p>
        </w:tc>
      </w:tr>
    </w:tbl>
    <w:p>
      <w:pPr>
        <w:pStyle w:val="52"/>
        <w:rPr>
          <w:color w:val="auto"/>
          <w:sz w:val="36"/>
          <w:szCs w:val="36"/>
        </w:rPr>
        <w:sectPr>
          <w:pgSz w:w="11907" w:h="16840"/>
          <w:pgMar w:top="1440" w:right="1800" w:bottom="1440" w:left="1800" w:header="850" w:footer="850" w:gutter="0"/>
          <w:cols w:space="720" w:num="1"/>
          <w:docGrid w:linePitch="326" w:charSpace="0"/>
        </w:sectPr>
      </w:pPr>
    </w:p>
    <w:p>
      <w:pPr>
        <w:pStyle w:val="118"/>
        <w:rPr>
          <w:color w:val="auto"/>
        </w:rPr>
      </w:pPr>
      <w:bookmarkStart w:id="4" w:name="_Toc103860796"/>
      <w:r>
        <w:rPr>
          <w:rFonts w:hint="eastAsia"/>
          <w:color w:val="auto"/>
        </w:rPr>
        <w:t>四、主要环境影响和保护措施</w:t>
      </w:r>
      <w:bookmarkEnd w:id="4"/>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79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67" w:type="pct"/>
            <w:tcBorders>
              <w:bottom w:val="single" w:color="auto" w:sz="4" w:space="0"/>
            </w:tcBorders>
            <w:tcMar>
              <w:left w:w="28" w:type="dxa"/>
              <w:right w:w="28" w:type="dxa"/>
            </w:tcMar>
            <w:vAlign w:val="center"/>
          </w:tcPr>
          <w:p>
            <w:pPr>
              <w:pStyle w:val="54"/>
              <w:rPr>
                <w:bCs/>
                <w:color w:val="auto"/>
              </w:rPr>
            </w:pPr>
            <w:r>
              <w:rPr>
                <w:rFonts w:hint="eastAsia"/>
                <w:color w:val="auto"/>
              </w:rPr>
              <w:t>施工期环境保护措施</w:t>
            </w:r>
          </w:p>
        </w:tc>
        <w:tc>
          <w:tcPr>
            <w:tcW w:w="4733" w:type="pct"/>
            <w:tcBorders>
              <w:bottom w:val="single" w:color="auto" w:sz="4" w:space="0"/>
            </w:tcBorders>
            <w:vAlign w:val="center"/>
          </w:tcPr>
          <w:p>
            <w:pPr>
              <w:pStyle w:val="51"/>
              <w:spacing w:before="120" w:after="120"/>
              <w:rPr>
                <w:color w:val="auto"/>
              </w:rPr>
            </w:pPr>
            <w:r>
              <w:rPr>
                <w:rFonts w:hint="eastAsia"/>
                <w:color w:val="auto"/>
              </w:rPr>
              <w:t>4.1施工期污染防治措施</w:t>
            </w:r>
          </w:p>
          <w:p>
            <w:pPr>
              <w:ind w:firstLine="480"/>
              <w:rPr>
                <w:color w:val="auto"/>
              </w:rPr>
            </w:pPr>
            <w:r>
              <w:rPr>
                <w:rFonts w:hint="eastAsia"/>
                <w:color w:val="auto"/>
              </w:rPr>
              <w:t>本次技改项目施工期施工内容简单，施工期污染物主要有废气、施工人员生活污水、噪声、固体废物。</w:t>
            </w:r>
          </w:p>
          <w:p>
            <w:pPr>
              <w:pStyle w:val="56"/>
              <w:spacing w:before="60" w:after="60"/>
              <w:rPr>
                <w:color w:val="auto"/>
              </w:rPr>
            </w:pPr>
            <w:r>
              <w:rPr>
                <w:rFonts w:hint="eastAsia"/>
                <w:color w:val="auto"/>
              </w:rPr>
              <w:t>4.1.1废气防治措施</w:t>
            </w:r>
          </w:p>
          <w:p>
            <w:pPr>
              <w:ind w:firstLine="480"/>
              <w:rPr>
                <w:color w:val="auto"/>
              </w:rPr>
            </w:pPr>
            <w:r>
              <w:rPr>
                <w:rFonts w:hint="eastAsia"/>
                <w:color w:val="auto"/>
              </w:rPr>
              <w:t>施工期大气污染源主要有：施工机械燃油尾气及焊接、切割废气。</w:t>
            </w:r>
          </w:p>
          <w:p>
            <w:pPr>
              <w:ind w:firstLine="480"/>
              <w:rPr>
                <w:color w:val="auto"/>
              </w:rPr>
            </w:pPr>
            <w:r>
              <w:rPr>
                <w:color w:val="auto"/>
              </w:rPr>
              <w:t>施工</w:t>
            </w:r>
            <w:r>
              <w:rPr>
                <w:rFonts w:hint="eastAsia"/>
                <w:color w:val="auto"/>
              </w:rPr>
              <w:t>车辆进场按照现有项目既定道路进厂，控制</w:t>
            </w:r>
            <w:r>
              <w:rPr>
                <w:color w:val="auto"/>
              </w:rPr>
              <w:t>行驶速度，减少怠速时间，以减少机动车尾气的排放；</w:t>
            </w:r>
            <w:r>
              <w:rPr>
                <w:rFonts w:hint="eastAsia"/>
                <w:color w:val="auto"/>
              </w:rPr>
              <w:t>管线拆除和安装尽量避开大风天气，加强对焊接切割设备维修保养，</w:t>
            </w:r>
            <w:r>
              <w:rPr>
                <w:color w:val="auto"/>
              </w:rPr>
              <w:t>不得使用劣质</w:t>
            </w:r>
            <w:r>
              <w:rPr>
                <w:rFonts w:hint="eastAsia"/>
                <w:color w:val="auto"/>
              </w:rPr>
              <w:t>淘汰的设备</w:t>
            </w:r>
            <w:r>
              <w:rPr>
                <w:color w:val="auto"/>
              </w:rPr>
              <w:t>。</w:t>
            </w:r>
          </w:p>
          <w:p>
            <w:pPr>
              <w:pStyle w:val="56"/>
              <w:spacing w:before="60" w:after="60"/>
              <w:rPr>
                <w:color w:val="auto"/>
              </w:rPr>
            </w:pPr>
            <w:r>
              <w:rPr>
                <w:rFonts w:hint="eastAsia"/>
                <w:color w:val="auto"/>
              </w:rPr>
              <w:t>4.1.2废水防治措施</w:t>
            </w:r>
          </w:p>
          <w:p>
            <w:pPr>
              <w:ind w:firstLine="480"/>
              <w:rPr>
                <w:color w:val="auto"/>
              </w:rPr>
            </w:pPr>
            <w:r>
              <w:rPr>
                <w:rFonts w:hint="eastAsia"/>
                <w:color w:val="auto"/>
              </w:rPr>
              <w:t>本次技改施工期不涉及土石方开挖，不涉及混凝土的使用，施工期不产生施工废水，施工人员少量生活污水依托现有项目办公区化粪池。</w:t>
            </w:r>
          </w:p>
          <w:p>
            <w:pPr>
              <w:pStyle w:val="56"/>
              <w:spacing w:before="60" w:after="60"/>
              <w:rPr>
                <w:color w:val="auto"/>
              </w:rPr>
            </w:pPr>
            <w:r>
              <w:rPr>
                <w:rFonts w:hint="eastAsia"/>
                <w:color w:val="auto"/>
              </w:rPr>
              <w:t>4.1.3噪声防治措施</w:t>
            </w:r>
          </w:p>
          <w:p>
            <w:pPr>
              <w:ind w:firstLine="480"/>
              <w:rPr>
                <w:color w:val="auto"/>
              </w:rPr>
            </w:pPr>
            <w:r>
              <w:rPr>
                <w:rFonts w:hint="eastAsia"/>
                <w:color w:val="auto"/>
              </w:rPr>
              <w:t>1</w:t>
            </w:r>
            <w:r>
              <w:rPr>
                <w:color w:val="auto"/>
              </w:rPr>
              <w:t>.加强文明施工，杜绝施工机械在运行过程中因维护不当而产生</w:t>
            </w:r>
            <w:r>
              <w:rPr>
                <w:rFonts w:hint="eastAsia"/>
                <w:color w:val="auto"/>
                <w:lang w:eastAsia="zh-CN"/>
              </w:rPr>
              <w:t>的其他</w:t>
            </w:r>
            <w:r>
              <w:rPr>
                <w:color w:val="auto"/>
              </w:rPr>
              <w:t>噪声。</w:t>
            </w:r>
          </w:p>
          <w:p>
            <w:pPr>
              <w:ind w:firstLine="480"/>
              <w:rPr>
                <w:color w:val="auto"/>
              </w:rPr>
            </w:pPr>
            <w:r>
              <w:rPr>
                <w:color w:val="auto"/>
              </w:rPr>
              <w:t>2.合理安排施工时间，严禁</w:t>
            </w:r>
            <w:r>
              <w:rPr>
                <w:rFonts w:hint="eastAsia"/>
                <w:color w:val="auto"/>
                <w:lang w:eastAsia="zh-CN"/>
              </w:rPr>
              <w:t>22：00</w:t>
            </w:r>
            <w:r>
              <w:rPr>
                <w:color w:val="auto"/>
              </w:rPr>
              <w:t>～凌晨6：00以及中午12：00～14</w:t>
            </w:r>
            <w:r>
              <w:rPr>
                <w:rFonts w:hint="eastAsia"/>
                <w:color w:val="auto"/>
              </w:rPr>
              <w:t>：</w:t>
            </w:r>
            <w:r>
              <w:rPr>
                <w:color w:val="auto"/>
              </w:rPr>
              <w:t>30进行可能产生噪声扰民的施工活动，尽可能避免大量高噪声设备同时施工造成局部声级过高</w:t>
            </w:r>
            <w:r>
              <w:rPr>
                <w:rFonts w:hint="eastAsia"/>
                <w:color w:val="auto"/>
              </w:rPr>
              <w:t>；</w:t>
            </w:r>
          </w:p>
          <w:p>
            <w:pPr>
              <w:ind w:firstLine="480"/>
              <w:rPr>
                <w:color w:val="auto"/>
              </w:rPr>
            </w:pPr>
            <w:r>
              <w:rPr>
                <w:color w:val="auto"/>
              </w:rPr>
              <w:t>3.施工</w:t>
            </w:r>
            <w:r>
              <w:rPr>
                <w:rFonts w:hint="eastAsia"/>
                <w:color w:val="auto"/>
              </w:rPr>
              <w:t>利用厂区现有的围墙和厂房作为</w:t>
            </w:r>
            <w:r>
              <w:rPr>
                <w:color w:val="auto"/>
              </w:rPr>
              <w:t>围挡，</w:t>
            </w:r>
            <w:r>
              <w:rPr>
                <w:rFonts w:hint="eastAsia"/>
                <w:color w:val="auto"/>
              </w:rPr>
              <w:t>可有效</w:t>
            </w:r>
            <w:r>
              <w:rPr>
                <w:color w:val="auto"/>
              </w:rPr>
              <w:t>减轻噪声对周围环境的影响。</w:t>
            </w:r>
          </w:p>
          <w:p>
            <w:pPr>
              <w:ind w:firstLine="480"/>
              <w:rPr>
                <w:color w:val="auto"/>
              </w:rPr>
            </w:pPr>
            <w:r>
              <w:rPr>
                <w:color w:val="auto"/>
              </w:rPr>
              <w:t>4.禁止不符合国家噪声排放标准的运输车辆进入工区，尽量减少夜间运输量。对运输、施工车辆定期维修、养护，减少或杜绝鸣笛。加强施工期间道路交通的管理，保持道路畅通。</w:t>
            </w:r>
          </w:p>
          <w:p>
            <w:pPr>
              <w:pStyle w:val="70"/>
              <w:rPr>
                <w:color w:val="auto"/>
              </w:rPr>
            </w:pPr>
            <w:r>
              <w:rPr>
                <w:rFonts w:hint="eastAsia"/>
                <w:color w:val="auto"/>
              </w:rPr>
              <w:t>4.1.4固体废物防治措施</w:t>
            </w:r>
          </w:p>
          <w:p>
            <w:pPr>
              <w:ind w:firstLine="480"/>
              <w:rPr>
                <w:color w:val="auto"/>
              </w:rPr>
            </w:pPr>
            <w:r>
              <w:rPr>
                <w:rFonts w:hint="eastAsia"/>
                <w:color w:val="auto"/>
              </w:rPr>
              <w:t>施工拆除的焦炉煤气管线统一收集后送云南天高镍业有限公司回用；施工人员少量生活垃圾统一收集至现有项目办公区生活垃圾桶，由园区环卫部门清运处置。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54"/>
              <w:rPr>
                <w:color w:val="auto"/>
              </w:rPr>
            </w:pPr>
            <w:r>
              <w:rPr>
                <w:rFonts w:hint="eastAsia"/>
                <w:bCs/>
                <w:color w:val="auto"/>
              </w:rPr>
              <w:t>运营期环境影响和保护措施</w:t>
            </w:r>
          </w:p>
        </w:tc>
        <w:tc>
          <w:tcPr>
            <w:tcW w:w="4733" w:type="pct"/>
            <w:tcBorders>
              <w:top w:val="single" w:color="auto" w:sz="4" w:space="0"/>
              <w:left w:val="single" w:color="auto" w:sz="4" w:space="0"/>
              <w:bottom w:val="single" w:color="auto" w:sz="4" w:space="0"/>
              <w:right w:val="single" w:color="auto" w:sz="4" w:space="0"/>
            </w:tcBorders>
            <w:vAlign w:val="center"/>
          </w:tcPr>
          <w:p>
            <w:pPr>
              <w:pStyle w:val="51"/>
              <w:spacing w:before="120" w:after="120"/>
              <w:rPr>
                <w:color w:val="auto"/>
              </w:rPr>
            </w:pPr>
            <w:r>
              <w:rPr>
                <w:rFonts w:hint="eastAsia"/>
                <w:color w:val="auto"/>
              </w:rPr>
              <w:t>4.2运营期环境影响和保护措施</w:t>
            </w:r>
          </w:p>
          <w:p>
            <w:pPr>
              <w:pStyle w:val="56"/>
              <w:spacing w:before="60" w:after="60"/>
              <w:rPr>
                <w:color w:val="auto"/>
              </w:rPr>
            </w:pPr>
            <w:r>
              <w:rPr>
                <w:rFonts w:hint="eastAsia"/>
                <w:color w:val="auto"/>
              </w:rPr>
              <w:t>4.2.1</w:t>
            </w:r>
            <w:r>
              <w:rPr>
                <w:rFonts w:hint="eastAsia"/>
                <w:bCs/>
                <w:color w:val="auto"/>
              </w:rPr>
              <w:t>大气</w:t>
            </w:r>
            <w:r>
              <w:rPr>
                <w:rFonts w:hint="eastAsia"/>
                <w:color w:val="auto"/>
              </w:rPr>
              <w:t>环境影响和保护措施</w:t>
            </w:r>
          </w:p>
          <w:p>
            <w:pPr>
              <w:pStyle w:val="70"/>
              <w:rPr>
                <w:color w:val="auto"/>
              </w:rPr>
            </w:pPr>
            <w:r>
              <w:rPr>
                <w:color w:val="auto"/>
              </w:rPr>
              <w:t>4.2.1.</w:t>
            </w:r>
            <w:r>
              <w:rPr>
                <w:rFonts w:hint="eastAsia"/>
                <w:color w:val="auto"/>
              </w:rPr>
              <w:t>1</w:t>
            </w:r>
            <w:r>
              <w:rPr>
                <w:color w:val="auto"/>
              </w:rPr>
              <w:t>产排污环节、污染物及污染治理设施</w:t>
            </w:r>
          </w:p>
          <w:p>
            <w:pPr>
              <w:ind w:firstLine="480"/>
              <w:rPr>
                <w:color w:val="auto"/>
              </w:rPr>
            </w:pPr>
            <w:r>
              <w:rPr>
                <w:rFonts w:hint="eastAsia"/>
                <w:color w:val="auto"/>
              </w:rPr>
              <w:t>根据《排污许可证申请与核发技术规范 钢铁工业》（HJ846-2017）</w:t>
            </w:r>
            <w:r>
              <w:rPr>
                <w:rFonts w:hint="eastAsia"/>
                <w:bCs/>
                <w:color w:val="auto"/>
              </w:rPr>
              <w:t>，本项目天然气燃烧废气污染物为：颗粒物、S</w:t>
            </w:r>
            <w:r>
              <w:rPr>
                <w:bCs/>
                <w:color w:val="auto"/>
              </w:rPr>
              <w:t>O</w:t>
            </w:r>
            <w:r>
              <w:rPr>
                <w:bCs/>
                <w:color w:val="auto"/>
                <w:vertAlign w:val="subscript"/>
              </w:rPr>
              <w:t>2</w:t>
            </w:r>
            <w:r>
              <w:rPr>
                <w:rFonts w:hint="eastAsia"/>
                <w:bCs/>
                <w:color w:val="auto"/>
              </w:rPr>
              <w:t>、N</w:t>
            </w:r>
            <w:r>
              <w:rPr>
                <w:bCs/>
                <w:color w:val="auto"/>
              </w:rPr>
              <w:t>O</w:t>
            </w:r>
            <w:r>
              <w:rPr>
                <w:rFonts w:hint="eastAsia"/>
                <w:bCs/>
                <w:color w:val="auto"/>
              </w:rPr>
              <w:t>x。</w:t>
            </w:r>
          </w:p>
          <w:p>
            <w:pPr>
              <w:ind w:firstLine="480"/>
              <w:rPr>
                <w:color w:val="auto"/>
              </w:rPr>
            </w:pPr>
            <w:r>
              <w:rPr>
                <w:rFonts w:hint="eastAsia"/>
                <w:color w:val="auto"/>
              </w:rPr>
              <w:t>本项目生产单元、生产设施、产污环节、主要污染物项目、排放形式、污染治理设施名称及工艺、排放口类型见表4</w:t>
            </w:r>
            <w:r>
              <w:rPr>
                <w:color w:val="auto"/>
              </w:rPr>
              <w:t>.2.1.1</w:t>
            </w:r>
            <w:r>
              <w:rPr>
                <w:rFonts w:hint="eastAsia"/>
                <w:color w:val="auto"/>
              </w:rPr>
              <w:t>-1所示。</w:t>
            </w:r>
          </w:p>
          <w:p>
            <w:pPr>
              <w:pStyle w:val="66"/>
              <w:rPr>
                <w:color w:val="auto"/>
              </w:rPr>
            </w:pPr>
            <w:r>
              <w:rPr>
                <w:rFonts w:hint="eastAsia"/>
                <w:color w:val="auto"/>
              </w:rPr>
              <w:t>表4</w:t>
            </w:r>
            <w:r>
              <w:rPr>
                <w:color w:val="auto"/>
              </w:rPr>
              <w:t>.2.1.1</w:t>
            </w:r>
            <w:r>
              <w:rPr>
                <w:rFonts w:hint="eastAsia"/>
                <w:color w:val="auto"/>
              </w:rPr>
              <w:t>-1 废气产污环节名称、污染物项目、排放形式及污染治理设施一览表</w:t>
            </w:r>
          </w:p>
          <w:tbl>
            <w:tblPr>
              <w:tblStyle w:val="27"/>
              <w:tblpPr w:leftFromText="180" w:rightFromText="180" w:vertAnchor="text" w:horzAnchor="page" w:tblpXSpec="center" w:tblpY="17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951"/>
              <w:gridCol w:w="787"/>
              <w:gridCol w:w="1576"/>
              <w:gridCol w:w="786"/>
              <w:gridCol w:w="1420"/>
              <w:gridCol w:w="787"/>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 w:type="pct"/>
                  <w:vMerge w:val="restart"/>
                  <w:tcBorders>
                    <w:tl2br w:val="nil"/>
                    <w:tr2bl w:val="nil"/>
                  </w:tcBorders>
                  <w:vAlign w:val="center"/>
                </w:tcPr>
                <w:p>
                  <w:pPr>
                    <w:pStyle w:val="63"/>
                    <w:rPr>
                      <w:color w:val="auto"/>
                    </w:rPr>
                  </w:pPr>
                  <w:r>
                    <w:rPr>
                      <w:color w:val="auto"/>
                    </w:rPr>
                    <w:t>生产单元</w:t>
                  </w:r>
                </w:p>
              </w:tc>
              <w:tc>
                <w:tcPr>
                  <w:tcW w:w="612" w:type="pct"/>
                  <w:vMerge w:val="restart"/>
                  <w:tcBorders>
                    <w:tl2br w:val="nil"/>
                    <w:tr2bl w:val="nil"/>
                  </w:tcBorders>
                  <w:tcMar>
                    <w:left w:w="0" w:type="dxa"/>
                    <w:right w:w="0" w:type="dxa"/>
                  </w:tcMar>
                  <w:vAlign w:val="center"/>
                </w:tcPr>
                <w:p>
                  <w:pPr>
                    <w:pStyle w:val="63"/>
                    <w:rPr>
                      <w:color w:val="auto"/>
                    </w:rPr>
                  </w:pPr>
                  <w:r>
                    <w:rPr>
                      <w:color w:val="auto"/>
                    </w:rPr>
                    <w:t>生产设施</w:t>
                  </w:r>
                </w:p>
              </w:tc>
              <w:tc>
                <w:tcPr>
                  <w:tcW w:w="507" w:type="pct"/>
                  <w:vMerge w:val="restart"/>
                  <w:tcBorders>
                    <w:tl2br w:val="nil"/>
                    <w:tr2bl w:val="nil"/>
                  </w:tcBorders>
                  <w:tcMar>
                    <w:left w:w="0" w:type="dxa"/>
                    <w:right w:w="0" w:type="dxa"/>
                  </w:tcMar>
                  <w:vAlign w:val="center"/>
                </w:tcPr>
                <w:p>
                  <w:pPr>
                    <w:pStyle w:val="63"/>
                    <w:rPr>
                      <w:color w:val="auto"/>
                    </w:rPr>
                  </w:pPr>
                  <w:r>
                    <w:rPr>
                      <w:color w:val="auto"/>
                    </w:rPr>
                    <w:t>产污环节</w:t>
                  </w:r>
                  <w:r>
                    <w:rPr>
                      <w:rFonts w:hint="eastAsia"/>
                      <w:color w:val="auto"/>
                      <w:lang w:eastAsia="zh-CN"/>
                    </w:rPr>
                    <w:t>名称</w:t>
                  </w:r>
                </w:p>
              </w:tc>
              <w:tc>
                <w:tcPr>
                  <w:tcW w:w="1015" w:type="pct"/>
                  <w:vMerge w:val="restart"/>
                  <w:tcBorders>
                    <w:tl2br w:val="nil"/>
                    <w:tr2bl w:val="nil"/>
                  </w:tcBorders>
                  <w:tcMar>
                    <w:left w:w="0" w:type="dxa"/>
                    <w:right w:w="0" w:type="dxa"/>
                  </w:tcMar>
                  <w:vAlign w:val="center"/>
                </w:tcPr>
                <w:p>
                  <w:pPr>
                    <w:pStyle w:val="63"/>
                    <w:rPr>
                      <w:color w:val="auto"/>
                    </w:rPr>
                  </w:pPr>
                  <w:r>
                    <w:rPr>
                      <w:color w:val="auto"/>
                    </w:rPr>
                    <w:t>主要污染物</w:t>
                  </w:r>
                </w:p>
                <w:p>
                  <w:pPr>
                    <w:pStyle w:val="63"/>
                    <w:rPr>
                      <w:color w:val="auto"/>
                    </w:rPr>
                  </w:pPr>
                  <w:r>
                    <w:rPr>
                      <w:color w:val="auto"/>
                    </w:rPr>
                    <w:t>项目</w:t>
                  </w:r>
                </w:p>
              </w:tc>
              <w:tc>
                <w:tcPr>
                  <w:tcW w:w="506" w:type="pct"/>
                  <w:vMerge w:val="restart"/>
                  <w:tcBorders>
                    <w:tl2br w:val="nil"/>
                    <w:tr2bl w:val="nil"/>
                  </w:tcBorders>
                  <w:tcMar>
                    <w:left w:w="0" w:type="dxa"/>
                    <w:right w:w="0" w:type="dxa"/>
                  </w:tcMar>
                  <w:vAlign w:val="center"/>
                </w:tcPr>
                <w:p>
                  <w:pPr>
                    <w:pStyle w:val="63"/>
                    <w:rPr>
                      <w:color w:val="auto"/>
                    </w:rPr>
                  </w:pPr>
                  <w:r>
                    <w:rPr>
                      <w:color w:val="auto"/>
                    </w:rPr>
                    <w:t>排放形式</w:t>
                  </w:r>
                </w:p>
              </w:tc>
              <w:tc>
                <w:tcPr>
                  <w:tcW w:w="1421" w:type="pct"/>
                  <w:gridSpan w:val="2"/>
                  <w:tcBorders>
                    <w:tl2br w:val="nil"/>
                    <w:tr2bl w:val="nil"/>
                  </w:tcBorders>
                  <w:tcMar>
                    <w:left w:w="0" w:type="dxa"/>
                    <w:right w:w="0" w:type="dxa"/>
                  </w:tcMar>
                  <w:vAlign w:val="center"/>
                </w:tcPr>
                <w:p>
                  <w:pPr>
                    <w:pStyle w:val="63"/>
                    <w:rPr>
                      <w:color w:val="auto"/>
                    </w:rPr>
                  </w:pPr>
                  <w:r>
                    <w:rPr>
                      <w:color w:val="auto"/>
                    </w:rPr>
                    <w:t>主要污染治理设施</w:t>
                  </w:r>
                </w:p>
              </w:tc>
              <w:tc>
                <w:tcPr>
                  <w:tcW w:w="486" w:type="pct"/>
                  <w:vMerge w:val="restart"/>
                  <w:tcBorders>
                    <w:tl2br w:val="nil"/>
                    <w:tr2bl w:val="nil"/>
                  </w:tcBorders>
                  <w:tcMar>
                    <w:left w:w="0" w:type="dxa"/>
                    <w:right w:w="0" w:type="dxa"/>
                  </w:tcMar>
                  <w:vAlign w:val="center"/>
                </w:tcPr>
                <w:p>
                  <w:pPr>
                    <w:pStyle w:val="63"/>
                    <w:rPr>
                      <w:color w:val="auto"/>
                    </w:rPr>
                  </w:pPr>
                  <w:r>
                    <w:rPr>
                      <w:color w:val="auto"/>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 w:type="pct"/>
                  <w:vMerge w:val="continue"/>
                  <w:tcBorders>
                    <w:tl2br w:val="nil"/>
                    <w:tr2bl w:val="nil"/>
                  </w:tcBorders>
                  <w:vAlign w:val="center"/>
                </w:tcPr>
                <w:p>
                  <w:pPr>
                    <w:pStyle w:val="63"/>
                    <w:rPr>
                      <w:color w:val="auto"/>
                    </w:rPr>
                  </w:pPr>
                </w:p>
              </w:tc>
              <w:tc>
                <w:tcPr>
                  <w:tcW w:w="612" w:type="pct"/>
                  <w:vMerge w:val="continue"/>
                  <w:tcBorders>
                    <w:tl2br w:val="nil"/>
                    <w:tr2bl w:val="nil"/>
                  </w:tcBorders>
                  <w:tcMar>
                    <w:left w:w="0" w:type="dxa"/>
                    <w:right w:w="0" w:type="dxa"/>
                  </w:tcMar>
                  <w:vAlign w:val="center"/>
                </w:tcPr>
                <w:p>
                  <w:pPr>
                    <w:pStyle w:val="63"/>
                    <w:rPr>
                      <w:color w:val="auto"/>
                    </w:rPr>
                  </w:pPr>
                </w:p>
              </w:tc>
              <w:tc>
                <w:tcPr>
                  <w:tcW w:w="507" w:type="pct"/>
                  <w:vMerge w:val="continue"/>
                  <w:tcBorders>
                    <w:tl2br w:val="nil"/>
                    <w:tr2bl w:val="nil"/>
                  </w:tcBorders>
                  <w:tcMar>
                    <w:left w:w="0" w:type="dxa"/>
                    <w:right w:w="0" w:type="dxa"/>
                  </w:tcMar>
                  <w:vAlign w:val="center"/>
                </w:tcPr>
                <w:p>
                  <w:pPr>
                    <w:pStyle w:val="63"/>
                    <w:rPr>
                      <w:color w:val="auto"/>
                    </w:rPr>
                  </w:pPr>
                </w:p>
              </w:tc>
              <w:tc>
                <w:tcPr>
                  <w:tcW w:w="1015" w:type="pct"/>
                  <w:vMerge w:val="continue"/>
                  <w:tcBorders>
                    <w:tl2br w:val="nil"/>
                    <w:tr2bl w:val="nil"/>
                  </w:tcBorders>
                  <w:tcMar>
                    <w:left w:w="0" w:type="dxa"/>
                    <w:right w:w="0" w:type="dxa"/>
                  </w:tcMar>
                  <w:vAlign w:val="center"/>
                </w:tcPr>
                <w:p>
                  <w:pPr>
                    <w:pStyle w:val="63"/>
                    <w:rPr>
                      <w:color w:val="auto"/>
                    </w:rPr>
                  </w:pPr>
                </w:p>
              </w:tc>
              <w:tc>
                <w:tcPr>
                  <w:tcW w:w="506" w:type="pct"/>
                  <w:vMerge w:val="continue"/>
                  <w:tcBorders>
                    <w:tl2br w:val="nil"/>
                    <w:tr2bl w:val="nil"/>
                  </w:tcBorders>
                  <w:tcMar>
                    <w:left w:w="0" w:type="dxa"/>
                    <w:right w:w="0" w:type="dxa"/>
                  </w:tcMar>
                  <w:vAlign w:val="center"/>
                </w:tcPr>
                <w:p>
                  <w:pPr>
                    <w:pStyle w:val="63"/>
                    <w:rPr>
                      <w:color w:val="auto"/>
                    </w:rPr>
                  </w:pPr>
                </w:p>
              </w:tc>
              <w:tc>
                <w:tcPr>
                  <w:tcW w:w="914" w:type="pct"/>
                  <w:tcBorders>
                    <w:tl2br w:val="nil"/>
                    <w:tr2bl w:val="nil"/>
                  </w:tcBorders>
                  <w:tcMar>
                    <w:left w:w="0" w:type="dxa"/>
                    <w:right w:w="0" w:type="dxa"/>
                  </w:tcMar>
                  <w:vAlign w:val="center"/>
                </w:tcPr>
                <w:p>
                  <w:pPr>
                    <w:pStyle w:val="63"/>
                    <w:rPr>
                      <w:color w:val="auto"/>
                    </w:rPr>
                  </w:pPr>
                  <w:r>
                    <w:rPr>
                      <w:color w:val="auto"/>
                    </w:rPr>
                    <w:t>污染治理设施名称及工艺</w:t>
                  </w:r>
                </w:p>
              </w:tc>
              <w:tc>
                <w:tcPr>
                  <w:tcW w:w="507" w:type="pct"/>
                  <w:tcBorders>
                    <w:tl2br w:val="nil"/>
                    <w:tr2bl w:val="nil"/>
                  </w:tcBorders>
                  <w:tcMar>
                    <w:left w:w="0" w:type="dxa"/>
                    <w:right w:w="0" w:type="dxa"/>
                  </w:tcMar>
                  <w:vAlign w:val="center"/>
                </w:tcPr>
                <w:p>
                  <w:pPr>
                    <w:pStyle w:val="63"/>
                    <w:rPr>
                      <w:color w:val="auto"/>
                    </w:rPr>
                  </w:pPr>
                  <w:r>
                    <w:rPr>
                      <w:color w:val="auto"/>
                    </w:rPr>
                    <w:t>是否为可行技术</w:t>
                  </w:r>
                </w:p>
              </w:tc>
              <w:tc>
                <w:tcPr>
                  <w:tcW w:w="486" w:type="pct"/>
                  <w:vMerge w:val="continue"/>
                  <w:tcBorders>
                    <w:tl2br w:val="nil"/>
                    <w:tr2bl w:val="nil"/>
                  </w:tcBorders>
                  <w:tcMar>
                    <w:left w:w="0" w:type="dxa"/>
                    <w:right w:w="0" w:type="dxa"/>
                  </w:tcMar>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453" w:type="pct"/>
                  <w:tcBorders>
                    <w:tl2br w:val="nil"/>
                    <w:tr2bl w:val="nil"/>
                  </w:tcBorders>
                  <w:vAlign w:val="center"/>
                </w:tcPr>
                <w:p>
                  <w:pPr>
                    <w:pStyle w:val="63"/>
                    <w:rPr>
                      <w:color w:val="auto"/>
                      <w:lang w:eastAsia="zh-CN"/>
                    </w:rPr>
                  </w:pPr>
                  <w:r>
                    <w:rPr>
                      <w:rFonts w:hint="eastAsia"/>
                      <w:color w:val="auto"/>
                      <w:lang w:eastAsia="zh-CN"/>
                    </w:rPr>
                    <w:t>轧钢</w:t>
                  </w:r>
                </w:p>
              </w:tc>
              <w:tc>
                <w:tcPr>
                  <w:tcW w:w="612" w:type="pct"/>
                  <w:tcBorders>
                    <w:tl2br w:val="nil"/>
                    <w:tr2bl w:val="nil"/>
                  </w:tcBorders>
                  <w:tcMar>
                    <w:left w:w="0" w:type="dxa"/>
                    <w:right w:w="0" w:type="dxa"/>
                  </w:tcMar>
                  <w:vAlign w:val="center"/>
                </w:tcPr>
                <w:p>
                  <w:pPr>
                    <w:pStyle w:val="63"/>
                    <w:rPr>
                      <w:color w:val="auto"/>
                      <w:lang w:eastAsia="zh-CN"/>
                    </w:rPr>
                  </w:pPr>
                  <w:r>
                    <w:rPr>
                      <w:rFonts w:hint="eastAsia"/>
                      <w:color w:val="auto"/>
                      <w:lang w:eastAsia="zh-CN"/>
                    </w:rPr>
                    <w:t>热轧生产线、冷轧生产线、酸洗生产线、涂镀生产线、其他</w:t>
                  </w:r>
                </w:p>
              </w:tc>
              <w:tc>
                <w:tcPr>
                  <w:tcW w:w="507" w:type="pct"/>
                  <w:tcBorders>
                    <w:tl2br w:val="nil"/>
                    <w:tr2bl w:val="nil"/>
                  </w:tcBorders>
                  <w:tcMar>
                    <w:left w:w="0" w:type="dxa"/>
                    <w:right w:w="0" w:type="dxa"/>
                  </w:tcMar>
                  <w:vAlign w:val="center"/>
                </w:tcPr>
                <w:p>
                  <w:pPr>
                    <w:pStyle w:val="63"/>
                    <w:rPr>
                      <w:color w:val="auto"/>
                    </w:rPr>
                  </w:pPr>
                  <w:r>
                    <w:rPr>
                      <w:rFonts w:hint="eastAsia"/>
                      <w:color w:val="auto"/>
                      <w:lang w:eastAsia="zh-CN"/>
                    </w:rPr>
                    <w:t>热处理炉烟气</w:t>
                  </w:r>
                </w:p>
              </w:tc>
              <w:tc>
                <w:tcPr>
                  <w:tcW w:w="1015" w:type="pct"/>
                  <w:tcBorders>
                    <w:tl2br w:val="nil"/>
                    <w:tr2bl w:val="nil"/>
                  </w:tcBorders>
                  <w:tcMar>
                    <w:left w:w="0" w:type="dxa"/>
                    <w:right w:w="0" w:type="dxa"/>
                  </w:tcMar>
                  <w:vAlign w:val="center"/>
                </w:tcPr>
                <w:p>
                  <w:pPr>
                    <w:pStyle w:val="63"/>
                    <w:rPr>
                      <w:color w:val="auto"/>
                      <w:lang w:eastAsia="zh-CN"/>
                    </w:rPr>
                  </w:pPr>
                  <w:r>
                    <w:rPr>
                      <w:rFonts w:hint="eastAsia"/>
                      <w:color w:val="auto"/>
                      <w:lang w:eastAsia="zh-CN"/>
                    </w:rPr>
                    <w:t>颗粒物</w:t>
                  </w:r>
                </w:p>
                <w:p>
                  <w:pPr>
                    <w:pStyle w:val="63"/>
                    <w:rPr>
                      <w:bCs/>
                      <w:color w:val="auto"/>
                    </w:rPr>
                  </w:pPr>
                  <w:r>
                    <w:rPr>
                      <w:rFonts w:hint="eastAsia"/>
                      <w:bCs/>
                      <w:color w:val="auto"/>
                    </w:rPr>
                    <w:t>S</w:t>
                  </w:r>
                  <w:r>
                    <w:rPr>
                      <w:bCs/>
                      <w:color w:val="auto"/>
                    </w:rPr>
                    <w:t>O</w:t>
                  </w:r>
                  <w:r>
                    <w:rPr>
                      <w:bCs/>
                      <w:color w:val="auto"/>
                      <w:vertAlign w:val="subscript"/>
                    </w:rPr>
                    <w:t>2</w:t>
                  </w:r>
                </w:p>
                <w:p>
                  <w:pPr>
                    <w:pStyle w:val="63"/>
                    <w:rPr>
                      <w:color w:val="auto"/>
                      <w:lang w:eastAsia="zh-CN"/>
                    </w:rPr>
                  </w:pPr>
                  <w:r>
                    <w:rPr>
                      <w:rFonts w:hint="eastAsia"/>
                      <w:bCs/>
                      <w:color w:val="auto"/>
                    </w:rPr>
                    <w:t>N</w:t>
                  </w:r>
                  <w:r>
                    <w:rPr>
                      <w:bCs/>
                      <w:color w:val="auto"/>
                    </w:rPr>
                    <w:t>O</w:t>
                  </w:r>
                  <w:r>
                    <w:rPr>
                      <w:rFonts w:hint="eastAsia"/>
                      <w:bCs/>
                      <w:color w:val="auto"/>
                      <w:lang w:eastAsia="zh-CN"/>
                    </w:rPr>
                    <w:t>x</w:t>
                  </w:r>
                </w:p>
              </w:tc>
              <w:tc>
                <w:tcPr>
                  <w:tcW w:w="506" w:type="pct"/>
                  <w:tcBorders>
                    <w:tl2br w:val="nil"/>
                    <w:tr2bl w:val="nil"/>
                  </w:tcBorders>
                  <w:tcMar>
                    <w:left w:w="0" w:type="dxa"/>
                    <w:right w:w="0" w:type="dxa"/>
                  </w:tcMar>
                  <w:vAlign w:val="center"/>
                </w:tcPr>
                <w:p>
                  <w:pPr>
                    <w:pStyle w:val="63"/>
                    <w:rPr>
                      <w:color w:val="auto"/>
                    </w:rPr>
                  </w:pPr>
                  <w:r>
                    <w:rPr>
                      <w:rFonts w:hint="eastAsia"/>
                      <w:color w:val="auto"/>
                      <w:lang w:eastAsia="zh-CN"/>
                    </w:rPr>
                    <w:t>有</w:t>
                  </w:r>
                  <w:r>
                    <w:rPr>
                      <w:rFonts w:hint="eastAsia"/>
                      <w:color w:val="auto"/>
                    </w:rPr>
                    <w:t>组织</w:t>
                  </w:r>
                </w:p>
              </w:tc>
              <w:tc>
                <w:tcPr>
                  <w:tcW w:w="914" w:type="pct"/>
                  <w:tcBorders>
                    <w:tl2br w:val="nil"/>
                    <w:tr2bl w:val="nil"/>
                  </w:tcBorders>
                  <w:tcMar>
                    <w:left w:w="0" w:type="dxa"/>
                    <w:right w:w="0" w:type="dxa"/>
                  </w:tcMar>
                  <w:vAlign w:val="center"/>
                </w:tcPr>
                <w:p>
                  <w:pPr>
                    <w:pStyle w:val="63"/>
                    <w:rPr>
                      <w:color w:val="auto"/>
                    </w:rPr>
                  </w:pPr>
                  <w:r>
                    <w:rPr>
                      <w:rFonts w:hint="eastAsia"/>
                      <w:color w:val="auto"/>
                      <w:lang w:eastAsia="zh-CN"/>
                    </w:rPr>
                    <w:t>/</w:t>
                  </w:r>
                </w:p>
              </w:tc>
              <w:tc>
                <w:tcPr>
                  <w:tcW w:w="507" w:type="pct"/>
                  <w:tcBorders>
                    <w:tl2br w:val="nil"/>
                    <w:tr2bl w:val="nil"/>
                  </w:tcBorders>
                  <w:tcMar>
                    <w:left w:w="0" w:type="dxa"/>
                    <w:right w:w="0" w:type="dxa"/>
                  </w:tcMar>
                  <w:vAlign w:val="center"/>
                </w:tcPr>
                <w:p>
                  <w:pPr>
                    <w:pStyle w:val="63"/>
                    <w:rPr>
                      <w:color w:val="auto"/>
                    </w:rPr>
                  </w:pPr>
                  <w:r>
                    <w:rPr>
                      <w:rFonts w:hint="eastAsia"/>
                      <w:color w:val="auto"/>
                      <w:lang w:eastAsia="zh-CN"/>
                    </w:rPr>
                    <w:t>/</w:t>
                  </w:r>
                </w:p>
              </w:tc>
              <w:tc>
                <w:tcPr>
                  <w:tcW w:w="486" w:type="pct"/>
                  <w:tcBorders>
                    <w:tl2br w:val="nil"/>
                    <w:tr2bl w:val="nil"/>
                  </w:tcBorders>
                  <w:tcMar>
                    <w:left w:w="0" w:type="dxa"/>
                    <w:right w:w="0" w:type="dxa"/>
                  </w:tcMar>
                  <w:vAlign w:val="center"/>
                </w:tcPr>
                <w:p>
                  <w:pPr>
                    <w:pStyle w:val="63"/>
                    <w:rPr>
                      <w:color w:val="auto"/>
                      <w:lang w:eastAsia="zh-CN"/>
                    </w:rPr>
                  </w:pPr>
                  <w:r>
                    <w:rPr>
                      <w:rFonts w:hint="eastAsia"/>
                      <w:color w:val="auto"/>
                    </w:rPr>
                    <w:t>一般排放口</w:t>
                  </w:r>
                </w:p>
              </w:tc>
            </w:tr>
          </w:tbl>
          <w:p>
            <w:pPr>
              <w:ind w:firstLine="480"/>
              <w:rPr>
                <w:color w:val="auto"/>
              </w:rPr>
            </w:pPr>
            <w:r>
              <w:rPr>
                <w:rFonts w:hint="eastAsia"/>
                <w:color w:val="auto"/>
              </w:rPr>
              <w:t xml:space="preserve"> </w:t>
            </w:r>
            <w:r>
              <w:rPr>
                <w:color w:val="auto"/>
              </w:rPr>
              <w:t xml:space="preserve"> </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tc>
      </w:tr>
    </w:tbl>
    <w:p>
      <w:pPr>
        <w:tabs>
          <w:tab w:val="left" w:pos="1832"/>
        </w:tabs>
        <w:adjustRightInd w:val="0"/>
        <w:snapToGrid w:val="0"/>
        <w:ind w:firstLineChars="71"/>
        <w:rPr>
          <w:rFonts w:ascii="宋体" w:cs="宋体"/>
          <w:color w:val="auto"/>
          <w:sz w:val="28"/>
          <w:szCs w:val="28"/>
        </w:rPr>
      </w:pPr>
      <w:r>
        <w:rPr>
          <w:rFonts w:ascii="宋体" w:cs="宋体"/>
          <w:b/>
          <w:color w:val="auto"/>
          <w:kern w:val="0"/>
          <w:sz w:val="28"/>
          <w:szCs w:val="28"/>
        </w:rPr>
        <w:br w:type="page"/>
      </w:r>
    </w:p>
    <w:p>
      <w:pPr>
        <w:ind w:firstLine="560"/>
        <w:rPr>
          <w:rFonts w:ascii="宋体" w:cs="宋体"/>
          <w:color w:val="auto"/>
          <w:sz w:val="28"/>
          <w:szCs w:val="28"/>
        </w:rPr>
        <w:sectPr>
          <w:pgSz w:w="11907" w:h="16840"/>
          <w:pgMar w:top="1440" w:right="1800" w:bottom="1440" w:left="1800" w:header="850" w:footer="850" w:gutter="0"/>
          <w:cols w:space="720" w:num="1"/>
          <w:docGrid w:linePitch="326"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3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pStyle w:val="54"/>
              <w:rPr>
                <w:rFonts w:ascii="宋体" w:hAnsi="宋体"/>
                <w:bCs/>
                <w:color w:val="auto"/>
              </w:rPr>
            </w:pPr>
            <w:r>
              <w:rPr>
                <w:rFonts w:hint="eastAsia" w:ascii="宋体" w:hAnsi="宋体"/>
                <w:bCs/>
                <w:color w:val="auto"/>
              </w:rPr>
              <w:t>运营期环境影响和保护措施</w:t>
            </w:r>
          </w:p>
        </w:tc>
        <w:tc>
          <w:tcPr>
            <w:tcW w:w="13642" w:type="dxa"/>
          </w:tcPr>
          <w:p>
            <w:pPr>
              <w:pStyle w:val="70"/>
              <w:rPr>
                <w:color w:val="auto"/>
              </w:rPr>
            </w:pPr>
            <w:r>
              <w:rPr>
                <w:rFonts w:hint="eastAsia"/>
                <w:color w:val="auto"/>
              </w:rPr>
              <w:t>4.2.1.</w:t>
            </w:r>
            <w:r>
              <w:rPr>
                <w:color w:val="auto"/>
              </w:rPr>
              <w:t>2</w:t>
            </w:r>
            <w:r>
              <w:rPr>
                <w:rFonts w:hint="eastAsia"/>
                <w:color w:val="auto"/>
              </w:rPr>
              <w:t>污染物产生情况、治理措施及排放情况</w:t>
            </w:r>
          </w:p>
          <w:p>
            <w:pPr>
              <w:ind w:firstLine="480"/>
              <w:rPr>
                <w:color w:val="auto"/>
              </w:rPr>
            </w:pPr>
            <w:r>
              <w:rPr>
                <w:rFonts w:hint="eastAsia"/>
                <w:color w:val="auto"/>
              </w:rPr>
              <w:t>本项目污染物产生情况、治理措施及排放情况见表4</w:t>
            </w:r>
            <w:r>
              <w:rPr>
                <w:color w:val="auto"/>
              </w:rPr>
              <w:t>.2.1.2</w:t>
            </w:r>
            <w:r>
              <w:rPr>
                <w:rFonts w:hint="eastAsia"/>
                <w:color w:val="auto"/>
              </w:rPr>
              <w:t>-</w:t>
            </w:r>
            <w:r>
              <w:rPr>
                <w:color w:val="auto"/>
              </w:rPr>
              <w:t>1</w:t>
            </w:r>
            <w:r>
              <w:rPr>
                <w:rFonts w:hint="eastAsia"/>
                <w:color w:val="auto"/>
              </w:rPr>
              <w:t>所示。</w:t>
            </w:r>
          </w:p>
          <w:p>
            <w:pPr>
              <w:pStyle w:val="66"/>
              <w:rPr>
                <w:color w:val="auto"/>
              </w:rPr>
            </w:pPr>
            <w:r>
              <w:rPr>
                <w:color w:val="auto"/>
              </w:rPr>
              <w:t>表4</w:t>
            </w:r>
            <w:r>
              <w:rPr>
                <w:rFonts w:hint="eastAsia"/>
                <w:color w:val="auto"/>
              </w:rPr>
              <w:t>.2</w:t>
            </w:r>
            <w:r>
              <w:rPr>
                <w:color w:val="auto"/>
              </w:rPr>
              <w:t xml:space="preserve">.1.2-1 </w:t>
            </w:r>
            <w:r>
              <w:rPr>
                <w:rFonts w:hint="eastAsia"/>
                <w:color w:val="auto"/>
              </w:rPr>
              <w:t>本项目主要</w:t>
            </w:r>
            <w:r>
              <w:rPr>
                <w:color w:val="auto"/>
              </w:rPr>
              <w:t>废气污染物产生与排放情况</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170"/>
              <w:gridCol w:w="1127"/>
              <w:gridCol w:w="990"/>
              <w:gridCol w:w="993"/>
              <w:gridCol w:w="993"/>
              <w:gridCol w:w="990"/>
              <w:gridCol w:w="1441"/>
              <w:gridCol w:w="834"/>
              <w:gridCol w:w="963"/>
              <w:gridCol w:w="730"/>
              <w:gridCol w:w="708"/>
              <w:gridCol w:w="955"/>
              <w:gridCol w:w="765"/>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36" w:type="pct"/>
                  <w:vMerge w:val="restart"/>
                  <w:shd w:val="clear" w:color="auto" w:fill="auto"/>
                  <w:vAlign w:val="center"/>
                </w:tcPr>
                <w:p>
                  <w:pPr>
                    <w:pStyle w:val="63"/>
                    <w:rPr>
                      <w:color w:val="auto"/>
                    </w:rPr>
                  </w:pPr>
                  <w:r>
                    <w:rPr>
                      <w:rFonts w:hint="eastAsia"/>
                      <w:color w:val="auto"/>
                    </w:rPr>
                    <w:t>污染源</w:t>
                  </w:r>
                </w:p>
              </w:tc>
              <w:tc>
                <w:tcPr>
                  <w:tcW w:w="420" w:type="pct"/>
                  <w:vMerge w:val="restart"/>
                  <w:shd w:val="clear" w:color="auto" w:fill="auto"/>
                  <w:vAlign w:val="center"/>
                </w:tcPr>
                <w:p>
                  <w:pPr>
                    <w:pStyle w:val="63"/>
                    <w:rPr>
                      <w:color w:val="auto"/>
                    </w:rPr>
                  </w:pPr>
                  <w:r>
                    <w:rPr>
                      <w:rFonts w:hint="eastAsia"/>
                      <w:color w:val="auto"/>
                    </w:rPr>
                    <w:t>污染物种类</w:t>
                  </w:r>
                </w:p>
              </w:tc>
              <w:tc>
                <w:tcPr>
                  <w:tcW w:w="1109" w:type="pct"/>
                  <w:gridSpan w:val="3"/>
                  <w:shd w:val="clear" w:color="auto" w:fill="auto"/>
                  <w:vAlign w:val="center"/>
                </w:tcPr>
                <w:p>
                  <w:pPr>
                    <w:pStyle w:val="63"/>
                    <w:rPr>
                      <w:color w:val="auto"/>
                    </w:rPr>
                  </w:pPr>
                  <w:r>
                    <w:rPr>
                      <w:rFonts w:hint="eastAsia"/>
                      <w:color w:val="auto"/>
                    </w:rPr>
                    <w:t>污染物产生情况</w:t>
                  </w:r>
                </w:p>
              </w:tc>
              <w:tc>
                <w:tcPr>
                  <w:tcW w:w="369" w:type="pct"/>
                  <w:vMerge w:val="restart"/>
                  <w:shd w:val="clear" w:color="auto" w:fill="auto"/>
                  <w:vAlign w:val="center"/>
                </w:tcPr>
                <w:p>
                  <w:pPr>
                    <w:pStyle w:val="63"/>
                    <w:rPr>
                      <w:color w:val="auto"/>
                    </w:rPr>
                  </w:pPr>
                  <w:r>
                    <w:rPr>
                      <w:rFonts w:hint="eastAsia"/>
                      <w:color w:val="auto"/>
                    </w:rPr>
                    <w:t>排放形式</w:t>
                  </w:r>
                </w:p>
              </w:tc>
              <w:tc>
                <w:tcPr>
                  <w:tcW w:w="1207" w:type="pct"/>
                  <w:gridSpan w:val="3"/>
                  <w:shd w:val="clear" w:color="auto" w:fill="auto"/>
                  <w:vAlign w:val="center"/>
                </w:tcPr>
                <w:p>
                  <w:pPr>
                    <w:pStyle w:val="63"/>
                    <w:rPr>
                      <w:color w:val="auto"/>
                    </w:rPr>
                  </w:pPr>
                  <w:r>
                    <w:rPr>
                      <w:rFonts w:hint="eastAsia"/>
                      <w:color w:val="auto"/>
                    </w:rPr>
                    <w:t>治理设施情况</w:t>
                  </w:r>
                </w:p>
              </w:tc>
              <w:tc>
                <w:tcPr>
                  <w:tcW w:w="892" w:type="pct"/>
                  <w:gridSpan w:val="3"/>
                  <w:shd w:val="clear" w:color="auto" w:fill="auto"/>
                  <w:vAlign w:val="center"/>
                </w:tcPr>
                <w:p>
                  <w:pPr>
                    <w:pStyle w:val="63"/>
                    <w:rPr>
                      <w:color w:val="auto"/>
                    </w:rPr>
                  </w:pPr>
                  <w:r>
                    <w:rPr>
                      <w:rFonts w:hint="eastAsia"/>
                      <w:color w:val="auto"/>
                    </w:rPr>
                    <w:t>污染物排放情况</w:t>
                  </w:r>
                </w:p>
              </w:tc>
              <w:tc>
                <w:tcPr>
                  <w:tcW w:w="285" w:type="pct"/>
                  <w:vMerge w:val="restart"/>
                  <w:shd w:val="clear" w:color="auto" w:fill="auto"/>
                  <w:vAlign w:val="center"/>
                </w:tcPr>
                <w:p>
                  <w:pPr>
                    <w:pStyle w:val="63"/>
                    <w:rPr>
                      <w:color w:val="auto"/>
                    </w:rPr>
                  </w:pPr>
                  <w:r>
                    <w:rPr>
                      <w:rFonts w:hint="eastAsia"/>
                      <w:color w:val="auto"/>
                    </w:rPr>
                    <w:t>排放口编号</w:t>
                  </w:r>
                </w:p>
              </w:tc>
              <w:tc>
                <w:tcPr>
                  <w:tcW w:w="282" w:type="pct"/>
                  <w:vMerge w:val="restart"/>
                  <w:shd w:val="clear" w:color="auto" w:fill="auto"/>
                  <w:vAlign w:val="center"/>
                </w:tcPr>
                <w:p>
                  <w:pPr>
                    <w:pStyle w:val="63"/>
                    <w:rPr>
                      <w:color w:val="auto"/>
                    </w:rPr>
                  </w:pPr>
                  <w:r>
                    <w:rPr>
                      <w:rFonts w:hint="eastAsia"/>
                      <w:color w:val="auto"/>
                    </w:rPr>
                    <w:t>废气量万</w:t>
                  </w:r>
                  <w:r>
                    <w:rPr>
                      <w:color w:val="auto"/>
                    </w:rPr>
                    <w:t>m³/</w:t>
                  </w:r>
                  <w:r>
                    <w:rPr>
                      <w:rFonts w:hint="eastAsia"/>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36" w:type="pct"/>
                  <w:vMerge w:val="continue"/>
                  <w:shd w:val="clear" w:color="auto" w:fill="auto"/>
                  <w:vAlign w:val="center"/>
                </w:tcPr>
                <w:p>
                  <w:pPr>
                    <w:pStyle w:val="63"/>
                    <w:rPr>
                      <w:color w:val="auto"/>
                    </w:rPr>
                  </w:pPr>
                </w:p>
              </w:tc>
              <w:tc>
                <w:tcPr>
                  <w:tcW w:w="420" w:type="pct"/>
                  <w:vMerge w:val="continue"/>
                  <w:shd w:val="clear" w:color="auto" w:fill="auto"/>
                  <w:vAlign w:val="center"/>
                </w:tcPr>
                <w:p>
                  <w:pPr>
                    <w:pStyle w:val="63"/>
                    <w:rPr>
                      <w:color w:val="auto"/>
                    </w:rPr>
                  </w:pPr>
                </w:p>
              </w:tc>
              <w:tc>
                <w:tcPr>
                  <w:tcW w:w="369" w:type="pct"/>
                  <w:shd w:val="clear" w:color="auto" w:fill="auto"/>
                  <w:vAlign w:val="center"/>
                </w:tcPr>
                <w:p>
                  <w:pPr>
                    <w:pStyle w:val="63"/>
                    <w:rPr>
                      <w:color w:val="auto"/>
                    </w:rPr>
                  </w:pPr>
                  <w:r>
                    <w:rPr>
                      <w:rFonts w:hint="eastAsia"/>
                      <w:color w:val="auto"/>
                    </w:rPr>
                    <w:t>产生量</w:t>
                  </w:r>
                </w:p>
                <w:p>
                  <w:pPr>
                    <w:pStyle w:val="63"/>
                    <w:rPr>
                      <w:color w:val="auto"/>
                    </w:rPr>
                  </w:pPr>
                  <w:r>
                    <w:rPr>
                      <w:rFonts w:hint="eastAsia"/>
                      <w:color w:val="auto"/>
                    </w:rPr>
                    <w:t>（</w:t>
                  </w:r>
                  <w:r>
                    <w:rPr>
                      <w:color w:val="auto"/>
                      <w:lang w:val="en-US"/>
                    </w:rPr>
                    <w:t>t/a</w:t>
                  </w:r>
                  <w:r>
                    <w:rPr>
                      <w:rFonts w:hint="eastAsia"/>
                      <w:color w:val="auto"/>
                    </w:rPr>
                    <w:t>）</w:t>
                  </w:r>
                </w:p>
              </w:tc>
              <w:tc>
                <w:tcPr>
                  <w:tcW w:w="370" w:type="pct"/>
                  <w:shd w:val="clear" w:color="auto" w:fill="auto"/>
                  <w:vAlign w:val="center"/>
                </w:tcPr>
                <w:p>
                  <w:pPr>
                    <w:pStyle w:val="63"/>
                    <w:rPr>
                      <w:color w:val="auto"/>
                    </w:rPr>
                  </w:pPr>
                  <w:r>
                    <w:rPr>
                      <w:rFonts w:hint="eastAsia"/>
                      <w:color w:val="auto"/>
                    </w:rPr>
                    <w:t>速率</w:t>
                  </w:r>
                </w:p>
                <w:p>
                  <w:pPr>
                    <w:pStyle w:val="63"/>
                    <w:rPr>
                      <w:color w:val="auto"/>
                    </w:rPr>
                  </w:pPr>
                  <w:r>
                    <w:rPr>
                      <w:rFonts w:hint="eastAsia"/>
                      <w:color w:val="auto"/>
                    </w:rPr>
                    <w:t>（</w:t>
                  </w:r>
                  <w:r>
                    <w:rPr>
                      <w:color w:val="auto"/>
                      <w:lang w:val="en-US"/>
                    </w:rPr>
                    <w:t>kg/h</w:t>
                  </w:r>
                  <w:r>
                    <w:rPr>
                      <w:rFonts w:hint="eastAsia"/>
                      <w:color w:val="auto"/>
                    </w:rPr>
                    <w:t>）</w:t>
                  </w:r>
                </w:p>
              </w:tc>
              <w:tc>
                <w:tcPr>
                  <w:tcW w:w="370" w:type="pct"/>
                  <w:shd w:val="clear" w:color="auto" w:fill="auto"/>
                  <w:vAlign w:val="center"/>
                </w:tcPr>
                <w:p>
                  <w:pPr>
                    <w:pStyle w:val="63"/>
                    <w:rPr>
                      <w:color w:val="auto"/>
                    </w:rPr>
                  </w:pPr>
                  <w:r>
                    <w:rPr>
                      <w:rFonts w:hint="eastAsia"/>
                      <w:color w:val="auto"/>
                    </w:rPr>
                    <w:t>浓度</w:t>
                  </w:r>
                </w:p>
                <w:p>
                  <w:pPr>
                    <w:pStyle w:val="63"/>
                    <w:rPr>
                      <w:color w:val="auto"/>
                    </w:rPr>
                  </w:pPr>
                  <w:r>
                    <w:rPr>
                      <w:rFonts w:hint="eastAsia"/>
                      <w:color w:val="auto"/>
                    </w:rPr>
                    <w:t>（</w:t>
                  </w:r>
                  <w:r>
                    <w:rPr>
                      <w:color w:val="auto"/>
                      <w:lang w:val="en-US"/>
                    </w:rPr>
                    <w:t>mg/m³</w:t>
                  </w:r>
                  <w:r>
                    <w:rPr>
                      <w:rFonts w:hint="eastAsia"/>
                      <w:color w:val="auto"/>
                    </w:rPr>
                    <w:t>）</w:t>
                  </w:r>
                </w:p>
              </w:tc>
              <w:tc>
                <w:tcPr>
                  <w:tcW w:w="369" w:type="pct"/>
                  <w:vMerge w:val="continue"/>
                  <w:shd w:val="clear" w:color="auto" w:fill="auto"/>
                  <w:vAlign w:val="center"/>
                </w:tcPr>
                <w:p>
                  <w:pPr>
                    <w:pStyle w:val="63"/>
                    <w:rPr>
                      <w:color w:val="auto"/>
                    </w:rPr>
                  </w:pPr>
                </w:p>
              </w:tc>
              <w:tc>
                <w:tcPr>
                  <w:tcW w:w="537" w:type="pct"/>
                  <w:shd w:val="clear" w:color="auto" w:fill="auto"/>
                  <w:vAlign w:val="center"/>
                </w:tcPr>
                <w:p>
                  <w:pPr>
                    <w:pStyle w:val="63"/>
                    <w:rPr>
                      <w:color w:val="auto"/>
                    </w:rPr>
                  </w:pPr>
                  <w:r>
                    <w:rPr>
                      <w:rFonts w:hint="eastAsia"/>
                      <w:color w:val="auto"/>
                    </w:rPr>
                    <w:t>治理工艺名称</w:t>
                  </w:r>
                </w:p>
              </w:tc>
              <w:tc>
                <w:tcPr>
                  <w:tcW w:w="311" w:type="pct"/>
                  <w:shd w:val="clear" w:color="auto" w:fill="auto"/>
                  <w:vAlign w:val="center"/>
                </w:tcPr>
                <w:p>
                  <w:pPr>
                    <w:pStyle w:val="63"/>
                    <w:rPr>
                      <w:color w:val="auto"/>
                    </w:rPr>
                  </w:pPr>
                  <w:r>
                    <w:rPr>
                      <w:rFonts w:hint="eastAsia"/>
                      <w:color w:val="auto"/>
                    </w:rPr>
                    <w:t>去除效率</w:t>
                  </w:r>
                </w:p>
              </w:tc>
              <w:tc>
                <w:tcPr>
                  <w:tcW w:w="359" w:type="pct"/>
                  <w:shd w:val="clear" w:color="auto" w:fill="auto"/>
                  <w:vAlign w:val="center"/>
                </w:tcPr>
                <w:p>
                  <w:pPr>
                    <w:pStyle w:val="63"/>
                    <w:rPr>
                      <w:color w:val="auto"/>
                    </w:rPr>
                  </w:pPr>
                  <w:r>
                    <w:rPr>
                      <w:rFonts w:hint="eastAsia"/>
                      <w:color w:val="auto"/>
                    </w:rPr>
                    <w:t>是否为</w:t>
                  </w:r>
                </w:p>
                <w:p>
                  <w:pPr>
                    <w:pStyle w:val="63"/>
                    <w:rPr>
                      <w:color w:val="auto"/>
                    </w:rPr>
                  </w:pPr>
                  <w:r>
                    <w:rPr>
                      <w:rFonts w:hint="eastAsia"/>
                      <w:color w:val="auto"/>
                    </w:rPr>
                    <w:t>可行技术</w:t>
                  </w:r>
                </w:p>
              </w:tc>
              <w:tc>
                <w:tcPr>
                  <w:tcW w:w="272" w:type="pct"/>
                  <w:shd w:val="clear" w:color="auto" w:fill="auto"/>
                  <w:vAlign w:val="center"/>
                </w:tcPr>
                <w:p>
                  <w:pPr>
                    <w:pStyle w:val="63"/>
                    <w:rPr>
                      <w:color w:val="auto"/>
                    </w:rPr>
                  </w:pPr>
                  <w:r>
                    <w:rPr>
                      <w:rFonts w:hint="eastAsia"/>
                      <w:color w:val="auto"/>
                    </w:rPr>
                    <w:t>排放量</w:t>
                  </w:r>
                </w:p>
                <w:p>
                  <w:pPr>
                    <w:pStyle w:val="63"/>
                    <w:rPr>
                      <w:color w:val="auto"/>
                    </w:rPr>
                  </w:pPr>
                  <w:r>
                    <w:rPr>
                      <w:color w:val="auto"/>
                      <w:lang w:val="en-US"/>
                    </w:rPr>
                    <w:t>（t/a）</w:t>
                  </w:r>
                </w:p>
              </w:tc>
              <w:tc>
                <w:tcPr>
                  <w:tcW w:w="264" w:type="pct"/>
                  <w:shd w:val="clear" w:color="auto" w:fill="auto"/>
                  <w:vAlign w:val="center"/>
                </w:tcPr>
                <w:p>
                  <w:pPr>
                    <w:pStyle w:val="63"/>
                    <w:rPr>
                      <w:color w:val="auto"/>
                    </w:rPr>
                  </w:pPr>
                  <w:r>
                    <w:rPr>
                      <w:rFonts w:hint="eastAsia"/>
                      <w:color w:val="auto"/>
                    </w:rPr>
                    <w:t>速率</w:t>
                  </w:r>
                </w:p>
                <w:p>
                  <w:pPr>
                    <w:pStyle w:val="63"/>
                    <w:rPr>
                      <w:color w:val="auto"/>
                    </w:rPr>
                  </w:pPr>
                  <w:r>
                    <w:rPr>
                      <w:color w:val="auto"/>
                      <w:lang w:val="en-US"/>
                    </w:rPr>
                    <w:t>（kg/h）</w:t>
                  </w:r>
                </w:p>
              </w:tc>
              <w:tc>
                <w:tcPr>
                  <w:tcW w:w="356" w:type="pct"/>
                  <w:shd w:val="clear" w:color="auto" w:fill="auto"/>
                  <w:vAlign w:val="center"/>
                </w:tcPr>
                <w:p>
                  <w:pPr>
                    <w:pStyle w:val="63"/>
                    <w:rPr>
                      <w:color w:val="auto"/>
                    </w:rPr>
                  </w:pPr>
                  <w:r>
                    <w:rPr>
                      <w:rFonts w:hint="eastAsia"/>
                      <w:color w:val="auto"/>
                    </w:rPr>
                    <w:t>浓度</w:t>
                  </w:r>
                </w:p>
                <w:p>
                  <w:pPr>
                    <w:pStyle w:val="63"/>
                    <w:rPr>
                      <w:color w:val="auto"/>
                    </w:rPr>
                  </w:pPr>
                  <w:r>
                    <w:rPr>
                      <w:color w:val="auto"/>
                      <w:lang w:val="en-US"/>
                    </w:rPr>
                    <w:t>（mg/m³）</w:t>
                  </w:r>
                </w:p>
              </w:tc>
              <w:tc>
                <w:tcPr>
                  <w:tcW w:w="285" w:type="pct"/>
                  <w:vMerge w:val="continue"/>
                  <w:shd w:val="clear" w:color="auto" w:fill="auto"/>
                  <w:vAlign w:val="center"/>
                </w:tcPr>
                <w:p>
                  <w:pPr>
                    <w:pStyle w:val="63"/>
                    <w:rPr>
                      <w:color w:val="auto"/>
                    </w:rPr>
                  </w:pPr>
                </w:p>
              </w:tc>
              <w:tc>
                <w:tcPr>
                  <w:tcW w:w="282" w:type="pct"/>
                  <w:vMerge w:val="continue"/>
                  <w:shd w:val="clear" w:color="auto" w:fill="auto"/>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36" w:type="pct"/>
                  <w:vMerge w:val="restart"/>
                  <w:shd w:val="clear" w:color="auto" w:fill="auto"/>
                  <w:vAlign w:val="center"/>
                </w:tcPr>
                <w:p>
                  <w:pPr>
                    <w:pStyle w:val="63"/>
                    <w:rPr>
                      <w:color w:val="auto"/>
                    </w:rPr>
                  </w:pPr>
                  <w:r>
                    <w:rPr>
                      <w:rFonts w:hint="eastAsia"/>
                      <w:color w:val="auto"/>
                      <w:lang w:eastAsia="zh-CN"/>
                    </w:rPr>
                    <w:t>热退火炉</w:t>
                  </w:r>
                </w:p>
              </w:tc>
              <w:tc>
                <w:tcPr>
                  <w:tcW w:w="420" w:type="pct"/>
                  <w:shd w:val="clear" w:color="auto" w:fill="auto"/>
                  <w:vAlign w:val="center"/>
                </w:tcPr>
                <w:p>
                  <w:pPr>
                    <w:pStyle w:val="63"/>
                    <w:rPr>
                      <w:color w:val="auto"/>
                    </w:rPr>
                  </w:pPr>
                  <w:r>
                    <w:rPr>
                      <w:rFonts w:hint="eastAsia"/>
                      <w:color w:val="auto"/>
                      <w:lang w:eastAsia="zh-CN"/>
                    </w:rPr>
                    <w:t>颗粒物</w:t>
                  </w:r>
                </w:p>
              </w:tc>
              <w:tc>
                <w:tcPr>
                  <w:tcW w:w="369" w:type="pct"/>
                  <w:shd w:val="clear" w:color="auto" w:fill="auto"/>
                  <w:vAlign w:val="center"/>
                </w:tcPr>
                <w:p>
                  <w:pPr>
                    <w:pStyle w:val="63"/>
                    <w:rPr>
                      <w:color w:val="auto"/>
                      <w:lang w:val="en-US" w:eastAsia="zh-CN"/>
                    </w:rPr>
                  </w:pPr>
                  <w:r>
                    <w:rPr>
                      <w:color w:val="auto"/>
                    </w:rPr>
                    <w:t>1.8</w:t>
                  </w:r>
                </w:p>
              </w:tc>
              <w:tc>
                <w:tcPr>
                  <w:tcW w:w="370" w:type="pct"/>
                  <w:shd w:val="clear" w:color="auto" w:fill="auto"/>
                  <w:vAlign w:val="center"/>
                </w:tcPr>
                <w:p>
                  <w:pPr>
                    <w:pStyle w:val="63"/>
                    <w:rPr>
                      <w:color w:val="auto"/>
                      <w:lang w:val="en-US" w:eastAsia="zh-CN"/>
                    </w:rPr>
                  </w:pPr>
                  <w:r>
                    <w:rPr>
                      <w:color w:val="auto"/>
                    </w:rPr>
                    <w:t>0.28</w:t>
                  </w:r>
                </w:p>
              </w:tc>
              <w:tc>
                <w:tcPr>
                  <w:tcW w:w="370" w:type="pct"/>
                  <w:shd w:val="clear" w:color="auto" w:fill="auto"/>
                  <w:vAlign w:val="center"/>
                </w:tcPr>
                <w:p>
                  <w:pPr>
                    <w:pStyle w:val="63"/>
                    <w:rPr>
                      <w:color w:val="auto"/>
                      <w:lang w:eastAsia="zh-CN"/>
                    </w:rPr>
                  </w:pPr>
                  <w:r>
                    <w:rPr>
                      <w:color w:val="auto"/>
                    </w:rPr>
                    <w:t>15.58</w:t>
                  </w:r>
                </w:p>
              </w:tc>
              <w:tc>
                <w:tcPr>
                  <w:tcW w:w="369" w:type="pct"/>
                  <w:vMerge w:val="restart"/>
                  <w:shd w:val="clear" w:color="auto" w:fill="auto"/>
                  <w:vAlign w:val="center"/>
                </w:tcPr>
                <w:p>
                  <w:pPr>
                    <w:pStyle w:val="63"/>
                    <w:rPr>
                      <w:color w:val="auto"/>
                    </w:rPr>
                  </w:pPr>
                  <w:r>
                    <w:rPr>
                      <w:color w:val="auto"/>
                    </w:rPr>
                    <w:sym w:font="Wingdings 2" w:char="0052"/>
                  </w:r>
                  <w:r>
                    <w:rPr>
                      <w:color w:val="auto"/>
                    </w:rPr>
                    <w:t>有组织</w:t>
                  </w:r>
                </w:p>
                <w:p>
                  <w:pPr>
                    <w:pStyle w:val="63"/>
                    <w:rPr>
                      <w:color w:val="auto"/>
                      <w:lang w:val="en-US"/>
                    </w:rPr>
                  </w:pPr>
                  <w:r>
                    <w:rPr>
                      <w:color w:val="auto"/>
                      <w:lang w:val="en-US"/>
                    </w:rPr>
                    <w:sym w:font="Wingdings 2" w:char="00A3"/>
                  </w:r>
                  <w:r>
                    <w:rPr>
                      <w:color w:val="auto"/>
                      <w:lang w:val="en-US"/>
                    </w:rPr>
                    <w:t>无组织</w:t>
                  </w:r>
                </w:p>
              </w:tc>
              <w:tc>
                <w:tcPr>
                  <w:tcW w:w="537" w:type="pct"/>
                  <w:vMerge w:val="restart"/>
                  <w:shd w:val="clear" w:color="auto" w:fill="auto"/>
                  <w:vAlign w:val="center"/>
                </w:tcPr>
                <w:p>
                  <w:pPr>
                    <w:pStyle w:val="63"/>
                    <w:rPr>
                      <w:color w:val="auto"/>
                      <w:lang w:eastAsia="zh-CN"/>
                    </w:rPr>
                  </w:pPr>
                  <w:r>
                    <w:rPr>
                      <w:rFonts w:hint="eastAsia"/>
                      <w:color w:val="auto"/>
                      <w:lang w:eastAsia="zh-CN"/>
                    </w:rPr>
                    <w:t>/</w:t>
                  </w:r>
                </w:p>
              </w:tc>
              <w:tc>
                <w:tcPr>
                  <w:tcW w:w="311" w:type="pct"/>
                  <w:shd w:val="clear" w:color="auto" w:fill="auto"/>
                  <w:vAlign w:val="center"/>
                </w:tcPr>
                <w:p>
                  <w:pPr>
                    <w:pStyle w:val="63"/>
                    <w:rPr>
                      <w:color w:val="auto"/>
                      <w:lang w:eastAsia="zh-CN"/>
                    </w:rPr>
                  </w:pPr>
                  <w:r>
                    <w:rPr>
                      <w:color w:val="auto"/>
                      <w:lang w:eastAsia="zh-CN"/>
                    </w:rPr>
                    <w:t>/</w:t>
                  </w:r>
                </w:p>
              </w:tc>
              <w:tc>
                <w:tcPr>
                  <w:tcW w:w="359" w:type="pct"/>
                  <w:shd w:val="clear" w:color="auto" w:fill="auto"/>
                  <w:vAlign w:val="center"/>
                </w:tcPr>
                <w:p>
                  <w:pPr>
                    <w:pStyle w:val="63"/>
                    <w:rPr>
                      <w:color w:val="auto"/>
                      <w:lang w:val="en-US"/>
                    </w:rPr>
                  </w:pPr>
                  <w:r>
                    <w:rPr>
                      <w:rFonts w:hint="eastAsia"/>
                      <w:color w:val="auto"/>
                      <w:lang w:val="en-US" w:eastAsia="zh-CN"/>
                    </w:rPr>
                    <w:t>/</w:t>
                  </w:r>
                </w:p>
              </w:tc>
              <w:tc>
                <w:tcPr>
                  <w:tcW w:w="272" w:type="pct"/>
                  <w:shd w:val="clear" w:color="auto" w:fill="auto"/>
                  <w:vAlign w:val="center"/>
                </w:tcPr>
                <w:p>
                  <w:pPr>
                    <w:pStyle w:val="63"/>
                    <w:rPr>
                      <w:color w:val="auto"/>
                      <w:lang w:eastAsia="zh-CN"/>
                    </w:rPr>
                  </w:pPr>
                  <w:r>
                    <w:rPr>
                      <w:color w:val="auto"/>
                    </w:rPr>
                    <w:t>1.8</w:t>
                  </w:r>
                </w:p>
              </w:tc>
              <w:tc>
                <w:tcPr>
                  <w:tcW w:w="264" w:type="pct"/>
                  <w:shd w:val="clear" w:color="auto" w:fill="auto"/>
                  <w:vAlign w:val="center"/>
                </w:tcPr>
                <w:p>
                  <w:pPr>
                    <w:pStyle w:val="63"/>
                    <w:rPr>
                      <w:color w:val="auto"/>
                      <w:lang w:eastAsia="zh-CN"/>
                    </w:rPr>
                  </w:pPr>
                  <w:r>
                    <w:rPr>
                      <w:color w:val="auto"/>
                    </w:rPr>
                    <w:t>0.28</w:t>
                  </w:r>
                </w:p>
              </w:tc>
              <w:tc>
                <w:tcPr>
                  <w:tcW w:w="356" w:type="pct"/>
                  <w:shd w:val="clear" w:color="auto" w:fill="auto"/>
                  <w:vAlign w:val="center"/>
                </w:tcPr>
                <w:p>
                  <w:pPr>
                    <w:pStyle w:val="63"/>
                    <w:rPr>
                      <w:color w:val="auto"/>
                      <w:lang w:eastAsia="zh-CN"/>
                    </w:rPr>
                  </w:pPr>
                  <w:r>
                    <w:rPr>
                      <w:color w:val="auto"/>
                    </w:rPr>
                    <w:t>15.58</w:t>
                  </w:r>
                </w:p>
              </w:tc>
              <w:tc>
                <w:tcPr>
                  <w:tcW w:w="285" w:type="pct"/>
                  <w:vMerge w:val="restart"/>
                  <w:shd w:val="clear" w:color="auto" w:fill="auto"/>
                  <w:vAlign w:val="center"/>
                </w:tcPr>
                <w:p>
                  <w:pPr>
                    <w:pStyle w:val="63"/>
                    <w:rPr>
                      <w:color w:val="auto"/>
                    </w:rPr>
                  </w:pPr>
                  <w:r>
                    <w:rPr>
                      <w:rFonts w:hint="eastAsia"/>
                      <w:color w:val="auto"/>
                    </w:rPr>
                    <w:t>D</w:t>
                  </w:r>
                  <w:r>
                    <w:rPr>
                      <w:color w:val="auto"/>
                    </w:rPr>
                    <w:t>A003</w:t>
                  </w:r>
                </w:p>
              </w:tc>
              <w:tc>
                <w:tcPr>
                  <w:tcW w:w="282" w:type="pct"/>
                  <w:vMerge w:val="restart"/>
                  <w:shd w:val="clear" w:color="auto" w:fill="auto"/>
                  <w:vAlign w:val="center"/>
                </w:tcPr>
                <w:p>
                  <w:pPr>
                    <w:pStyle w:val="63"/>
                    <w:rPr>
                      <w:color w:val="auto"/>
                      <w:lang w:eastAsia="zh-CN"/>
                    </w:rPr>
                  </w:pPr>
                  <w:r>
                    <w:rPr>
                      <w:rFonts w:hint="eastAsia"/>
                      <w:color w:val="auto"/>
                      <w:lang w:val="en-US" w:eastAsia="zh-CN"/>
                    </w:rPr>
                    <w:t>1</w:t>
                  </w:r>
                  <w:r>
                    <w:rPr>
                      <w:color w:val="auto"/>
                      <w:lang w:val="en-US" w:eastAsia="zh-CN"/>
                    </w:rPr>
                    <w:t>1556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36" w:type="pct"/>
                  <w:vMerge w:val="continue"/>
                  <w:shd w:val="clear" w:color="auto" w:fill="auto"/>
                  <w:vAlign w:val="center"/>
                </w:tcPr>
                <w:p>
                  <w:pPr>
                    <w:pStyle w:val="63"/>
                    <w:rPr>
                      <w:color w:val="auto"/>
                    </w:rPr>
                  </w:pPr>
                </w:p>
              </w:tc>
              <w:tc>
                <w:tcPr>
                  <w:tcW w:w="420" w:type="pct"/>
                  <w:shd w:val="clear" w:color="auto" w:fill="auto"/>
                  <w:vAlign w:val="center"/>
                </w:tcPr>
                <w:p>
                  <w:pPr>
                    <w:pStyle w:val="63"/>
                    <w:rPr>
                      <w:color w:val="auto"/>
                      <w:lang w:eastAsia="zh-CN"/>
                    </w:rPr>
                  </w:pPr>
                  <w:r>
                    <w:rPr>
                      <w:rFonts w:hint="eastAsia"/>
                      <w:color w:val="auto"/>
                      <w:lang w:eastAsia="zh-CN"/>
                    </w:rPr>
                    <w:t>S</w:t>
                  </w:r>
                  <w:r>
                    <w:rPr>
                      <w:color w:val="auto"/>
                      <w:lang w:eastAsia="zh-CN"/>
                    </w:rPr>
                    <w:t>O</w:t>
                  </w:r>
                  <w:r>
                    <w:rPr>
                      <w:color w:val="auto"/>
                      <w:vertAlign w:val="subscript"/>
                      <w:lang w:eastAsia="zh-CN"/>
                    </w:rPr>
                    <w:t>2</w:t>
                  </w:r>
                </w:p>
              </w:tc>
              <w:tc>
                <w:tcPr>
                  <w:tcW w:w="369" w:type="pct"/>
                  <w:shd w:val="clear" w:color="auto" w:fill="auto"/>
                  <w:vAlign w:val="center"/>
                </w:tcPr>
                <w:p>
                  <w:pPr>
                    <w:pStyle w:val="63"/>
                    <w:rPr>
                      <w:color w:val="auto"/>
                      <w:lang w:val="en-US" w:eastAsia="zh-CN"/>
                    </w:rPr>
                  </w:pPr>
                  <w:r>
                    <w:rPr>
                      <w:color w:val="auto"/>
                    </w:rPr>
                    <w:t>2.534</w:t>
                  </w:r>
                </w:p>
              </w:tc>
              <w:tc>
                <w:tcPr>
                  <w:tcW w:w="370" w:type="pct"/>
                  <w:shd w:val="clear" w:color="auto" w:fill="auto"/>
                  <w:vAlign w:val="center"/>
                </w:tcPr>
                <w:p>
                  <w:pPr>
                    <w:pStyle w:val="63"/>
                    <w:rPr>
                      <w:color w:val="auto"/>
                      <w:lang w:val="en-US" w:eastAsia="zh-CN"/>
                    </w:rPr>
                  </w:pPr>
                  <w:r>
                    <w:rPr>
                      <w:color w:val="auto"/>
                    </w:rPr>
                    <w:t>0.39</w:t>
                  </w:r>
                </w:p>
              </w:tc>
              <w:tc>
                <w:tcPr>
                  <w:tcW w:w="370" w:type="pct"/>
                  <w:shd w:val="clear" w:color="auto" w:fill="auto"/>
                  <w:vAlign w:val="center"/>
                </w:tcPr>
                <w:p>
                  <w:pPr>
                    <w:pStyle w:val="63"/>
                    <w:rPr>
                      <w:color w:val="auto"/>
                      <w:lang w:eastAsia="zh-CN"/>
                    </w:rPr>
                  </w:pPr>
                  <w:r>
                    <w:rPr>
                      <w:rFonts w:hint="eastAsia"/>
                      <w:color w:val="auto"/>
                    </w:rPr>
                    <w:t>2</w:t>
                  </w:r>
                  <w:r>
                    <w:rPr>
                      <w:color w:val="auto"/>
                    </w:rPr>
                    <w:t>1.93</w:t>
                  </w:r>
                </w:p>
              </w:tc>
              <w:tc>
                <w:tcPr>
                  <w:tcW w:w="369" w:type="pct"/>
                  <w:vMerge w:val="continue"/>
                  <w:shd w:val="clear" w:color="auto" w:fill="auto"/>
                  <w:vAlign w:val="center"/>
                </w:tcPr>
                <w:p>
                  <w:pPr>
                    <w:pStyle w:val="63"/>
                    <w:rPr>
                      <w:color w:val="auto"/>
                      <w:lang w:val="en-US"/>
                    </w:rPr>
                  </w:pPr>
                </w:p>
              </w:tc>
              <w:tc>
                <w:tcPr>
                  <w:tcW w:w="537" w:type="pct"/>
                  <w:vMerge w:val="continue"/>
                  <w:shd w:val="clear" w:color="auto" w:fill="auto"/>
                  <w:vAlign w:val="center"/>
                </w:tcPr>
                <w:p>
                  <w:pPr>
                    <w:pStyle w:val="63"/>
                    <w:rPr>
                      <w:color w:val="auto"/>
                    </w:rPr>
                  </w:pPr>
                </w:p>
              </w:tc>
              <w:tc>
                <w:tcPr>
                  <w:tcW w:w="311" w:type="pct"/>
                  <w:shd w:val="clear" w:color="auto" w:fill="auto"/>
                  <w:vAlign w:val="center"/>
                </w:tcPr>
                <w:p>
                  <w:pPr>
                    <w:pStyle w:val="63"/>
                    <w:rPr>
                      <w:color w:val="auto"/>
                    </w:rPr>
                  </w:pPr>
                  <w:r>
                    <w:rPr>
                      <w:color w:val="auto"/>
                      <w:lang w:eastAsia="zh-CN"/>
                    </w:rPr>
                    <w:t>/</w:t>
                  </w:r>
                </w:p>
              </w:tc>
              <w:tc>
                <w:tcPr>
                  <w:tcW w:w="359" w:type="pct"/>
                  <w:shd w:val="clear" w:color="auto" w:fill="auto"/>
                  <w:vAlign w:val="center"/>
                </w:tcPr>
                <w:p>
                  <w:pPr>
                    <w:pStyle w:val="63"/>
                    <w:rPr>
                      <w:color w:val="auto"/>
                      <w:lang w:val="en-US" w:eastAsia="zh-CN"/>
                    </w:rPr>
                  </w:pPr>
                  <w:r>
                    <w:rPr>
                      <w:rFonts w:hint="eastAsia"/>
                      <w:color w:val="auto"/>
                      <w:lang w:val="en-US" w:eastAsia="zh-CN"/>
                    </w:rPr>
                    <w:t>/</w:t>
                  </w:r>
                </w:p>
              </w:tc>
              <w:tc>
                <w:tcPr>
                  <w:tcW w:w="272" w:type="pct"/>
                  <w:shd w:val="clear" w:color="auto" w:fill="auto"/>
                  <w:vAlign w:val="center"/>
                </w:tcPr>
                <w:p>
                  <w:pPr>
                    <w:pStyle w:val="63"/>
                    <w:rPr>
                      <w:color w:val="auto"/>
                      <w:lang w:eastAsia="zh-CN"/>
                    </w:rPr>
                  </w:pPr>
                  <w:r>
                    <w:rPr>
                      <w:color w:val="auto"/>
                    </w:rPr>
                    <w:t>2.534</w:t>
                  </w:r>
                </w:p>
              </w:tc>
              <w:tc>
                <w:tcPr>
                  <w:tcW w:w="264" w:type="pct"/>
                  <w:shd w:val="clear" w:color="auto" w:fill="auto"/>
                  <w:vAlign w:val="center"/>
                </w:tcPr>
                <w:p>
                  <w:pPr>
                    <w:pStyle w:val="63"/>
                    <w:rPr>
                      <w:color w:val="auto"/>
                      <w:lang w:eastAsia="zh-CN"/>
                    </w:rPr>
                  </w:pPr>
                  <w:r>
                    <w:rPr>
                      <w:color w:val="auto"/>
                    </w:rPr>
                    <w:t>0.39</w:t>
                  </w:r>
                </w:p>
              </w:tc>
              <w:tc>
                <w:tcPr>
                  <w:tcW w:w="356" w:type="pct"/>
                  <w:shd w:val="clear" w:color="auto" w:fill="auto"/>
                  <w:vAlign w:val="center"/>
                </w:tcPr>
                <w:p>
                  <w:pPr>
                    <w:pStyle w:val="63"/>
                    <w:rPr>
                      <w:color w:val="auto"/>
                    </w:rPr>
                  </w:pPr>
                  <w:r>
                    <w:rPr>
                      <w:rFonts w:hint="eastAsia"/>
                      <w:color w:val="auto"/>
                    </w:rPr>
                    <w:t>2</w:t>
                  </w:r>
                  <w:r>
                    <w:rPr>
                      <w:color w:val="auto"/>
                    </w:rPr>
                    <w:t>1.93</w:t>
                  </w:r>
                </w:p>
              </w:tc>
              <w:tc>
                <w:tcPr>
                  <w:tcW w:w="285" w:type="pct"/>
                  <w:vMerge w:val="continue"/>
                  <w:shd w:val="clear" w:color="auto" w:fill="auto"/>
                  <w:vAlign w:val="center"/>
                </w:tcPr>
                <w:p>
                  <w:pPr>
                    <w:pStyle w:val="63"/>
                    <w:rPr>
                      <w:color w:val="auto"/>
                    </w:rPr>
                  </w:pPr>
                </w:p>
              </w:tc>
              <w:tc>
                <w:tcPr>
                  <w:tcW w:w="282" w:type="pct"/>
                  <w:vMerge w:val="continue"/>
                  <w:shd w:val="clear" w:color="auto" w:fill="auto"/>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36" w:type="pct"/>
                  <w:vMerge w:val="continue"/>
                  <w:shd w:val="clear" w:color="auto" w:fill="auto"/>
                  <w:vAlign w:val="center"/>
                </w:tcPr>
                <w:p>
                  <w:pPr>
                    <w:pStyle w:val="63"/>
                    <w:rPr>
                      <w:color w:val="auto"/>
                    </w:rPr>
                  </w:pPr>
                </w:p>
              </w:tc>
              <w:tc>
                <w:tcPr>
                  <w:tcW w:w="420" w:type="pct"/>
                  <w:shd w:val="clear" w:color="auto" w:fill="auto"/>
                  <w:vAlign w:val="center"/>
                </w:tcPr>
                <w:p>
                  <w:pPr>
                    <w:pStyle w:val="63"/>
                    <w:rPr>
                      <w:color w:val="auto"/>
                    </w:rPr>
                  </w:pPr>
                  <w:r>
                    <w:rPr>
                      <w:rFonts w:hint="eastAsia"/>
                      <w:color w:val="auto"/>
                      <w:lang w:eastAsia="zh-CN"/>
                    </w:rPr>
                    <w:t>N</w:t>
                  </w:r>
                  <w:r>
                    <w:rPr>
                      <w:color w:val="auto"/>
                      <w:lang w:eastAsia="zh-CN"/>
                    </w:rPr>
                    <w:t>O</w:t>
                  </w:r>
                  <w:r>
                    <w:rPr>
                      <w:rFonts w:hint="eastAsia"/>
                      <w:color w:val="auto"/>
                      <w:lang w:eastAsia="zh-CN"/>
                    </w:rPr>
                    <w:t>x</w:t>
                  </w:r>
                </w:p>
              </w:tc>
              <w:tc>
                <w:tcPr>
                  <w:tcW w:w="369" w:type="pct"/>
                  <w:shd w:val="clear" w:color="auto" w:fill="auto"/>
                  <w:vAlign w:val="center"/>
                </w:tcPr>
                <w:p>
                  <w:pPr>
                    <w:pStyle w:val="63"/>
                    <w:rPr>
                      <w:color w:val="auto"/>
                      <w:lang w:val="en-US" w:eastAsia="zh-CN"/>
                    </w:rPr>
                  </w:pPr>
                  <w:r>
                    <w:rPr>
                      <w:color w:val="auto"/>
                    </w:rPr>
                    <w:t>9.408</w:t>
                  </w:r>
                </w:p>
              </w:tc>
              <w:tc>
                <w:tcPr>
                  <w:tcW w:w="370" w:type="pct"/>
                  <w:shd w:val="clear" w:color="auto" w:fill="auto"/>
                  <w:vAlign w:val="center"/>
                </w:tcPr>
                <w:p>
                  <w:pPr>
                    <w:pStyle w:val="63"/>
                    <w:rPr>
                      <w:color w:val="auto"/>
                      <w:lang w:val="en-US" w:eastAsia="zh-CN"/>
                    </w:rPr>
                  </w:pPr>
                  <w:r>
                    <w:rPr>
                      <w:color w:val="auto"/>
                    </w:rPr>
                    <w:t>1.45</w:t>
                  </w:r>
                </w:p>
              </w:tc>
              <w:tc>
                <w:tcPr>
                  <w:tcW w:w="370" w:type="pct"/>
                  <w:shd w:val="clear" w:color="auto" w:fill="auto"/>
                  <w:vAlign w:val="center"/>
                </w:tcPr>
                <w:p>
                  <w:pPr>
                    <w:pStyle w:val="63"/>
                    <w:rPr>
                      <w:color w:val="auto"/>
                      <w:lang w:eastAsia="zh-CN"/>
                    </w:rPr>
                  </w:pPr>
                  <w:r>
                    <w:rPr>
                      <w:rFonts w:hint="eastAsia"/>
                      <w:color w:val="auto"/>
                    </w:rPr>
                    <w:t>8</w:t>
                  </w:r>
                  <w:r>
                    <w:rPr>
                      <w:color w:val="auto"/>
                    </w:rPr>
                    <w:t>1.41</w:t>
                  </w:r>
                </w:p>
              </w:tc>
              <w:tc>
                <w:tcPr>
                  <w:tcW w:w="369" w:type="pct"/>
                  <w:vMerge w:val="continue"/>
                  <w:shd w:val="clear" w:color="auto" w:fill="auto"/>
                  <w:vAlign w:val="center"/>
                </w:tcPr>
                <w:p>
                  <w:pPr>
                    <w:pStyle w:val="63"/>
                    <w:rPr>
                      <w:color w:val="auto"/>
                      <w:lang w:val="en-US"/>
                    </w:rPr>
                  </w:pPr>
                </w:p>
              </w:tc>
              <w:tc>
                <w:tcPr>
                  <w:tcW w:w="537" w:type="pct"/>
                  <w:vMerge w:val="continue"/>
                  <w:shd w:val="clear" w:color="auto" w:fill="auto"/>
                  <w:vAlign w:val="center"/>
                </w:tcPr>
                <w:p>
                  <w:pPr>
                    <w:pStyle w:val="63"/>
                    <w:rPr>
                      <w:color w:val="auto"/>
                      <w:lang w:eastAsia="zh-CN"/>
                    </w:rPr>
                  </w:pPr>
                </w:p>
              </w:tc>
              <w:tc>
                <w:tcPr>
                  <w:tcW w:w="311" w:type="pct"/>
                  <w:shd w:val="clear" w:color="auto" w:fill="auto"/>
                  <w:vAlign w:val="center"/>
                </w:tcPr>
                <w:p>
                  <w:pPr>
                    <w:pStyle w:val="63"/>
                    <w:rPr>
                      <w:color w:val="auto"/>
                      <w:lang w:val="en-US" w:eastAsia="zh-CN"/>
                    </w:rPr>
                  </w:pPr>
                  <w:r>
                    <w:rPr>
                      <w:color w:val="auto"/>
                      <w:lang w:eastAsia="zh-CN"/>
                    </w:rPr>
                    <w:t>/</w:t>
                  </w:r>
                </w:p>
              </w:tc>
              <w:tc>
                <w:tcPr>
                  <w:tcW w:w="359" w:type="pct"/>
                  <w:shd w:val="clear" w:color="auto" w:fill="auto"/>
                  <w:vAlign w:val="center"/>
                </w:tcPr>
                <w:p>
                  <w:pPr>
                    <w:pStyle w:val="63"/>
                    <w:rPr>
                      <w:color w:val="auto"/>
                      <w:lang w:val="en-US"/>
                    </w:rPr>
                  </w:pPr>
                  <w:r>
                    <w:rPr>
                      <w:rFonts w:hint="eastAsia"/>
                      <w:color w:val="auto"/>
                      <w:lang w:val="en-US" w:eastAsia="zh-CN"/>
                    </w:rPr>
                    <w:t>/</w:t>
                  </w:r>
                </w:p>
              </w:tc>
              <w:tc>
                <w:tcPr>
                  <w:tcW w:w="272" w:type="pct"/>
                  <w:shd w:val="clear" w:color="auto" w:fill="auto"/>
                  <w:vAlign w:val="center"/>
                </w:tcPr>
                <w:p>
                  <w:pPr>
                    <w:pStyle w:val="63"/>
                    <w:rPr>
                      <w:color w:val="auto"/>
                      <w:lang w:eastAsia="zh-CN"/>
                    </w:rPr>
                  </w:pPr>
                  <w:r>
                    <w:rPr>
                      <w:color w:val="auto"/>
                    </w:rPr>
                    <w:t>9.408</w:t>
                  </w:r>
                </w:p>
              </w:tc>
              <w:tc>
                <w:tcPr>
                  <w:tcW w:w="264" w:type="pct"/>
                  <w:shd w:val="clear" w:color="auto" w:fill="auto"/>
                  <w:vAlign w:val="center"/>
                </w:tcPr>
                <w:p>
                  <w:pPr>
                    <w:pStyle w:val="63"/>
                    <w:rPr>
                      <w:color w:val="auto"/>
                      <w:lang w:val="en-US" w:eastAsia="zh-CN"/>
                    </w:rPr>
                  </w:pPr>
                  <w:r>
                    <w:rPr>
                      <w:color w:val="auto"/>
                    </w:rPr>
                    <w:t>1.45</w:t>
                  </w:r>
                </w:p>
              </w:tc>
              <w:tc>
                <w:tcPr>
                  <w:tcW w:w="356" w:type="pct"/>
                  <w:shd w:val="clear" w:color="auto" w:fill="auto"/>
                  <w:vAlign w:val="center"/>
                </w:tcPr>
                <w:p>
                  <w:pPr>
                    <w:pStyle w:val="63"/>
                    <w:rPr>
                      <w:color w:val="auto"/>
                      <w:lang w:val="en-US" w:eastAsia="zh-CN"/>
                    </w:rPr>
                  </w:pPr>
                  <w:r>
                    <w:rPr>
                      <w:rFonts w:hint="eastAsia"/>
                      <w:color w:val="auto"/>
                    </w:rPr>
                    <w:t>8</w:t>
                  </w:r>
                  <w:r>
                    <w:rPr>
                      <w:color w:val="auto"/>
                    </w:rPr>
                    <w:t>1.41</w:t>
                  </w:r>
                </w:p>
              </w:tc>
              <w:tc>
                <w:tcPr>
                  <w:tcW w:w="285" w:type="pct"/>
                  <w:vMerge w:val="continue"/>
                  <w:shd w:val="clear" w:color="auto" w:fill="auto"/>
                  <w:vAlign w:val="center"/>
                </w:tcPr>
                <w:p>
                  <w:pPr>
                    <w:pStyle w:val="63"/>
                    <w:rPr>
                      <w:color w:val="auto"/>
                    </w:rPr>
                  </w:pPr>
                </w:p>
              </w:tc>
              <w:tc>
                <w:tcPr>
                  <w:tcW w:w="282" w:type="pct"/>
                  <w:vMerge w:val="continue"/>
                  <w:shd w:val="clear" w:color="auto" w:fill="auto"/>
                  <w:vAlign w:val="center"/>
                </w:tcPr>
                <w:p>
                  <w:pPr>
                    <w:pStyle w:val="63"/>
                    <w:rPr>
                      <w:color w:val="auto"/>
                      <w:lang w:eastAsia="zh-CN"/>
                    </w:rPr>
                  </w:pPr>
                </w:p>
              </w:tc>
            </w:tr>
          </w:tbl>
          <w:p>
            <w:pPr>
              <w:pStyle w:val="63"/>
              <w:rPr>
                <w:color w:val="auto"/>
              </w:rPr>
            </w:pPr>
          </w:p>
          <w:p>
            <w:pPr>
              <w:pStyle w:val="70"/>
              <w:rPr>
                <w:color w:val="auto"/>
              </w:rPr>
            </w:pPr>
            <w:r>
              <w:rPr>
                <w:color w:val="auto"/>
              </w:rPr>
              <w:t>4.2.1.3废气排放口基本情况</w:t>
            </w:r>
          </w:p>
          <w:p>
            <w:pPr>
              <w:pStyle w:val="66"/>
              <w:rPr>
                <w:color w:val="auto"/>
              </w:rPr>
            </w:pPr>
            <w:r>
              <w:rPr>
                <w:color w:val="auto"/>
              </w:rPr>
              <w:t>表4.2.1.3-1</w:t>
            </w:r>
            <w:r>
              <w:rPr>
                <w:rFonts w:hint="eastAsia"/>
                <w:color w:val="auto"/>
              </w:rPr>
              <w:t xml:space="preserve"> </w:t>
            </w:r>
            <w:r>
              <w:rPr>
                <w:color w:val="auto"/>
              </w:rPr>
              <w:t>项目</w:t>
            </w:r>
            <w:r>
              <w:rPr>
                <w:rFonts w:hint="eastAsia"/>
                <w:color w:val="auto"/>
              </w:rPr>
              <w:t>废气</w:t>
            </w:r>
            <w:r>
              <w:rPr>
                <w:color w:val="auto"/>
              </w:rPr>
              <w:t>排放口基本情况一览表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6"/>
              <w:gridCol w:w="979"/>
              <w:gridCol w:w="1130"/>
              <w:gridCol w:w="1049"/>
              <w:gridCol w:w="942"/>
              <w:gridCol w:w="848"/>
              <w:gridCol w:w="853"/>
              <w:gridCol w:w="1275"/>
              <w:gridCol w:w="2133"/>
              <w:gridCol w:w="3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278" w:type="pct"/>
                  <w:vAlign w:val="center"/>
                </w:tcPr>
                <w:p>
                  <w:pPr>
                    <w:pStyle w:val="63"/>
                    <w:rPr>
                      <w:color w:val="auto"/>
                    </w:rPr>
                  </w:pPr>
                  <w:r>
                    <w:rPr>
                      <w:color w:val="auto"/>
                    </w:rPr>
                    <w:t>编号</w:t>
                  </w:r>
                </w:p>
              </w:tc>
              <w:tc>
                <w:tcPr>
                  <w:tcW w:w="365" w:type="pct"/>
                  <w:vAlign w:val="center"/>
                </w:tcPr>
                <w:p>
                  <w:pPr>
                    <w:pStyle w:val="63"/>
                    <w:rPr>
                      <w:color w:val="auto"/>
                    </w:rPr>
                  </w:pPr>
                  <w:r>
                    <w:rPr>
                      <w:color w:val="auto"/>
                    </w:rPr>
                    <w:t>名称（工序）</w:t>
                  </w:r>
                </w:p>
              </w:tc>
              <w:tc>
                <w:tcPr>
                  <w:tcW w:w="421" w:type="pct"/>
                  <w:vAlign w:val="center"/>
                </w:tcPr>
                <w:p>
                  <w:pPr>
                    <w:pStyle w:val="63"/>
                    <w:rPr>
                      <w:color w:val="auto"/>
                    </w:rPr>
                  </w:pPr>
                  <w:r>
                    <w:rPr>
                      <w:rFonts w:hint="eastAsia"/>
                      <w:color w:val="auto"/>
                    </w:rPr>
                    <w:t>废气排放量</w:t>
                  </w:r>
                </w:p>
                <w:p>
                  <w:pPr>
                    <w:pStyle w:val="63"/>
                    <w:rPr>
                      <w:color w:val="auto"/>
                    </w:rPr>
                  </w:pPr>
                  <w:r>
                    <w:rPr>
                      <w:color w:val="auto"/>
                    </w:rPr>
                    <w:t>（m</w:t>
                  </w:r>
                  <w:r>
                    <w:rPr>
                      <w:color w:val="auto"/>
                      <w:vertAlign w:val="superscript"/>
                    </w:rPr>
                    <w:t>3</w:t>
                  </w:r>
                  <w:r>
                    <w:rPr>
                      <w:color w:val="auto"/>
                    </w:rPr>
                    <w:t>/</w:t>
                  </w:r>
                  <w:r>
                    <w:rPr>
                      <w:rFonts w:hint="eastAsia"/>
                      <w:color w:val="auto"/>
                      <w:lang w:eastAsia="zh-CN"/>
                    </w:rPr>
                    <w:t>a</w:t>
                  </w:r>
                  <w:r>
                    <w:rPr>
                      <w:color w:val="auto"/>
                    </w:rPr>
                    <w:t>）</w:t>
                  </w:r>
                </w:p>
              </w:tc>
              <w:tc>
                <w:tcPr>
                  <w:tcW w:w="391" w:type="pct"/>
                  <w:vAlign w:val="center"/>
                </w:tcPr>
                <w:p>
                  <w:pPr>
                    <w:pStyle w:val="63"/>
                    <w:rPr>
                      <w:color w:val="auto"/>
                    </w:rPr>
                  </w:pPr>
                  <w:r>
                    <w:rPr>
                      <w:color w:val="auto"/>
                    </w:rPr>
                    <w:t>排气筒高度/m</w:t>
                  </w:r>
                </w:p>
              </w:tc>
              <w:tc>
                <w:tcPr>
                  <w:tcW w:w="351" w:type="pct"/>
                  <w:vAlign w:val="center"/>
                </w:tcPr>
                <w:p>
                  <w:pPr>
                    <w:pStyle w:val="63"/>
                    <w:rPr>
                      <w:color w:val="auto"/>
                    </w:rPr>
                  </w:pPr>
                  <w:r>
                    <w:rPr>
                      <w:color w:val="auto"/>
                    </w:rPr>
                    <w:t>排气筒出口内径/m</w:t>
                  </w:r>
                </w:p>
              </w:tc>
              <w:tc>
                <w:tcPr>
                  <w:tcW w:w="316" w:type="pct"/>
                  <w:vAlign w:val="center"/>
                </w:tcPr>
                <w:p>
                  <w:pPr>
                    <w:pStyle w:val="63"/>
                    <w:rPr>
                      <w:color w:val="auto"/>
                    </w:rPr>
                  </w:pPr>
                  <w:r>
                    <w:rPr>
                      <w:color w:val="auto"/>
                    </w:rPr>
                    <w:t>烟气温度/℃</w:t>
                  </w:r>
                </w:p>
              </w:tc>
              <w:tc>
                <w:tcPr>
                  <w:tcW w:w="318" w:type="pct"/>
                  <w:vAlign w:val="center"/>
                </w:tcPr>
                <w:p>
                  <w:pPr>
                    <w:pStyle w:val="63"/>
                    <w:rPr>
                      <w:color w:val="auto"/>
                    </w:rPr>
                  </w:pPr>
                  <w:r>
                    <w:rPr>
                      <w:color w:val="auto"/>
                    </w:rPr>
                    <w:t>排放口类型</w:t>
                  </w:r>
                </w:p>
              </w:tc>
              <w:tc>
                <w:tcPr>
                  <w:tcW w:w="475" w:type="pct"/>
                  <w:vAlign w:val="center"/>
                </w:tcPr>
                <w:p>
                  <w:pPr>
                    <w:pStyle w:val="63"/>
                    <w:rPr>
                      <w:color w:val="auto"/>
                    </w:rPr>
                  </w:pPr>
                  <w:r>
                    <w:rPr>
                      <w:color w:val="auto"/>
                    </w:rPr>
                    <w:t>排放污染物</w:t>
                  </w:r>
                </w:p>
              </w:tc>
              <w:tc>
                <w:tcPr>
                  <w:tcW w:w="795" w:type="pct"/>
                  <w:vAlign w:val="center"/>
                </w:tcPr>
                <w:p>
                  <w:pPr>
                    <w:pStyle w:val="63"/>
                    <w:rPr>
                      <w:color w:val="auto"/>
                    </w:rPr>
                  </w:pPr>
                  <w:r>
                    <w:rPr>
                      <w:rFonts w:hint="eastAsia"/>
                      <w:color w:val="auto"/>
                    </w:rPr>
                    <w:t>排放口坐标</w:t>
                  </w:r>
                </w:p>
              </w:tc>
              <w:tc>
                <w:tcPr>
                  <w:tcW w:w="1290" w:type="pct"/>
                  <w:vAlign w:val="center"/>
                </w:tcPr>
                <w:p>
                  <w:pPr>
                    <w:pStyle w:val="63"/>
                    <w:rPr>
                      <w:color w:val="auto"/>
                    </w:rPr>
                  </w:pPr>
                  <w:r>
                    <w:rPr>
                      <w:color w:val="auto"/>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278" w:type="pct"/>
                  <w:vAlign w:val="center"/>
                </w:tcPr>
                <w:p>
                  <w:pPr>
                    <w:pStyle w:val="63"/>
                    <w:rPr>
                      <w:color w:val="auto"/>
                    </w:rPr>
                  </w:pPr>
                  <w:r>
                    <w:rPr>
                      <w:color w:val="auto"/>
                    </w:rPr>
                    <w:t>DA003</w:t>
                  </w:r>
                </w:p>
              </w:tc>
              <w:tc>
                <w:tcPr>
                  <w:tcW w:w="365" w:type="pct"/>
                  <w:vAlign w:val="center"/>
                </w:tcPr>
                <w:p>
                  <w:pPr>
                    <w:pStyle w:val="63"/>
                    <w:rPr>
                      <w:color w:val="auto"/>
                      <w:lang w:eastAsia="zh-CN"/>
                    </w:rPr>
                  </w:pPr>
                  <w:r>
                    <w:rPr>
                      <w:rFonts w:hint="eastAsia"/>
                      <w:color w:val="auto"/>
                      <w:lang w:eastAsia="zh-CN"/>
                    </w:rPr>
                    <w:t>热退火炉</w:t>
                  </w:r>
                </w:p>
              </w:tc>
              <w:tc>
                <w:tcPr>
                  <w:tcW w:w="421" w:type="pct"/>
                  <w:vAlign w:val="center"/>
                </w:tcPr>
                <w:p>
                  <w:pPr>
                    <w:pStyle w:val="63"/>
                    <w:rPr>
                      <w:color w:val="auto"/>
                      <w:lang w:eastAsia="zh-CN"/>
                    </w:rPr>
                  </w:pPr>
                  <w:r>
                    <w:rPr>
                      <w:rFonts w:hint="eastAsia"/>
                      <w:color w:val="auto"/>
                      <w:lang w:val="en-US" w:eastAsia="zh-CN"/>
                    </w:rPr>
                    <w:t>1</w:t>
                  </w:r>
                  <w:r>
                    <w:rPr>
                      <w:color w:val="auto"/>
                      <w:lang w:val="en-US" w:eastAsia="zh-CN"/>
                    </w:rPr>
                    <w:t>1556</w:t>
                  </w:r>
                  <w:r>
                    <w:rPr>
                      <w:rFonts w:hint="eastAsia"/>
                      <w:color w:val="auto"/>
                      <w:lang w:eastAsia="zh-CN"/>
                    </w:rPr>
                    <w:t>万</w:t>
                  </w:r>
                </w:p>
              </w:tc>
              <w:tc>
                <w:tcPr>
                  <w:tcW w:w="391" w:type="pct"/>
                  <w:vAlign w:val="center"/>
                </w:tcPr>
                <w:p>
                  <w:pPr>
                    <w:pStyle w:val="63"/>
                    <w:rPr>
                      <w:color w:val="auto"/>
                    </w:rPr>
                  </w:pPr>
                  <w:r>
                    <w:rPr>
                      <w:color w:val="auto"/>
                    </w:rPr>
                    <w:t>18</w:t>
                  </w:r>
                </w:p>
              </w:tc>
              <w:tc>
                <w:tcPr>
                  <w:tcW w:w="351" w:type="pct"/>
                  <w:vAlign w:val="center"/>
                </w:tcPr>
                <w:p>
                  <w:pPr>
                    <w:pStyle w:val="63"/>
                    <w:rPr>
                      <w:color w:val="auto"/>
                    </w:rPr>
                  </w:pPr>
                  <w:r>
                    <w:rPr>
                      <w:color w:val="auto"/>
                    </w:rPr>
                    <w:t>0.8</w:t>
                  </w:r>
                </w:p>
              </w:tc>
              <w:tc>
                <w:tcPr>
                  <w:tcW w:w="316" w:type="pct"/>
                  <w:vAlign w:val="center"/>
                </w:tcPr>
                <w:p>
                  <w:pPr>
                    <w:pStyle w:val="63"/>
                    <w:rPr>
                      <w:color w:val="auto"/>
                    </w:rPr>
                  </w:pPr>
                  <w:r>
                    <w:rPr>
                      <w:color w:val="auto"/>
                    </w:rPr>
                    <w:t>300</w:t>
                  </w:r>
                </w:p>
              </w:tc>
              <w:tc>
                <w:tcPr>
                  <w:tcW w:w="318" w:type="pct"/>
                  <w:vAlign w:val="center"/>
                </w:tcPr>
                <w:p>
                  <w:pPr>
                    <w:pStyle w:val="63"/>
                    <w:rPr>
                      <w:color w:val="auto"/>
                    </w:rPr>
                  </w:pPr>
                  <w:r>
                    <w:rPr>
                      <w:rFonts w:hint="eastAsia"/>
                      <w:color w:val="auto"/>
                    </w:rPr>
                    <w:t>一般</w:t>
                  </w:r>
                  <w:r>
                    <w:rPr>
                      <w:color w:val="auto"/>
                    </w:rPr>
                    <w:t>排放口</w:t>
                  </w:r>
                </w:p>
              </w:tc>
              <w:tc>
                <w:tcPr>
                  <w:tcW w:w="475" w:type="pct"/>
                  <w:vAlign w:val="center"/>
                </w:tcPr>
                <w:p>
                  <w:pPr>
                    <w:pStyle w:val="63"/>
                    <w:rPr>
                      <w:color w:val="auto"/>
                      <w:lang w:eastAsia="zh-CN"/>
                    </w:rPr>
                  </w:pPr>
                  <w:r>
                    <w:rPr>
                      <w:rFonts w:hint="eastAsia"/>
                      <w:color w:val="auto"/>
                      <w:lang w:eastAsia="zh-CN"/>
                    </w:rPr>
                    <w:t>颗粒物</w:t>
                  </w:r>
                </w:p>
                <w:p>
                  <w:pPr>
                    <w:pStyle w:val="63"/>
                    <w:rPr>
                      <w:color w:val="auto"/>
                      <w:lang w:eastAsia="zh-CN"/>
                    </w:rPr>
                  </w:pPr>
                  <w:r>
                    <w:rPr>
                      <w:color w:val="auto"/>
                      <w:lang w:eastAsia="zh-CN"/>
                    </w:rPr>
                    <w:t>SO</w:t>
                  </w:r>
                  <w:r>
                    <w:rPr>
                      <w:color w:val="auto"/>
                      <w:vertAlign w:val="subscript"/>
                      <w:lang w:eastAsia="zh-CN"/>
                    </w:rPr>
                    <w:t>2</w:t>
                  </w:r>
                </w:p>
                <w:p>
                  <w:pPr>
                    <w:pStyle w:val="63"/>
                    <w:rPr>
                      <w:color w:val="auto"/>
                      <w:lang w:eastAsia="zh-CN"/>
                    </w:rPr>
                  </w:pPr>
                  <w:r>
                    <w:rPr>
                      <w:color w:val="auto"/>
                      <w:lang w:eastAsia="zh-CN"/>
                    </w:rPr>
                    <w:t>NOx</w:t>
                  </w:r>
                </w:p>
              </w:tc>
              <w:tc>
                <w:tcPr>
                  <w:tcW w:w="795" w:type="pct"/>
                  <w:vAlign w:val="center"/>
                </w:tcPr>
                <w:p>
                  <w:pPr>
                    <w:pStyle w:val="63"/>
                    <w:rPr>
                      <w:color w:val="auto"/>
                    </w:rPr>
                  </w:pPr>
                  <w:r>
                    <w:rPr>
                      <w:color w:val="auto"/>
                    </w:rPr>
                    <w:t>104°3′40.68361″</w:t>
                  </w:r>
                </w:p>
                <w:p>
                  <w:pPr>
                    <w:pStyle w:val="63"/>
                    <w:rPr>
                      <w:color w:val="auto"/>
                    </w:rPr>
                  </w:pPr>
                  <w:r>
                    <w:rPr>
                      <w:color w:val="auto"/>
                    </w:rPr>
                    <w:t>24°47′56.42947″</w:t>
                  </w:r>
                </w:p>
              </w:tc>
              <w:tc>
                <w:tcPr>
                  <w:tcW w:w="1290" w:type="pct"/>
                  <w:vAlign w:val="center"/>
                </w:tcPr>
                <w:p>
                  <w:pPr>
                    <w:pStyle w:val="63"/>
                    <w:rPr>
                      <w:color w:val="auto"/>
                    </w:rPr>
                  </w:pPr>
                  <w:r>
                    <w:rPr>
                      <w:color w:val="auto"/>
                    </w:rPr>
                    <w:t>《轧钢工业大气污染物排放标准》</w:t>
                  </w:r>
                </w:p>
                <w:p>
                  <w:pPr>
                    <w:pStyle w:val="63"/>
                    <w:rPr>
                      <w:color w:val="auto"/>
                      <w:lang w:eastAsia="zh-CN"/>
                    </w:rPr>
                  </w:pPr>
                  <w:r>
                    <w:rPr>
                      <w:color w:val="auto"/>
                    </w:rPr>
                    <w:t>（GB28665-2012）</w:t>
                  </w:r>
                  <w:r>
                    <w:rPr>
                      <w:rFonts w:hint="eastAsia"/>
                      <w:color w:val="auto"/>
                    </w:rPr>
                    <w:t>及其修改单</w:t>
                  </w:r>
                </w:p>
              </w:tc>
            </w:tr>
          </w:tbl>
          <w:p>
            <w:pPr>
              <w:pStyle w:val="63"/>
              <w:rPr>
                <w:color w:val="auto"/>
              </w:rPr>
            </w:pPr>
            <w:r>
              <w:rPr>
                <w:rFonts w:hint="eastAsia"/>
                <w:color w:val="auto"/>
              </w:rPr>
              <w:t xml:space="preserve"> </w:t>
            </w:r>
            <w:r>
              <w:rPr>
                <w:color w:val="auto"/>
              </w:rPr>
              <w:t xml:space="preserve"> </w:t>
            </w:r>
          </w:p>
          <w:p>
            <w:pPr>
              <w:pStyle w:val="63"/>
              <w:rPr>
                <w:color w:val="auto"/>
              </w:rPr>
            </w:pPr>
            <w:r>
              <w:rPr>
                <w:color w:val="auto"/>
              </w:rPr>
              <w:t xml:space="preserve"> </w:t>
            </w:r>
          </w:p>
          <w:p>
            <w:pPr>
              <w:pStyle w:val="63"/>
              <w:rPr>
                <w:color w:val="auto"/>
              </w:rPr>
            </w:pPr>
          </w:p>
          <w:p>
            <w:pPr>
              <w:pStyle w:val="63"/>
              <w:rPr>
                <w:color w:val="auto"/>
              </w:rPr>
            </w:pPr>
          </w:p>
          <w:p>
            <w:pPr>
              <w:pStyle w:val="63"/>
              <w:rPr>
                <w:color w:val="auto"/>
              </w:rPr>
            </w:pPr>
          </w:p>
          <w:p>
            <w:pPr>
              <w:pStyle w:val="63"/>
              <w:rPr>
                <w:color w:val="auto"/>
              </w:rPr>
            </w:pPr>
            <w:r>
              <w:rPr>
                <w:rFonts w:hint="eastAsia"/>
                <w:color w:val="auto"/>
              </w:rPr>
              <w:t xml:space="preserve"> </w:t>
            </w:r>
            <w:r>
              <w:rPr>
                <w:color w:val="auto"/>
              </w:rPr>
              <w:t xml:space="preserve"> </w:t>
            </w:r>
          </w:p>
        </w:tc>
      </w:tr>
    </w:tbl>
    <w:p>
      <w:pPr>
        <w:ind w:firstLine="560"/>
        <w:jc w:val="center"/>
        <w:rPr>
          <w:rFonts w:ascii="宋体" w:cs="宋体"/>
          <w:color w:val="auto"/>
          <w:sz w:val="28"/>
          <w:szCs w:val="28"/>
        </w:rPr>
      </w:pPr>
      <w:r>
        <w:rPr>
          <w:rFonts w:ascii="宋体" w:cs="宋体"/>
          <w:color w:val="auto"/>
          <w:sz w:val="28"/>
          <w:szCs w:val="28"/>
        </w:rPr>
        <w:br w:type="page"/>
      </w:r>
    </w:p>
    <w:p>
      <w:pPr>
        <w:ind w:firstLine="560"/>
        <w:rPr>
          <w:rFonts w:ascii="宋体" w:cs="宋体"/>
          <w:color w:val="auto"/>
          <w:sz w:val="28"/>
          <w:szCs w:val="28"/>
        </w:rPr>
        <w:sectPr>
          <w:pgSz w:w="16840" w:h="11907" w:orient="landscape"/>
          <w:pgMar w:top="1800" w:right="1440" w:bottom="1800" w:left="1440" w:header="850" w:footer="850" w:gutter="0"/>
          <w:cols w:space="720" w:num="1"/>
          <w:docGrid w:linePitch="326" w:charSpace="0"/>
        </w:sectPr>
      </w:pP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8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 w:type="pct"/>
            <w:vAlign w:val="center"/>
          </w:tcPr>
          <w:p>
            <w:pPr>
              <w:adjustRightInd w:val="0"/>
              <w:snapToGrid w:val="0"/>
              <w:ind w:firstLine="0" w:firstLineChars="0"/>
              <w:jc w:val="center"/>
              <w:rPr>
                <w:rFonts w:ascii="宋体" w:cs="宋体"/>
                <w:b/>
                <w:color w:val="auto"/>
                <w:kern w:val="0"/>
                <w:sz w:val="28"/>
                <w:szCs w:val="28"/>
              </w:rPr>
            </w:pPr>
            <w:r>
              <w:rPr>
                <w:rFonts w:hint="eastAsia" w:ascii="宋体" w:hAnsi="宋体" w:cs="宋体"/>
                <w:bCs/>
                <w:color w:val="auto"/>
                <w:szCs w:val="21"/>
              </w:rPr>
              <w:t>运营期环境影响和保护措施</w:t>
            </w:r>
          </w:p>
        </w:tc>
        <w:tc>
          <w:tcPr>
            <w:tcW w:w="4769" w:type="pct"/>
          </w:tcPr>
          <w:p>
            <w:pPr>
              <w:pStyle w:val="70"/>
              <w:rPr>
                <w:color w:val="auto"/>
              </w:rPr>
            </w:pPr>
            <w:r>
              <w:rPr>
                <w:color w:val="auto"/>
              </w:rPr>
              <w:t>4.2.1.4废气监测计划</w:t>
            </w:r>
          </w:p>
          <w:p>
            <w:pPr>
              <w:ind w:firstLine="480"/>
              <w:rPr>
                <w:color w:val="auto"/>
              </w:rPr>
            </w:pPr>
            <w:r>
              <w:rPr>
                <w:rFonts w:hint="eastAsia"/>
                <w:color w:val="auto"/>
              </w:rPr>
              <w:t>根据《排污单位自行监测技术指南 钢铁工业及炼焦化学工业》（HJ</w:t>
            </w:r>
            <w:r>
              <w:rPr>
                <w:color w:val="auto"/>
              </w:rPr>
              <w:t>878</w:t>
            </w:r>
            <w:r>
              <w:rPr>
                <w:rFonts w:hint="eastAsia"/>
                <w:color w:val="auto"/>
              </w:rPr>
              <w:t>-2017）表</w:t>
            </w:r>
            <w:r>
              <w:rPr>
                <w:color w:val="auto"/>
              </w:rPr>
              <w:t>1</w:t>
            </w:r>
            <w:r>
              <w:rPr>
                <w:rFonts w:hint="eastAsia"/>
                <w:color w:val="auto"/>
              </w:rPr>
              <w:t>，项目废气监测计划</w:t>
            </w:r>
            <w:r>
              <w:rPr>
                <w:color w:val="auto"/>
              </w:rPr>
              <w:t>见表4.2.1.4-1</w:t>
            </w:r>
            <w:r>
              <w:rPr>
                <w:rFonts w:hint="eastAsia"/>
                <w:color w:val="auto"/>
              </w:rPr>
              <w:t>所示</w:t>
            </w:r>
            <w:r>
              <w:rPr>
                <w:color w:val="auto"/>
              </w:rPr>
              <w:t>。</w:t>
            </w:r>
          </w:p>
          <w:p>
            <w:pPr>
              <w:pStyle w:val="66"/>
              <w:rPr>
                <w:color w:val="auto"/>
              </w:rPr>
            </w:pPr>
            <w:r>
              <w:rPr>
                <w:color w:val="auto"/>
              </w:rPr>
              <w:t>表4.2.1.4-1</w:t>
            </w:r>
            <w:r>
              <w:rPr>
                <w:rFonts w:hint="eastAsia"/>
                <w:color w:val="auto"/>
              </w:rPr>
              <w:t xml:space="preserve"> </w:t>
            </w:r>
            <w:r>
              <w:rPr>
                <w:color w:val="auto"/>
              </w:rPr>
              <w:t>项目废气监测计划一览表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598"/>
              <w:gridCol w:w="838"/>
              <w:gridCol w:w="699"/>
              <w:gridCol w:w="1397"/>
              <w:gridCol w:w="838"/>
              <w:gridCol w:w="1399"/>
              <w:gridCol w:w="213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379" w:type="pct"/>
                  <w:tcBorders>
                    <w:tl2br w:val="nil"/>
                    <w:tr2bl w:val="nil"/>
                  </w:tcBorders>
                  <w:vAlign w:val="center"/>
                </w:tcPr>
                <w:p>
                  <w:pPr>
                    <w:pStyle w:val="63"/>
                    <w:rPr>
                      <w:color w:val="auto"/>
                    </w:rPr>
                  </w:pPr>
                  <w:r>
                    <w:rPr>
                      <w:color w:val="auto"/>
                    </w:rPr>
                    <w:t>监测时段</w:t>
                  </w:r>
                </w:p>
              </w:tc>
              <w:tc>
                <w:tcPr>
                  <w:tcW w:w="530" w:type="pct"/>
                  <w:tcBorders>
                    <w:tl2br w:val="nil"/>
                    <w:tr2bl w:val="nil"/>
                  </w:tcBorders>
                  <w:vAlign w:val="center"/>
                </w:tcPr>
                <w:p>
                  <w:pPr>
                    <w:pStyle w:val="63"/>
                    <w:rPr>
                      <w:color w:val="auto"/>
                    </w:rPr>
                  </w:pPr>
                  <w:r>
                    <w:rPr>
                      <w:color w:val="auto"/>
                    </w:rPr>
                    <w:t>监测点位</w:t>
                  </w:r>
                </w:p>
              </w:tc>
              <w:tc>
                <w:tcPr>
                  <w:tcW w:w="442" w:type="pct"/>
                  <w:tcBorders>
                    <w:tl2br w:val="nil"/>
                    <w:tr2bl w:val="nil"/>
                  </w:tcBorders>
                  <w:vAlign w:val="center"/>
                </w:tcPr>
                <w:p>
                  <w:pPr>
                    <w:pStyle w:val="63"/>
                    <w:rPr>
                      <w:color w:val="auto"/>
                    </w:rPr>
                  </w:pPr>
                  <w:r>
                    <w:rPr>
                      <w:color w:val="auto"/>
                    </w:rPr>
                    <w:t>污染源</w:t>
                  </w:r>
                </w:p>
              </w:tc>
              <w:tc>
                <w:tcPr>
                  <w:tcW w:w="884" w:type="pct"/>
                  <w:tcBorders>
                    <w:tl2br w:val="nil"/>
                    <w:tr2bl w:val="nil"/>
                  </w:tcBorders>
                  <w:vAlign w:val="center"/>
                </w:tcPr>
                <w:p>
                  <w:pPr>
                    <w:pStyle w:val="63"/>
                    <w:rPr>
                      <w:color w:val="auto"/>
                    </w:rPr>
                  </w:pPr>
                  <w:r>
                    <w:rPr>
                      <w:color w:val="auto"/>
                    </w:rPr>
                    <w:t>监测因子</w:t>
                  </w:r>
                </w:p>
              </w:tc>
              <w:tc>
                <w:tcPr>
                  <w:tcW w:w="530" w:type="pct"/>
                  <w:tcBorders>
                    <w:tl2br w:val="nil"/>
                    <w:tr2bl w:val="nil"/>
                  </w:tcBorders>
                  <w:vAlign w:val="center"/>
                </w:tcPr>
                <w:p>
                  <w:pPr>
                    <w:pStyle w:val="63"/>
                    <w:rPr>
                      <w:color w:val="auto"/>
                    </w:rPr>
                  </w:pPr>
                  <w:r>
                    <w:rPr>
                      <w:color w:val="auto"/>
                    </w:rPr>
                    <w:t>监测频率</w:t>
                  </w:r>
                </w:p>
              </w:tc>
              <w:tc>
                <w:tcPr>
                  <w:tcW w:w="885" w:type="pct"/>
                  <w:tcBorders>
                    <w:tl2br w:val="nil"/>
                    <w:tr2bl w:val="nil"/>
                  </w:tcBorders>
                  <w:vAlign w:val="center"/>
                </w:tcPr>
                <w:p>
                  <w:pPr>
                    <w:pStyle w:val="63"/>
                    <w:rPr>
                      <w:color w:val="auto"/>
                    </w:rPr>
                  </w:pPr>
                  <w:r>
                    <w:rPr>
                      <w:color w:val="auto"/>
                    </w:rPr>
                    <w:t>类型</w:t>
                  </w:r>
                </w:p>
              </w:tc>
              <w:tc>
                <w:tcPr>
                  <w:tcW w:w="1350" w:type="pct"/>
                  <w:tcBorders>
                    <w:tl2br w:val="nil"/>
                    <w:tr2bl w:val="nil"/>
                  </w:tcBorders>
                  <w:vAlign w:val="center"/>
                </w:tcPr>
                <w:p>
                  <w:pPr>
                    <w:pStyle w:val="63"/>
                    <w:rPr>
                      <w:color w:val="auto"/>
                    </w:rPr>
                  </w:pPr>
                  <w:r>
                    <w:rPr>
                      <w:rFonts w:hint="eastAsia"/>
                      <w:color w:val="auto"/>
                    </w:rPr>
                    <w:t>执行标准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379" w:type="pct"/>
                  <w:vMerge w:val="restart"/>
                  <w:tcBorders>
                    <w:tl2br w:val="nil"/>
                    <w:tr2bl w:val="nil"/>
                  </w:tcBorders>
                  <w:vAlign w:val="center"/>
                </w:tcPr>
                <w:p>
                  <w:pPr>
                    <w:pStyle w:val="63"/>
                    <w:rPr>
                      <w:color w:val="auto"/>
                    </w:rPr>
                  </w:pPr>
                  <w:r>
                    <w:rPr>
                      <w:rFonts w:hint="eastAsia"/>
                      <w:color w:val="auto"/>
                    </w:rPr>
                    <w:t>运营期</w:t>
                  </w:r>
                </w:p>
              </w:tc>
              <w:tc>
                <w:tcPr>
                  <w:tcW w:w="530" w:type="pct"/>
                  <w:vMerge w:val="restart"/>
                  <w:tcBorders>
                    <w:tl2br w:val="nil"/>
                    <w:tr2bl w:val="nil"/>
                  </w:tcBorders>
                  <w:vAlign w:val="center"/>
                </w:tcPr>
                <w:p>
                  <w:pPr>
                    <w:pStyle w:val="63"/>
                    <w:rPr>
                      <w:color w:val="auto"/>
                      <w:lang w:eastAsia="zh-CN"/>
                    </w:rPr>
                  </w:pPr>
                  <w:r>
                    <w:rPr>
                      <w:rFonts w:hint="eastAsia"/>
                      <w:color w:val="auto"/>
                      <w:lang w:eastAsia="zh-CN"/>
                    </w:rPr>
                    <w:t>D</w:t>
                  </w:r>
                  <w:r>
                    <w:rPr>
                      <w:color w:val="auto"/>
                      <w:lang w:eastAsia="zh-CN"/>
                    </w:rPr>
                    <w:t>A003</w:t>
                  </w:r>
                </w:p>
              </w:tc>
              <w:tc>
                <w:tcPr>
                  <w:tcW w:w="442" w:type="pct"/>
                  <w:vMerge w:val="restart"/>
                  <w:tcBorders>
                    <w:tl2br w:val="nil"/>
                    <w:tr2bl w:val="nil"/>
                  </w:tcBorders>
                  <w:vAlign w:val="center"/>
                </w:tcPr>
                <w:p>
                  <w:pPr>
                    <w:pStyle w:val="63"/>
                    <w:rPr>
                      <w:color w:val="auto"/>
                    </w:rPr>
                  </w:pPr>
                  <w:r>
                    <w:rPr>
                      <w:rFonts w:hint="eastAsia"/>
                      <w:color w:val="auto"/>
                      <w:lang w:eastAsia="zh-CN"/>
                    </w:rPr>
                    <w:t>热退火炉</w:t>
                  </w:r>
                </w:p>
              </w:tc>
              <w:tc>
                <w:tcPr>
                  <w:tcW w:w="884" w:type="pct"/>
                  <w:tcBorders>
                    <w:tl2br w:val="nil"/>
                    <w:tr2bl w:val="nil"/>
                  </w:tcBorders>
                  <w:vAlign w:val="center"/>
                </w:tcPr>
                <w:p>
                  <w:pPr>
                    <w:pStyle w:val="63"/>
                    <w:rPr>
                      <w:color w:val="auto"/>
                    </w:rPr>
                  </w:pPr>
                  <w:r>
                    <w:rPr>
                      <w:rFonts w:hint="eastAsia"/>
                      <w:color w:val="auto"/>
                      <w:lang w:eastAsia="zh-CN"/>
                    </w:rPr>
                    <w:t>颗粒物</w:t>
                  </w:r>
                </w:p>
              </w:tc>
              <w:tc>
                <w:tcPr>
                  <w:tcW w:w="530" w:type="pct"/>
                  <w:tcBorders>
                    <w:tl2br w:val="nil"/>
                    <w:tr2bl w:val="nil"/>
                  </w:tcBorders>
                  <w:vAlign w:val="center"/>
                </w:tcPr>
                <w:p>
                  <w:pPr>
                    <w:pStyle w:val="63"/>
                    <w:rPr>
                      <w:color w:val="auto"/>
                    </w:rPr>
                  </w:pPr>
                  <w:r>
                    <w:rPr>
                      <w:rFonts w:hint="eastAsia"/>
                      <w:color w:val="auto"/>
                      <w:lang w:eastAsia="zh-CN"/>
                    </w:rPr>
                    <w:t>1次/季度</w:t>
                  </w:r>
                </w:p>
              </w:tc>
              <w:tc>
                <w:tcPr>
                  <w:tcW w:w="885" w:type="pct"/>
                  <w:tcBorders>
                    <w:tl2br w:val="nil"/>
                    <w:tr2bl w:val="nil"/>
                  </w:tcBorders>
                  <w:vAlign w:val="center"/>
                </w:tcPr>
                <w:p>
                  <w:pPr>
                    <w:pStyle w:val="63"/>
                    <w:rPr>
                      <w:color w:val="auto"/>
                    </w:rPr>
                  </w:pPr>
                  <w:r>
                    <w:rPr>
                      <w:color w:val="auto"/>
                      <w:lang w:val="en-US"/>
                    </w:rPr>
                    <w:sym w:font="Wingdings 2" w:char="00A3"/>
                  </w:r>
                  <w:r>
                    <w:rPr>
                      <w:color w:val="auto"/>
                      <w:lang w:val="en-US"/>
                    </w:rPr>
                    <w:t>自动</w:t>
                  </w:r>
                  <w:r>
                    <w:rPr>
                      <w:color w:val="auto"/>
                      <w:lang w:val="en-US"/>
                    </w:rPr>
                    <w:sym w:font="Wingdings 2" w:char="0052"/>
                  </w:r>
                  <w:r>
                    <w:rPr>
                      <w:color w:val="auto"/>
                      <w:lang w:val="en-US"/>
                    </w:rPr>
                    <w:t>手工</w:t>
                  </w:r>
                </w:p>
              </w:tc>
              <w:tc>
                <w:tcPr>
                  <w:tcW w:w="1350" w:type="pct"/>
                  <w:vMerge w:val="restart"/>
                  <w:tcBorders>
                    <w:tl2br w:val="nil"/>
                    <w:tr2bl w:val="nil"/>
                  </w:tcBorders>
                  <w:vAlign w:val="center"/>
                </w:tcPr>
                <w:p>
                  <w:pPr>
                    <w:pStyle w:val="63"/>
                    <w:rPr>
                      <w:color w:val="auto"/>
                    </w:rPr>
                  </w:pPr>
                  <w:r>
                    <w:rPr>
                      <w:color w:val="auto"/>
                    </w:rPr>
                    <w:t>《轧钢工业大气污染物排放标准》（GB28665-2012）</w:t>
                  </w:r>
                  <w:r>
                    <w:rPr>
                      <w:rFonts w:hint="eastAsia"/>
                      <w:color w:val="auto"/>
                    </w:rPr>
                    <w:t>及其修改单</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379" w:type="pct"/>
                  <w:vMerge w:val="continue"/>
                  <w:tcBorders>
                    <w:tl2br w:val="nil"/>
                    <w:tr2bl w:val="nil"/>
                  </w:tcBorders>
                  <w:vAlign w:val="center"/>
                </w:tcPr>
                <w:p>
                  <w:pPr>
                    <w:pStyle w:val="63"/>
                    <w:rPr>
                      <w:color w:val="auto"/>
                    </w:rPr>
                  </w:pPr>
                </w:p>
              </w:tc>
              <w:tc>
                <w:tcPr>
                  <w:tcW w:w="530" w:type="pct"/>
                  <w:vMerge w:val="continue"/>
                  <w:tcBorders>
                    <w:tl2br w:val="nil"/>
                    <w:tr2bl w:val="nil"/>
                  </w:tcBorders>
                  <w:vAlign w:val="center"/>
                </w:tcPr>
                <w:p>
                  <w:pPr>
                    <w:pStyle w:val="63"/>
                    <w:rPr>
                      <w:color w:val="auto"/>
                      <w:lang w:eastAsia="zh-CN"/>
                    </w:rPr>
                  </w:pPr>
                </w:p>
              </w:tc>
              <w:tc>
                <w:tcPr>
                  <w:tcW w:w="442" w:type="pct"/>
                  <w:vMerge w:val="continue"/>
                  <w:tcBorders>
                    <w:tl2br w:val="nil"/>
                    <w:tr2bl w:val="nil"/>
                  </w:tcBorders>
                  <w:vAlign w:val="center"/>
                </w:tcPr>
                <w:p>
                  <w:pPr>
                    <w:pStyle w:val="63"/>
                    <w:rPr>
                      <w:color w:val="auto"/>
                      <w:lang w:eastAsia="zh-CN"/>
                    </w:rPr>
                  </w:pPr>
                </w:p>
              </w:tc>
              <w:tc>
                <w:tcPr>
                  <w:tcW w:w="884" w:type="pct"/>
                  <w:tcBorders>
                    <w:tl2br w:val="nil"/>
                    <w:tr2bl w:val="nil"/>
                  </w:tcBorders>
                  <w:vAlign w:val="center"/>
                </w:tcPr>
                <w:p>
                  <w:pPr>
                    <w:pStyle w:val="63"/>
                    <w:rPr>
                      <w:color w:val="auto"/>
                      <w:lang w:eastAsia="zh-CN"/>
                    </w:rPr>
                  </w:pPr>
                  <w:r>
                    <w:rPr>
                      <w:rFonts w:hint="eastAsia"/>
                      <w:color w:val="auto"/>
                      <w:lang w:eastAsia="zh-CN"/>
                    </w:rPr>
                    <w:t>S</w:t>
                  </w:r>
                  <w:r>
                    <w:rPr>
                      <w:color w:val="auto"/>
                      <w:lang w:eastAsia="zh-CN"/>
                    </w:rPr>
                    <w:t>O</w:t>
                  </w:r>
                  <w:r>
                    <w:rPr>
                      <w:color w:val="auto"/>
                      <w:vertAlign w:val="subscript"/>
                      <w:lang w:eastAsia="zh-CN"/>
                    </w:rPr>
                    <w:t>2</w:t>
                  </w:r>
                </w:p>
              </w:tc>
              <w:tc>
                <w:tcPr>
                  <w:tcW w:w="530" w:type="pct"/>
                  <w:tcBorders>
                    <w:tl2br w:val="nil"/>
                    <w:tr2bl w:val="nil"/>
                  </w:tcBorders>
                  <w:vAlign w:val="center"/>
                </w:tcPr>
                <w:p>
                  <w:pPr>
                    <w:pStyle w:val="63"/>
                    <w:rPr>
                      <w:color w:val="auto"/>
                    </w:rPr>
                  </w:pPr>
                  <w:r>
                    <w:rPr>
                      <w:rFonts w:hint="eastAsia"/>
                      <w:color w:val="auto"/>
                      <w:lang w:eastAsia="zh-CN"/>
                    </w:rPr>
                    <w:t>1次/季度</w:t>
                  </w:r>
                </w:p>
              </w:tc>
              <w:tc>
                <w:tcPr>
                  <w:tcW w:w="885" w:type="pct"/>
                  <w:tcBorders>
                    <w:tl2br w:val="nil"/>
                    <w:tr2bl w:val="nil"/>
                  </w:tcBorders>
                  <w:vAlign w:val="center"/>
                </w:tcPr>
                <w:p>
                  <w:pPr>
                    <w:pStyle w:val="63"/>
                    <w:rPr>
                      <w:color w:val="auto"/>
                      <w:lang w:val="en-US"/>
                    </w:rPr>
                  </w:pPr>
                  <w:r>
                    <w:rPr>
                      <w:color w:val="auto"/>
                      <w:lang w:val="en-US"/>
                    </w:rPr>
                    <w:sym w:font="Wingdings 2" w:char="00A3"/>
                  </w:r>
                  <w:r>
                    <w:rPr>
                      <w:color w:val="auto"/>
                      <w:lang w:val="en-US"/>
                    </w:rPr>
                    <w:t>自动</w:t>
                  </w:r>
                  <w:r>
                    <w:rPr>
                      <w:color w:val="auto"/>
                      <w:lang w:val="en-US"/>
                    </w:rPr>
                    <w:sym w:font="Wingdings 2" w:char="0052"/>
                  </w:r>
                  <w:r>
                    <w:rPr>
                      <w:color w:val="auto"/>
                      <w:lang w:val="en-US"/>
                    </w:rPr>
                    <w:t>手工</w:t>
                  </w:r>
                </w:p>
              </w:tc>
              <w:tc>
                <w:tcPr>
                  <w:tcW w:w="1350" w:type="pct"/>
                  <w:vMerge w:val="continue"/>
                  <w:tcBorders>
                    <w:tl2br w:val="nil"/>
                    <w:tr2bl w:val="nil"/>
                  </w:tcBorders>
                  <w:vAlign w:val="center"/>
                </w:tcPr>
                <w:p>
                  <w:pPr>
                    <w:pStyle w:val="63"/>
                    <w:rPr>
                      <w:bCs/>
                      <w:color w:val="auto"/>
                      <w:lang w:val="en-US"/>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379" w:type="pct"/>
                  <w:vMerge w:val="continue"/>
                  <w:tcBorders>
                    <w:tl2br w:val="nil"/>
                    <w:tr2bl w:val="nil"/>
                  </w:tcBorders>
                  <w:vAlign w:val="center"/>
                </w:tcPr>
                <w:p>
                  <w:pPr>
                    <w:pStyle w:val="63"/>
                    <w:rPr>
                      <w:color w:val="auto"/>
                    </w:rPr>
                  </w:pPr>
                </w:p>
              </w:tc>
              <w:tc>
                <w:tcPr>
                  <w:tcW w:w="530" w:type="pct"/>
                  <w:vMerge w:val="continue"/>
                  <w:tcBorders>
                    <w:tl2br w:val="nil"/>
                    <w:tr2bl w:val="nil"/>
                  </w:tcBorders>
                  <w:vAlign w:val="center"/>
                </w:tcPr>
                <w:p>
                  <w:pPr>
                    <w:pStyle w:val="63"/>
                    <w:rPr>
                      <w:color w:val="auto"/>
                      <w:lang w:eastAsia="zh-CN"/>
                    </w:rPr>
                  </w:pPr>
                </w:p>
              </w:tc>
              <w:tc>
                <w:tcPr>
                  <w:tcW w:w="442" w:type="pct"/>
                  <w:vMerge w:val="continue"/>
                  <w:tcBorders>
                    <w:tl2br w:val="nil"/>
                    <w:tr2bl w:val="nil"/>
                  </w:tcBorders>
                  <w:vAlign w:val="center"/>
                </w:tcPr>
                <w:p>
                  <w:pPr>
                    <w:pStyle w:val="63"/>
                    <w:rPr>
                      <w:color w:val="auto"/>
                      <w:lang w:eastAsia="zh-CN"/>
                    </w:rPr>
                  </w:pPr>
                </w:p>
              </w:tc>
              <w:tc>
                <w:tcPr>
                  <w:tcW w:w="884" w:type="pct"/>
                  <w:tcBorders>
                    <w:tl2br w:val="nil"/>
                    <w:tr2bl w:val="nil"/>
                  </w:tcBorders>
                  <w:vAlign w:val="center"/>
                </w:tcPr>
                <w:p>
                  <w:pPr>
                    <w:pStyle w:val="63"/>
                    <w:rPr>
                      <w:color w:val="auto"/>
                      <w:lang w:eastAsia="zh-CN"/>
                    </w:rPr>
                  </w:pPr>
                  <w:r>
                    <w:rPr>
                      <w:rFonts w:hint="eastAsia"/>
                      <w:color w:val="auto"/>
                      <w:lang w:eastAsia="zh-CN"/>
                    </w:rPr>
                    <w:t>N</w:t>
                  </w:r>
                  <w:r>
                    <w:rPr>
                      <w:color w:val="auto"/>
                      <w:lang w:eastAsia="zh-CN"/>
                    </w:rPr>
                    <w:t>O</w:t>
                  </w:r>
                  <w:r>
                    <w:rPr>
                      <w:rFonts w:hint="eastAsia"/>
                      <w:color w:val="auto"/>
                      <w:lang w:eastAsia="zh-CN"/>
                    </w:rPr>
                    <w:t>x</w:t>
                  </w:r>
                </w:p>
              </w:tc>
              <w:tc>
                <w:tcPr>
                  <w:tcW w:w="530" w:type="pct"/>
                  <w:tcBorders>
                    <w:tl2br w:val="nil"/>
                    <w:tr2bl w:val="nil"/>
                  </w:tcBorders>
                  <w:vAlign w:val="center"/>
                </w:tcPr>
                <w:p>
                  <w:pPr>
                    <w:pStyle w:val="63"/>
                    <w:rPr>
                      <w:color w:val="auto"/>
                    </w:rPr>
                  </w:pPr>
                  <w:r>
                    <w:rPr>
                      <w:rFonts w:hint="eastAsia"/>
                      <w:color w:val="auto"/>
                      <w:lang w:eastAsia="zh-CN"/>
                    </w:rPr>
                    <w:t>1次/季度</w:t>
                  </w:r>
                </w:p>
              </w:tc>
              <w:tc>
                <w:tcPr>
                  <w:tcW w:w="885" w:type="pct"/>
                  <w:tcBorders>
                    <w:tl2br w:val="nil"/>
                    <w:tr2bl w:val="nil"/>
                  </w:tcBorders>
                  <w:vAlign w:val="center"/>
                </w:tcPr>
                <w:p>
                  <w:pPr>
                    <w:pStyle w:val="63"/>
                    <w:rPr>
                      <w:color w:val="auto"/>
                      <w:lang w:val="en-US"/>
                    </w:rPr>
                  </w:pPr>
                  <w:r>
                    <w:rPr>
                      <w:color w:val="auto"/>
                      <w:lang w:val="en-US"/>
                    </w:rPr>
                    <w:sym w:font="Wingdings 2" w:char="00A3"/>
                  </w:r>
                  <w:r>
                    <w:rPr>
                      <w:color w:val="auto"/>
                      <w:lang w:val="en-US"/>
                    </w:rPr>
                    <w:t>自动</w:t>
                  </w:r>
                  <w:r>
                    <w:rPr>
                      <w:color w:val="auto"/>
                      <w:lang w:val="en-US"/>
                    </w:rPr>
                    <w:sym w:font="Wingdings 2" w:char="0052"/>
                  </w:r>
                  <w:r>
                    <w:rPr>
                      <w:color w:val="auto"/>
                      <w:lang w:val="en-US"/>
                    </w:rPr>
                    <w:t>手工</w:t>
                  </w:r>
                </w:p>
              </w:tc>
              <w:tc>
                <w:tcPr>
                  <w:tcW w:w="1350" w:type="pct"/>
                  <w:vMerge w:val="continue"/>
                  <w:tcBorders>
                    <w:tl2br w:val="nil"/>
                    <w:tr2bl w:val="nil"/>
                  </w:tcBorders>
                  <w:vAlign w:val="center"/>
                </w:tcPr>
                <w:p>
                  <w:pPr>
                    <w:pStyle w:val="63"/>
                    <w:rPr>
                      <w:bCs/>
                      <w:color w:val="auto"/>
                      <w:lang w:val="en-US"/>
                    </w:rPr>
                  </w:pPr>
                </w:p>
              </w:tc>
            </w:tr>
          </w:tbl>
          <w:p>
            <w:pPr>
              <w:pStyle w:val="63"/>
              <w:rPr>
                <w:color w:val="auto"/>
              </w:rPr>
            </w:pPr>
          </w:p>
          <w:p>
            <w:pPr>
              <w:pStyle w:val="70"/>
              <w:rPr>
                <w:color w:val="auto"/>
              </w:rPr>
            </w:pPr>
            <w:r>
              <w:rPr>
                <w:rFonts w:hint="eastAsia"/>
                <w:color w:val="auto"/>
              </w:rPr>
              <w:t>4.2.1.</w:t>
            </w:r>
            <w:r>
              <w:rPr>
                <w:color w:val="auto"/>
              </w:rPr>
              <w:t>5</w:t>
            </w:r>
            <w:r>
              <w:rPr>
                <w:rFonts w:hint="eastAsia"/>
                <w:color w:val="auto"/>
              </w:rPr>
              <w:t>源强核算过程</w:t>
            </w:r>
          </w:p>
          <w:p>
            <w:pPr>
              <w:pStyle w:val="80"/>
              <w:ind w:firstLine="482"/>
              <w:rPr>
                <w:color w:val="auto"/>
              </w:rPr>
            </w:pPr>
            <w:r>
              <w:rPr>
                <w:rFonts w:hint="eastAsia"/>
                <w:color w:val="auto"/>
              </w:rPr>
              <w:t>1</w:t>
            </w:r>
            <w:r>
              <w:rPr>
                <w:color w:val="auto"/>
              </w:rPr>
              <w:t>.</w:t>
            </w:r>
            <w:r>
              <w:rPr>
                <w:rFonts w:hint="eastAsia"/>
                <w:color w:val="auto"/>
              </w:rPr>
              <w:t>废气量核算</w:t>
            </w:r>
          </w:p>
          <w:p>
            <w:pPr>
              <w:ind w:firstLine="480"/>
              <w:rPr>
                <w:color w:val="auto"/>
              </w:rPr>
            </w:pPr>
            <w:r>
              <w:rPr>
                <w:rFonts w:hint="eastAsia"/>
                <w:color w:val="auto"/>
              </w:rPr>
              <w:t>天然气燃烧废气量参照《污染源源强核算技术指南 钢铁工业》（HJ885-2018）中附录C进行计算，</w:t>
            </w:r>
            <w:r>
              <w:rPr>
                <w:rFonts w:hint="eastAsia"/>
                <w:color w:val="auto"/>
                <w:lang w:eastAsia="zh-CN"/>
              </w:rPr>
              <w:t>计算公式如下</w:t>
            </w:r>
            <w:r>
              <w:rPr>
                <w:rFonts w:hint="eastAsia"/>
                <w:color w:val="auto"/>
              </w:rPr>
              <w:t>：</w:t>
            </w:r>
          </w:p>
          <w:p>
            <w:pPr>
              <w:ind w:firstLine="480"/>
              <w:rPr>
                <w:color w:val="auto"/>
              </w:rPr>
            </w:pPr>
            <w:r>
              <w:rPr>
                <w:rFonts w:hint="eastAsia"/>
                <w:color w:val="auto"/>
              </w:rPr>
              <w:t>燃气消耗量、组成和空气过剩系数计算废气量时，可按式（C.</w:t>
            </w:r>
            <w:r>
              <w:rPr>
                <w:color w:val="auto"/>
              </w:rPr>
              <w:t>1</w:t>
            </w:r>
            <w:r>
              <w:rPr>
                <w:rFonts w:hint="eastAsia"/>
                <w:color w:val="auto"/>
              </w:rPr>
              <w:t>）计算。</w:t>
            </w:r>
          </w:p>
          <w:p>
            <w:pPr>
              <w:pStyle w:val="63"/>
              <w:rPr>
                <w:color w:val="auto"/>
              </w:rPr>
            </w:pPr>
            <w:r>
              <w:rPr>
                <w:color w:val="auto"/>
                <w:lang w:val="en-US" w:eastAsia="zh-CN"/>
              </w:rPr>
              <w:drawing>
                <wp:inline distT="0" distB="0" distL="0" distR="0">
                  <wp:extent cx="914400" cy="4267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934196" cy="436469"/>
                          </a:xfrm>
                          <a:prstGeom prst="rect">
                            <a:avLst/>
                          </a:prstGeom>
                        </pic:spPr>
                      </pic:pic>
                    </a:graphicData>
                  </a:graphic>
                </wp:inline>
              </w:drawing>
            </w:r>
            <w:r>
              <w:rPr>
                <w:rFonts w:hint="eastAsia"/>
                <w:color w:val="auto"/>
                <w:lang w:eastAsia="zh-CN"/>
              </w:rPr>
              <w:t>（</w:t>
            </w:r>
            <w:r>
              <w:rPr>
                <w:color w:val="auto"/>
                <w:lang w:eastAsia="zh-CN"/>
              </w:rPr>
              <w:t>C</w:t>
            </w:r>
            <w:r>
              <w:rPr>
                <w:rFonts w:hint="eastAsia"/>
                <w:color w:val="auto"/>
                <w:lang w:eastAsia="zh-CN"/>
              </w:rPr>
              <w:t>.1）</w:t>
            </w:r>
          </w:p>
          <w:p>
            <w:pPr>
              <w:ind w:firstLine="480"/>
              <w:rPr>
                <w:color w:val="auto"/>
              </w:rPr>
            </w:pPr>
            <w:r>
              <w:rPr>
                <w:rFonts w:hint="eastAsia"/>
                <w:color w:val="auto"/>
              </w:rPr>
              <w:t>式中：</w:t>
            </w:r>
          </w:p>
          <w:p>
            <w:pPr>
              <w:ind w:firstLine="480"/>
              <w:rPr>
                <w:color w:val="auto"/>
              </w:rPr>
            </w:pPr>
            <w:r>
              <w:rPr>
                <w:rFonts w:hint="eastAsia"/>
                <w:i/>
                <w:color w:val="auto"/>
              </w:rPr>
              <w:t>q</w:t>
            </w:r>
            <w:r>
              <w:rPr>
                <w:rFonts w:hint="eastAsia"/>
                <w:color w:val="auto"/>
              </w:rPr>
              <w:t>——核算时段内标准状态下干烟气量，m</w:t>
            </w:r>
            <w:r>
              <w:rPr>
                <w:rFonts w:hint="eastAsia"/>
                <w:color w:val="auto"/>
                <w:vertAlign w:val="superscript"/>
              </w:rPr>
              <w:t>3</w:t>
            </w:r>
          </w:p>
          <w:p>
            <w:pPr>
              <w:ind w:firstLine="480"/>
              <w:rPr>
                <w:color w:val="auto"/>
              </w:rPr>
            </w:pPr>
            <w:r>
              <w:rPr>
                <w:rFonts w:hint="eastAsia"/>
                <w:i/>
                <w:color w:val="auto"/>
              </w:rPr>
              <w:t>v</w:t>
            </w:r>
            <w:r>
              <w:rPr>
                <w:rFonts w:hint="eastAsia"/>
                <w:color w:val="auto"/>
              </w:rPr>
              <w:t>——标准状态下单位体积气体燃料燃烧产生的干烟气量，m</w:t>
            </w:r>
            <w:r>
              <w:rPr>
                <w:rFonts w:hint="eastAsia"/>
                <w:color w:val="auto"/>
                <w:vertAlign w:val="superscript"/>
              </w:rPr>
              <w:t>3</w:t>
            </w:r>
            <w:r>
              <w:rPr>
                <w:color w:val="auto"/>
              </w:rPr>
              <w:t>/</w:t>
            </w:r>
            <w:r>
              <w:rPr>
                <w:rFonts w:hint="eastAsia"/>
                <w:color w:val="auto"/>
              </w:rPr>
              <w:t>m</w:t>
            </w:r>
            <w:r>
              <w:rPr>
                <w:rFonts w:hint="eastAsia"/>
                <w:color w:val="auto"/>
                <w:vertAlign w:val="superscript"/>
              </w:rPr>
              <w:t>3</w:t>
            </w:r>
            <w:r>
              <w:rPr>
                <w:rFonts w:hint="eastAsia"/>
                <w:color w:val="auto"/>
              </w:rPr>
              <w:t>；</w:t>
            </w:r>
          </w:p>
          <w:p>
            <w:pPr>
              <w:ind w:firstLine="480"/>
              <w:rPr>
                <w:color w:val="auto"/>
              </w:rPr>
            </w:pPr>
            <w:r>
              <w:rPr>
                <w:rFonts w:hint="eastAsia"/>
                <w:i/>
                <w:color w:val="auto"/>
              </w:rPr>
              <w:t>fg</w:t>
            </w:r>
            <w:r>
              <w:rPr>
                <w:rFonts w:hint="eastAsia"/>
                <w:color w:val="auto"/>
              </w:rPr>
              <w:t>——核算时段内燃气的消耗量，m</w:t>
            </w:r>
            <w:r>
              <w:rPr>
                <w:rFonts w:hint="eastAsia"/>
                <w:color w:val="auto"/>
                <w:vertAlign w:val="superscript"/>
              </w:rPr>
              <w:t>3</w:t>
            </w:r>
            <w:r>
              <w:rPr>
                <w:rFonts w:hint="eastAsia"/>
                <w:color w:val="auto"/>
              </w:rPr>
              <w:t>，本项目取1</w:t>
            </w:r>
            <w:r>
              <w:rPr>
                <w:color w:val="auto"/>
              </w:rPr>
              <w:t>0800000</w:t>
            </w:r>
            <w:r>
              <w:rPr>
                <w:rFonts w:hint="eastAsia"/>
                <w:color w:val="auto"/>
              </w:rPr>
              <w:t>m</w:t>
            </w:r>
            <w:r>
              <w:rPr>
                <w:rFonts w:hint="eastAsia"/>
                <w:color w:val="auto"/>
                <w:vertAlign w:val="superscript"/>
              </w:rPr>
              <w:t>3</w:t>
            </w:r>
            <w:r>
              <w:rPr>
                <w:rFonts w:hint="eastAsia"/>
                <w:color w:val="auto"/>
              </w:rPr>
              <w:t>。</w:t>
            </w:r>
          </w:p>
          <w:p>
            <w:pPr>
              <w:ind w:firstLine="480"/>
              <w:rPr>
                <w:color w:val="auto"/>
              </w:rPr>
            </w:pPr>
            <w:r>
              <w:rPr>
                <w:rFonts w:hint="eastAsia"/>
                <w:color w:val="auto"/>
              </w:rPr>
              <w:t>对于标准状态下单位体积气体燃料燃烧产生的干烟气量可接式（C.2）、式（C.3）计算。</w:t>
            </w:r>
          </w:p>
          <w:p>
            <w:pPr>
              <w:pStyle w:val="63"/>
              <w:jc w:val="right"/>
              <w:rPr>
                <w:color w:val="auto"/>
                <w:lang w:eastAsia="zh-CN"/>
              </w:rPr>
            </w:pPr>
            <w:r>
              <w:rPr>
                <w:color w:val="auto"/>
                <w:lang w:val="en-US" w:eastAsia="zh-CN"/>
              </w:rPr>
              <w:drawing>
                <wp:inline distT="0" distB="0" distL="0" distR="0">
                  <wp:extent cx="4597400" cy="6102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4726778" cy="627619"/>
                          </a:xfrm>
                          <a:prstGeom prst="rect">
                            <a:avLst/>
                          </a:prstGeom>
                        </pic:spPr>
                      </pic:pic>
                    </a:graphicData>
                  </a:graphic>
                </wp:inline>
              </w:drawing>
            </w:r>
          </w:p>
          <w:p>
            <w:pPr>
              <w:pStyle w:val="63"/>
              <w:jc w:val="right"/>
              <w:rPr>
                <w:color w:val="auto"/>
              </w:rPr>
            </w:pPr>
            <w:r>
              <w:rPr>
                <w:rFonts w:hint="eastAsia"/>
                <w:color w:val="auto"/>
                <w:lang w:eastAsia="zh-CN"/>
              </w:rPr>
              <w:t>（</w:t>
            </w:r>
            <w:r>
              <w:rPr>
                <w:color w:val="auto"/>
                <w:lang w:eastAsia="zh-CN"/>
              </w:rPr>
              <w:t>C</w:t>
            </w:r>
            <w:r>
              <w:rPr>
                <w:rFonts w:hint="eastAsia"/>
                <w:color w:val="auto"/>
                <w:lang w:eastAsia="zh-CN"/>
              </w:rPr>
              <w:t>.</w:t>
            </w:r>
            <w:r>
              <w:rPr>
                <w:color w:val="auto"/>
                <w:lang w:eastAsia="zh-CN"/>
              </w:rPr>
              <w:t>2</w:t>
            </w:r>
            <w:r>
              <w:rPr>
                <w:rFonts w:hint="eastAsia"/>
                <w:color w:val="auto"/>
                <w:lang w:eastAsia="zh-CN"/>
              </w:rPr>
              <w:t>）</w:t>
            </w:r>
          </w:p>
          <w:p>
            <w:pPr>
              <w:pStyle w:val="63"/>
              <w:rPr>
                <w:color w:val="auto"/>
              </w:rPr>
            </w:pPr>
          </w:p>
          <w:p>
            <w:pPr>
              <w:pStyle w:val="63"/>
              <w:jc w:val="right"/>
              <w:rPr>
                <w:color w:val="auto"/>
                <w:lang w:eastAsia="zh-CN"/>
              </w:rPr>
            </w:pPr>
            <w:r>
              <w:rPr>
                <w:color w:val="auto"/>
                <w:lang w:val="en-US" w:eastAsia="zh-CN"/>
              </w:rPr>
              <w:drawing>
                <wp:inline distT="0" distB="0" distL="0" distR="0">
                  <wp:extent cx="4787900" cy="498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4887831" cy="508965"/>
                          </a:xfrm>
                          <a:prstGeom prst="rect">
                            <a:avLst/>
                          </a:prstGeom>
                        </pic:spPr>
                      </pic:pic>
                    </a:graphicData>
                  </a:graphic>
                </wp:inline>
              </w:drawing>
            </w:r>
          </w:p>
          <w:p>
            <w:pPr>
              <w:pStyle w:val="63"/>
              <w:jc w:val="right"/>
              <w:rPr>
                <w:color w:val="auto"/>
              </w:rPr>
            </w:pPr>
            <w:r>
              <w:rPr>
                <w:rFonts w:hint="eastAsia"/>
                <w:color w:val="auto"/>
                <w:lang w:eastAsia="zh-CN"/>
              </w:rPr>
              <w:t>（</w:t>
            </w:r>
            <w:r>
              <w:rPr>
                <w:color w:val="auto"/>
                <w:lang w:eastAsia="zh-CN"/>
              </w:rPr>
              <w:t>C</w:t>
            </w:r>
            <w:r>
              <w:rPr>
                <w:rFonts w:hint="eastAsia"/>
                <w:color w:val="auto"/>
                <w:lang w:eastAsia="zh-CN"/>
              </w:rPr>
              <w:t>.</w:t>
            </w:r>
            <w:r>
              <w:rPr>
                <w:color w:val="auto"/>
                <w:lang w:eastAsia="zh-CN"/>
              </w:rPr>
              <w:t>3</w:t>
            </w:r>
            <w:r>
              <w:rPr>
                <w:rFonts w:hint="eastAsia"/>
                <w:color w:val="auto"/>
                <w:lang w:eastAsia="zh-CN"/>
              </w:rPr>
              <w:t>）</w:t>
            </w:r>
          </w:p>
          <w:p>
            <w:pPr>
              <w:ind w:firstLine="480"/>
              <w:rPr>
                <w:color w:val="auto"/>
              </w:rPr>
            </w:pPr>
            <w:r>
              <w:rPr>
                <w:rFonts w:hint="eastAsia"/>
                <w:color w:val="auto"/>
              </w:rPr>
              <w:t>式中：</w:t>
            </w:r>
          </w:p>
          <w:p>
            <w:pPr>
              <w:ind w:firstLine="480"/>
              <w:rPr>
                <w:color w:val="auto"/>
              </w:rPr>
            </w:pPr>
            <w:r>
              <w:rPr>
                <w:i/>
                <w:color w:val="auto"/>
              </w:rPr>
              <w:t>v</w:t>
            </w:r>
            <w:r>
              <w:rPr>
                <w:rFonts w:hint="eastAsia"/>
                <w:color w:val="auto"/>
              </w:rPr>
              <w:t>——标准状态下单位体积气体燃料产生的干烟气量，如气体燃料为多种燃料混合，按混合后成分进行计算，m</w:t>
            </w:r>
            <w:r>
              <w:rPr>
                <w:rFonts w:hint="eastAsia"/>
                <w:color w:val="auto"/>
                <w:vertAlign w:val="superscript"/>
              </w:rPr>
              <w:t>3</w:t>
            </w:r>
            <w:r>
              <w:rPr>
                <w:color w:val="auto"/>
              </w:rPr>
              <w:t>/</w:t>
            </w:r>
            <w:r>
              <w:rPr>
                <w:rFonts w:hint="eastAsia"/>
                <w:color w:val="auto"/>
              </w:rPr>
              <w:t>m</w:t>
            </w:r>
            <w:r>
              <w:rPr>
                <w:rFonts w:hint="eastAsia"/>
                <w:color w:val="auto"/>
                <w:vertAlign w:val="superscript"/>
              </w:rPr>
              <w:t>3</w:t>
            </w:r>
            <w:r>
              <w:rPr>
                <w:rFonts w:hint="eastAsia"/>
                <w:color w:val="auto"/>
              </w:rPr>
              <w:t>；</w:t>
            </w:r>
          </w:p>
          <w:p>
            <w:pPr>
              <w:ind w:firstLine="480"/>
              <w:rPr>
                <w:color w:val="auto"/>
              </w:rPr>
            </w:pPr>
            <w:r>
              <w:rPr>
                <w:rFonts w:hint="eastAsia"/>
                <w:i/>
                <w:color w:val="auto"/>
              </w:rPr>
              <w:t>a</w:t>
            </w:r>
            <w:r>
              <w:rPr>
                <w:rFonts w:hint="eastAsia"/>
                <w:color w:val="auto"/>
              </w:rPr>
              <w:t>——燃料燃烧时，实际空气供给量与理论空气需要量之比值，天然气燃烧的过剩空气系数一般控制在1.05到1.20之间，本项目天然气燃烧空气过剩系数取</w:t>
            </w:r>
            <w:r>
              <w:rPr>
                <w:color w:val="auto"/>
              </w:rPr>
              <w:t>1.05</w:t>
            </w:r>
            <w:r>
              <w:rPr>
                <w:rFonts w:hint="eastAsia"/>
                <w:color w:val="auto"/>
              </w:rPr>
              <w:t>；</w:t>
            </w:r>
          </w:p>
          <w:p>
            <w:pPr>
              <w:ind w:firstLine="480"/>
              <w:rPr>
                <w:color w:val="auto"/>
              </w:rPr>
            </w:pPr>
            <w:r>
              <w:rPr>
                <w:rFonts w:hint="eastAsia"/>
                <w:i/>
                <w:color w:val="auto"/>
              </w:rPr>
              <w:t>v</w:t>
            </w:r>
            <w:r>
              <w:rPr>
                <w:rFonts w:hint="eastAsia"/>
                <w:i/>
                <w:color w:val="auto"/>
                <w:vertAlign w:val="subscript"/>
              </w:rPr>
              <w:t>0</w:t>
            </w:r>
            <w:r>
              <w:rPr>
                <w:rFonts w:hint="eastAsia"/>
                <w:color w:val="auto"/>
              </w:rPr>
              <w:t>——标准状态下单位体积气体燃料的理论空气需要量，m</w:t>
            </w:r>
            <w:r>
              <w:rPr>
                <w:rFonts w:hint="eastAsia"/>
                <w:color w:val="auto"/>
                <w:vertAlign w:val="superscript"/>
              </w:rPr>
              <w:t>3</w:t>
            </w:r>
            <w:r>
              <w:rPr>
                <w:color w:val="auto"/>
              </w:rPr>
              <w:t>/</w:t>
            </w:r>
            <w:r>
              <w:rPr>
                <w:rFonts w:hint="eastAsia"/>
                <w:color w:val="auto"/>
              </w:rPr>
              <w:t>m</w:t>
            </w:r>
            <w:r>
              <w:rPr>
                <w:rFonts w:hint="eastAsia"/>
                <w:color w:val="auto"/>
                <w:vertAlign w:val="superscript"/>
              </w:rPr>
              <w:t>3</w:t>
            </w:r>
            <w:r>
              <w:rPr>
                <w:rFonts w:hint="eastAsia"/>
                <w:color w:val="auto"/>
              </w:rPr>
              <w:t>；</w:t>
            </w:r>
          </w:p>
          <w:p>
            <w:pPr>
              <w:ind w:firstLine="480"/>
              <w:rPr>
                <w:color w:val="auto"/>
              </w:rPr>
            </w:pPr>
            <w:r>
              <w:rPr>
                <w:rFonts w:hint="eastAsia"/>
                <w:i/>
                <w:color w:val="auto"/>
              </w:rPr>
              <w:t>V（H</w:t>
            </w:r>
            <w:r>
              <w:rPr>
                <w:i/>
                <w:color w:val="auto"/>
                <w:vertAlign w:val="subscript"/>
              </w:rPr>
              <w:t>2</w:t>
            </w:r>
            <w:r>
              <w:rPr>
                <w:rFonts w:hint="eastAsia"/>
                <w:i/>
                <w:color w:val="auto"/>
              </w:rPr>
              <w:t>）</w:t>
            </w:r>
            <w:r>
              <w:rPr>
                <w:rFonts w:hint="eastAsia"/>
                <w:color w:val="auto"/>
              </w:rPr>
              <w:t>——标准状态下单位体积气体燃料中氢气所占体积比例，%，根据天然气成分检测报告，本项目取0</w:t>
            </w:r>
            <w:r>
              <w:rPr>
                <w:color w:val="auto"/>
              </w:rPr>
              <w:t>%</w:t>
            </w:r>
            <w:r>
              <w:rPr>
                <w:rFonts w:hint="eastAsia"/>
                <w:color w:val="auto"/>
              </w:rPr>
              <w:t>；</w:t>
            </w:r>
          </w:p>
          <w:p>
            <w:pPr>
              <w:ind w:firstLine="480"/>
              <w:rPr>
                <w:color w:val="auto"/>
              </w:rPr>
            </w:pPr>
            <w:r>
              <w:rPr>
                <w:rFonts w:hint="eastAsia"/>
                <w:i/>
                <w:color w:val="auto"/>
              </w:rPr>
              <w:t>V（</w:t>
            </w:r>
            <w:r>
              <w:rPr>
                <w:i/>
                <w:color w:val="auto"/>
              </w:rPr>
              <w:t>CO</w:t>
            </w:r>
            <w:r>
              <w:rPr>
                <w:rFonts w:hint="eastAsia"/>
                <w:i/>
                <w:color w:val="auto"/>
              </w:rPr>
              <w:t>）</w:t>
            </w:r>
            <w:r>
              <w:rPr>
                <w:rFonts w:hint="eastAsia"/>
                <w:color w:val="auto"/>
              </w:rPr>
              <w:t>——标准状态下单位体积气体燃料中一氧化碳所占体积比例，%，根据天然气成分检测报告，本项目取0</w:t>
            </w:r>
            <w:r>
              <w:rPr>
                <w:color w:val="auto"/>
              </w:rPr>
              <w:t>%</w:t>
            </w:r>
            <w:r>
              <w:rPr>
                <w:rFonts w:hint="eastAsia"/>
                <w:color w:val="auto"/>
              </w:rPr>
              <w:t>；</w:t>
            </w:r>
          </w:p>
          <w:p>
            <w:pPr>
              <w:ind w:firstLine="480"/>
              <w:rPr>
                <w:color w:val="auto"/>
              </w:rPr>
            </w:pPr>
            <w:r>
              <w:rPr>
                <w:rFonts w:hint="eastAsia"/>
                <w:i/>
                <w:color w:val="auto"/>
              </w:rPr>
              <w:t>V（CmHn）</w:t>
            </w:r>
            <w:r>
              <w:rPr>
                <w:rFonts w:hint="eastAsia"/>
                <w:color w:val="auto"/>
              </w:rPr>
              <w:t>——标准状态下单位体积气体燃料中碳氢化合物所占体积比例，%，根据天然气成分检测报告，本项目取</w:t>
            </w:r>
            <w:r>
              <w:rPr>
                <w:color w:val="auto"/>
              </w:rPr>
              <w:t>99.92%</w:t>
            </w:r>
            <w:r>
              <w:rPr>
                <w:rFonts w:hint="eastAsia"/>
                <w:color w:val="auto"/>
              </w:rPr>
              <w:t>；</w:t>
            </w:r>
          </w:p>
          <w:p>
            <w:pPr>
              <w:ind w:firstLine="480"/>
              <w:rPr>
                <w:color w:val="auto"/>
              </w:rPr>
            </w:pPr>
            <w:r>
              <w:rPr>
                <w:rFonts w:hint="eastAsia"/>
                <w:i/>
                <w:color w:val="auto"/>
              </w:rPr>
              <w:t>V（H</w:t>
            </w:r>
            <w:r>
              <w:rPr>
                <w:i/>
                <w:color w:val="auto"/>
                <w:vertAlign w:val="subscript"/>
              </w:rPr>
              <w:t>2</w:t>
            </w:r>
            <w:r>
              <w:rPr>
                <w:rFonts w:hint="eastAsia"/>
                <w:i/>
                <w:color w:val="auto"/>
              </w:rPr>
              <w:t>S）</w:t>
            </w:r>
            <w:r>
              <w:rPr>
                <w:rFonts w:hint="eastAsia"/>
                <w:color w:val="auto"/>
              </w:rPr>
              <w:t>——标准状态下单位体积气体燃料中硫化氢所占体积比例，%根据天然气成分检测报告，本项目取</w:t>
            </w:r>
            <w:r>
              <w:rPr>
                <w:color w:val="auto"/>
              </w:rPr>
              <w:t>0%</w:t>
            </w:r>
            <w:r>
              <w:rPr>
                <w:rFonts w:hint="eastAsia"/>
                <w:color w:val="auto"/>
              </w:rPr>
              <w:t>；</w:t>
            </w:r>
          </w:p>
          <w:p>
            <w:pPr>
              <w:ind w:firstLine="480"/>
              <w:rPr>
                <w:color w:val="auto"/>
              </w:rPr>
            </w:pPr>
            <w:r>
              <w:rPr>
                <w:rFonts w:hint="eastAsia"/>
                <w:i/>
                <w:color w:val="auto"/>
              </w:rPr>
              <w:t>V（</w:t>
            </w:r>
            <w:r>
              <w:rPr>
                <w:i/>
                <w:color w:val="auto"/>
              </w:rPr>
              <w:t>O</w:t>
            </w:r>
            <w:r>
              <w:rPr>
                <w:i/>
                <w:color w:val="auto"/>
                <w:vertAlign w:val="subscript"/>
              </w:rPr>
              <w:t>2</w:t>
            </w:r>
            <w:r>
              <w:rPr>
                <w:rFonts w:hint="eastAsia"/>
                <w:i/>
                <w:color w:val="auto"/>
              </w:rPr>
              <w:t>）</w:t>
            </w:r>
            <w:r>
              <w:rPr>
                <w:rFonts w:hint="eastAsia"/>
                <w:color w:val="auto"/>
              </w:rPr>
              <w:t>）——标准状态下单位体积气体燃料中氧气所占体积比例，%，根据天然气成分检测报告，本项目取</w:t>
            </w:r>
            <w:r>
              <w:rPr>
                <w:color w:val="auto"/>
              </w:rPr>
              <w:t>0%</w:t>
            </w:r>
            <w:r>
              <w:rPr>
                <w:rFonts w:hint="eastAsia"/>
                <w:color w:val="auto"/>
              </w:rPr>
              <w:t>。</w:t>
            </w:r>
          </w:p>
          <w:p>
            <w:pPr>
              <w:ind w:firstLine="480"/>
              <w:rPr>
                <w:color w:val="auto"/>
              </w:rPr>
            </w:pPr>
            <w:r>
              <w:rPr>
                <w:rFonts w:hint="eastAsia"/>
                <w:color w:val="auto"/>
              </w:rPr>
              <w:t>根据上述公式，本项目天然气燃烧废气</w:t>
            </w:r>
            <w:r>
              <w:rPr>
                <w:color w:val="auto"/>
              </w:rPr>
              <w:t>v</w:t>
            </w:r>
            <w:r>
              <w:rPr>
                <w:color w:val="auto"/>
                <w:vertAlign w:val="subscript"/>
              </w:rPr>
              <w:t>0</w:t>
            </w:r>
            <w:r>
              <w:rPr>
                <w:color w:val="auto"/>
              </w:rPr>
              <w:t>=10.18</w:t>
            </w:r>
            <w:r>
              <w:rPr>
                <w:rFonts w:hint="eastAsia"/>
                <w:color w:val="auto"/>
              </w:rPr>
              <w:t>m</w:t>
            </w:r>
            <w:r>
              <w:rPr>
                <w:rFonts w:hint="eastAsia"/>
                <w:color w:val="auto"/>
                <w:vertAlign w:val="superscript"/>
              </w:rPr>
              <w:t>3</w:t>
            </w:r>
            <w:r>
              <w:rPr>
                <w:color w:val="auto"/>
              </w:rPr>
              <w:t>/</w:t>
            </w:r>
            <w:r>
              <w:rPr>
                <w:rFonts w:hint="eastAsia"/>
                <w:color w:val="auto"/>
              </w:rPr>
              <w:t>m</w:t>
            </w:r>
            <w:r>
              <w:rPr>
                <w:rFonts w:hint="eastAsia"/>
                <w:color w:val="auto"/>
                <w:vertAlign w:val="superscript"/>
              </w:rPr>
              <w:t>3</w:t>
            </w:r>
            <w:r>
              <w:rPr>
                <w:rFonts w:hint="eastAsia"/>
                <w:color w:val="auto"/>
              </w:rPr>
              <w:t>，v</w:t>
            </w:r>
            <w:r>
              <w:rPr>
                <w:color w:val="auto"/>
              </w:rPr>
              <w:t>=10.7</w:t>
            </w:r>
            <w:r>
              <w:rPr>
                <w:rFonts w:hint="eastAsia"/>
                <w:color w:val="auto"/>
              </w:rPr>
              <w:t>m</w:t>
            </w:r>
            <w:r>
              <w:rPr>
                <w:rFonts w:hint="eastAsia"/>
                <w:color w:val="auto"/>
                <w:vertAlign w:val="superscript"/>
              </w:rPr>
              <w:t>3</w:t>
            </w:r>
            <w:r>
              <w:rPr>
                <w:color w:val="auto"/>
              </w:rPr>
              <w:t>/</w:t>
            </w:r>
            <w:r>
              <w:rPr>
                <w:rFonts w:hint="eastAsia"/>
                <w:color w:val="auto"/>
              </w:rPr>
              <w:t>m</w:t>
            </w:r>
            <w:r>
              <w:rPr>
                <w:rFonts w:hint="eastAsia"/>
                <w:color w:val="auto"/>
                <w:vertAlign w:val="superscript"/>
              </w:rPr>
              <w:t>3</w:t>
            </w:r>
            <w:r>
              <w:rPr>
                <w:rFonts w:hint="eastAsia"/>
                <w:color w:val="auto"/>
              </w:rPr>
              <w:t>，则运营期天然气燃烧废气量为</w:t>
            </w:r>
            <w:r>
              <w:rPr>
                <w:color w:val="auto"/>
              </w:rPr>
              <w:t>11556</w:t>
            </w:r>
            <w:r>
              <w:rPr>
                <w:rFonts w:hint="eastAsia"/>
                <w:color w:val="auto"/>
              </w:rPr>
              <w:t>万m</w:t>
            </w:r>
            <w:r>
              <w:rPr>
                <w:rFonts w:hint="eastAsia"/>
                <w:color w:val="auto"/>
                <w:vertAlign w:val="superscript"/>
              </w:rPr>
              <w:t>3</w:t>
            </w:r>
            <w:r>
              <w:rPr>
                <w:color w:val="auto"/>
              </w:rPr>
              <w:t>/</w:t>
            </w:r>
            <w:r>
              <w:rPr>
                <w:rFonts w:hint="eastAsia"/>
                <w:color w:val="auto"/>
              </w:rPr>
              <w:t>a。</w:t>
            </w:r>
          </w:p>
          <w:p>
            <w:pPr>
              <w:pStyle w:val="80"/>
              <w:ind w:firstLine="482"/>
              <w:rPr>
                <w:color w:val="auto"/>
              </w:rPr>
            </w:pPr>
            <w:r>
              <w:rPr>
                <w:color w:val="auto"/>
              </w:rPr>
              <w:t>2.</w:t>
            </w:r>
            <w:r>
              <w:rPr>
                <w:rFonts w:hint="eastAsia"/>
                <w:color w:val="auto"/>
              </w:rPr>
              <w:t>污染物核算</w:t>
            </w:r>
          </w:p>
          <w:p>
            <w:pPr>
              <w:ind w:firstLine="480"/>
              <w:rPr>
                <w:color w:val="auto"/>
              </w:rPr>
            </w:pPr>
            <w:r>
              <w:rPr>
                <w:rFonts w:hint="eastAsia"/>
                <w:color w:val="auto"/>
              </w:rPr>
              <w:t>根据《建设项目环境影响报告表编制技术指南（污染影响类）（试行）》要求，废气源强核算参考源强核算技术指南和排污许可证申请与核发技术规范要求进行。根据《污染源源强核算技术指南 钢铁工业》（HJ885-2018）：</w:t>
            </w:r>
          </w:p>
          <w:p>
            <w:pPr>
              <w:ind w:firstLine="480"/>
              <w:rPr>
                <w:color w:val="auto"/>
              </w:rPr>
            </w:pPr>
            <w:r>
              <w:rPr>
                <w:rFonts w:hint="eastAsia"/>
                <w:color w:val="auto"/>
              </w:rPr>
              <w:t>a）新（改、扩）建工程污染源</w:t>
            </w:r>
          </w:p>
          <w:p>
            <w:pPr>
              <w:ind w:firstLine="480"/>
              <w:rPr>
                <w:color w:val="auto"/>
              </w:rPr>
            </w:pPr>
            <w:r>
              <w:rPr>
                <w:rFonts w:hint="eastAsia"/>
                <w:color w:val="auto"/>
              </w:rPr>
              <w:t>颗粒物优先采用类比法进行核算，其次采用排污系数法。二氧化硫优先采用物料衡算法进行核算，其次采用类比法。氨氧化物采用类比法进行核算。</w:t>
            </w:r>
          </w:p>
          <w:p>
            <w:pPr>
              <w:ind w:firstLine="480"/>
              <w:rPr>
                <w:color w:val="auto"/>
                <w:lang w:val="zh-CN"/>
              </w:rPr>
            </w:pPr>
            <w:r>
              <w:rPr>
                <w:rFonts w:hint="eastAsia"/>
                <w:color w:val="auto"/>
              </w:rPr>
              <w:t>根据天然气成分检测报告，总硫检测值＜0.1mg/m</w:t>
            </w:r>
            <w:r>
              <w:rPr>
                <w:rFonts w:hint="eastAsia"/>
                <w:color w:val="auto"/>
                <w:vertAlign w:val="superscript"/>
              </w:rPr>
              <w:t>3</w:t>
            </w:r>
            <w:r>
              <w:rPr>
                <w:rFonts w:hint="eastAsia"/>
                <w:color w:val="auto"/>
              </w:rPr>
              <w:t>，属于低硫燃料，不宜采用物料衡算法，本项目属于技改类，按照《污染源源强核算技术指南 钢铁工业》（HJ885-2018）核算优先顺序要求，二氧化硫、氮氧化物均采用类比法进行核算，颗粒物采用排污系数法进行核算。</w:t>
            </w:r>
          </w:p>
          <w:p>
            <w:pPr>
              <w:pStyle w:val="80"/>
              <w:ind w:firstLine="482"/>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颗粒物</w:t>
            </w:r>
          </w:p>
          <w:p>
            <w:pPr>
              <w:ind w:firstLine="480"/>
              <w:rPr>
                <w:color w:val="auto"/>
              </w:rPr>
            </w:pPr>
            <w:r>
              <w:rPr>
                <w:rFonts w:hint="eastAsia"/>
                <w:color w:val="auto"/>
              </w:rPr>
              <w:t>与《污染源源强核算技术指南 钢铁工业》（HJ885-2018）配套的产排污系数手册为《排放源统计调查产排污核算方法和系数手册》-</w:t>
            </w:r>
            <w:r>
              <w:rPr>
                <w:color w:val="auto"/>
              </w:rPr>
              <w:t>3130-</w:t>
            </w:r>
            <w:r>
              <w:rPr>
                <w:rFonts w:hint="eastAsia"/>
                <w:color w:val="auto"/>
              </w:rPr>
              <w:t>钢压延加工行业系数手册，颗粒物产污系数见下表：</w:t>
            </w:r>
          </w:p>
          <w:p>
            <w:pPr>
              <w:pStyle w:val="66"/>
              <w:rPr>
                <w:color w:val="auto"/>
              </w:rPr>
            </w:pPr>
            <w:r>
              <w:rPr>
                <w:rFonts w:hint="eastAsia"/>
                <w:color w:val="auto"/>
              </w:rPr>
              <w:t>表4</w:t>
            </w:r>
            <w:r>
              <w:rPr>
                <w:color w:val="auto"/>
              </w:rPr>
              <w:t xml:space="preserve">.2.1.5-1 </w:t>
            </w:r>
            <w:r>
              <w:rPr>
                <w:rFonts w:hint="eastAsia"/>
                <w:color w:val="auto"/>
              </w:rPr>
              <w:t>钢压延加工行业系数手册（摘录）产污系数表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316"/>
              <w:gridCol w:w="1316"/>
              <w:gridCol w:w="1316"/>
              <w:gridCol w:w="1143"/>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Pr>
                <w:p>
                  <w:pPr>
                    <w:pStyle w:val="63"/>
                    <w:rPr>
                      <w:color w:val="auto"/>
                      <w:lang w:eastAsia="zh-CN"/>
                    </w:rPr>
                  </w:pPr>
                  <w:r>
                    <w:rPr>
                      <w:rFonts w:hint="eastAsia"/>
                      <w:color w:val="auto"/>
                      <w:lang w:eastAsia="zh-CN"/>
                    </w:rPr>
                    <w:t>产品名称</w:t>
                  </w:r>
                </w:p>
              </w:tc>
              <w:tc>
                <w:tcPr>
                  <w:tcW w:w="1316" w:type="dxa"/>
                </w:tcPr>
                <w:p>
                  <w:pPr>
                    <w:pStyle w:val="63"/>
                    <w:rPr>
                      <w:color w:val="auto"/>
                    </w:rPr>
                  </w:pPr>
                  <w:r>
                    <w:rPr>
                      <w:rFonts w:hint="eastAsia"/>
                      <w:color w:val="auto"/>
                      <w:lang w:eastAsia="zh-CN"/>
                    </w:rPr>
                    <w:t>原料名称</w:t>
                  </w:r>
                </w:p>
              </w:tc>
              <w:tc>
                <w:tcPr>
                  <w:tcW w:w="1316" w:type="dxa"/>
                </w:tcPr>
                <w:p>
                  <w:pPr>
                    <w:pStyle w:val="63"/>
                    <w:rPr>
                      <w:color w:val="auto"/>
                      <w:lang w:eastAsia="zh-CN"/>
                    </w:rPr>
                  </w:pPr>
                  <w:r>
                    <w:rPr>
                      <w:rFonts w:hint="eastAsia"/>
                      <w:color w:val="auto"/>
                      <w:lang w:eastAsia="zh-CN"/>
                    </w:rPr>
                    <w:t>工艺名称</w:t>
                  </w:r>
                </w:p>
              </w:tc>
              <w:tc>
                <w:tcPr>
                  <w:tcW w:w="1316" w:type="dxa"/>
                </w:tcPr>
                <w:p>
                  <w:pPr>
                    <w:pStyle w:val="63"/>
                    <w:rPr>
                      <w:color w:val="auto"/>
                    </w:rPr>
                  </w:pPr>
                  <w:r>
                    <w:rPr>
                      <w:rFonts w:hint="eastAsia"/>
                      <w:color w:val="auto"/>
                      <w:lang w:eastAsia="zh-CN"/>
                    </w:rPr>
                    <w:t>污染物指标</w:t>
                  </w:r>
                </w:p>
              </w:tc>
              <w:tc>
                <w:tcPr>
                  <w:tcW w:w="1143" w:type="dxa"/>
                </w:tcPr>
                <w:p>
                  <w:pPr>
                    <w:pStyle w:val="63"/>
                    <w:rPr>
                      <w:color w:val="auto"/>
                      <w:lang w:eastAsia="zh-CN"/>
                    </w:rPr>
                  </w:pPr>
                  <w:r>
                    <w:rPr>
                      <w:rFonts w:hint="eastAsia"/>
                      <w:color w:val="auto"/>
                      <w:lang w:eastAsia="zh-CN"/>
                    </w:rPr>
                    <w:t>产污系数</w:t>
                  </w:r>
                </w:p>
              </w:tc>
              <w:tc>
                <w:tcPr>
                  <w:tcW w:w="1491" w:type="dxa"/>
                </w:tcPr>
                <w:p>
                  <w:pPr>
                    <w:pStyle w:val="63"/>
                    <w:rPr>
                      <w:color w:val="auto"/>
                    </w:rPr>
                  </w:pPr>
                  <w:r>
                    <w:rPr>
                      <w:rFonts w:hint="eastAsia"/>
                      <w:color w:val="auto"/>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Pr>
                <w:p>
                  <w:pPr>
                    <w:pStyle w:val="63"/>
                    <w:rPr>
                      <w:color w:val="auto"/>
                    </w:rPr>
                  </w:pPr>
                  <w:r>
                    <w:rPr>
                      <w:rFonts w:hint="eastAsia"/>
                      <w:color w:val="auto"/>
                      <w:lang w:eastAsia="zh-CN"/>
                    </w:rPr>
                    <w:t>退火板卷</w:t>
                  </w:r>
                </w:p>
              </w:tc>
              <w:tc>
                <w:tcPr>
                  <w:tcW w:w="1316" w:type="dxa"/>
                </w:tcPr>
                <w:p>
                  <w:pPr>
                    <w:pStyle w:val="63"/>
                    <w:rPr>
                      <w:color w:val="auto"/>
                    </w:rPr>
                  </w:pPr>
                  <w:r>
                    <w:rPr>
                      <w:rFonts w:hint="eastAsia"/>
                      <w:color w:val="auto"/>
                      <w:lang w:eastAsia="zh-CN"/>
                    </w:rPr>
                    <w:t>冷硬板卷</w:t>
                  </w:r>
                </w:p>
              </w:tc>
              <w:tc>
                <w:tcPr>
                  <w:tcW w:w="1316" w:type="dxa"/>
                </w:tcPr>
                <w:p>
                  <w:pPr>
                    <w:pStyle w:val="63"/>
                    <w:rPr>
                      <w:color w:val="auto"/>
                    </w:rPr>
                  </w:pPr>
                  <w:r>
                    <w:rPr>
                      <w:rFonts w:hint="eastAsia"/>
                      <w:color w:val="auto"/>
                      <w:lang w:eastAsia="zh-CN"/>
                    </w:rPr>
                    <w:t>连续退火法</w:t>
                  </w:r>
                </w:p>
              </w:tc>
              <w:tc>
                <w:tcPr>
                  <w:tcW w:w="1316" w:type="dxa"/>
                </w:tcPr>
                <w:p>
                  <w:pPr>
                    <w:pStyle w:val="63"/>
                    <w:rPr>
                      <w:color w:val="auto"/>
                    </w:rPr>
                  </w:pPr>
                  <w:r>
                    <w:rPr>
                      <w:rFonts w:hint="eastAsia"/>
                      <w:color w:val="auto"/>
                      <w:lang w:eastAsia="zh-CN"/>
                    </w:rPr>
                    <w:t>颗粒物</w:t>
                  </w:r>
                </w:p>
              </w:tc>
              <w:tc>
                <w:tcPr>
                  <w:tcW w:w="1143" w:type="dxa"/>
                </w:tcPr>
                <w:p>
                  <w:pPr>
                    <w:pStyle w:val="63"/>
                    <w:rPr>
                      <w:color w:val="auto"/>
                      <w:lang w:eastAsia="zh-CN"/>
                    </w:rPr>
                  </w:pPr>
                  <w:r>
                    <w:rPr>
                      <w:rFonts w:hint="eastAsia"/>
                      <w:color w:val="auto"/>
                      <w:lang w:eastAsia="zh-CN"/>
                    </w:rPr>
                    <w:t>6</w:t>
                  </w:r>
                  <w:r>
                    <w:rPr>
                      <w:color w:val="auto"/>
                      <w:lang w:eastAsia="zh-CN"/>
                    </w:rPr>
                    <w:t>.0</w:t>
                  </w:r>
                  <w:r>
                    <w:rPr>
                      <w:rFonts w:hint="eastAsia"/>
                      <w:color w:val="auto"/>
                      <w:lang w:eastAsia="zh-CN"/>
                    </w:rPr>
                    <w:t>×</w:t>
                  </w:r>
                  <w:r>
                    <w:rPr>
                      <w:color w:val="auto"/>
                      <w:lang w:eastAsia="zh-CN"/>
                    </w:rPr>
                    <w:t>10</w:t>
                  </w:r>
                  <w:r>
                    <w:rPr>
                      <w:color w:val="auto"/>
                      <w:vertAlign w:val="superscript"/>
                      <w:lang w:eastAsia="zh-CN"/>
                    </w:rPr>
                    <w:t>-3</w:t>
                  </w:r>
                </w:p>
              </w:tc>
              <w:tc>
                <w:tcPr>
                  <w:tcW w:w="1491" w:type="dxa"/>
                </w:tcPr>
                <w:p>
                  <w:pPr>
                    <w:pStyle w:val="63"/>
                    <w:rPr>
                      <w:color w:val="auto"/>
                      <w:lang w:eastAsia="zh-CN"/>
                    </w:rPr>
                  </w:pPr>
                  <w:r>
                    <w:rPr>
                      <w:rFonts w:hint="eastAsia"/>
                      <w:color w:val="auto"/>
                      <w:lang w:eastAsia="zh-CN"/>
                    </w:rPr>
                    <w:t>千克/吨-钢材</w:t>
                  </w:r>
                </w:p>
              </w:tc>
            </w:tr>
          </w:tbl>
          <w:p>
            <w:pPr>
              <w:ind w:firstLine="480"/>
              <w:rPr>
                <w:color w:val="auto"/>
              </w:rPr>
            </w:pPr>
            <w:r>
              <w:rPr>
                <w:rFonts w:hint="eastAsia"/>
                <w:color w:val="auto"/>
              </w:rPr>
              <w:t>本次技改项目热退火处理不锈钢卷3</w:t>
            </w:r>
            <w:r>
              <w:rPr>
                <w:color w:val="auto"/>
              </w:rPr>
              <w:t>0</w:t>
            </w:r>
            <w:r>
              <w:rPr>
                <w:rFonts w:hint="eastAsia"/>
                <w:color w:val="auto"/>
              </w:rPr>
              <w:t>万吨/a，则颗粒物产生量为1</w:t>
            </w:r>
            <w:r>
              <w:rPr>
                <w:color w:val="auto"/>
              </w:rPr>
              <w:t>.8</w:t>
            </w:r>
            <w:r>
              <w:rPr>
                <w:rFonts w:hint="eastAsia"/>
                <w:color w:val="auto"/>
              </w:rPr>
              <w:t>t/a。</w:t>
            </w:r>
          </w:p>
          <w:p>
            <w:pPr>
              <w:pStyle w:val="80"/>
              <w:ind w:firstLine="482"/>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二氧化硫、氮氧化物</w:t>
            </w:r>
          </w:p>
          <w:p>
            <w:pPr>
              <w:ind w:firstLine="480"/>
              <w:rPr>
                <w:color w:val="auto"/>
              </w:rPr>
            </w:pPr>
            <w:r>
              <w:rPr>
                <w:rFonts w:hint="eastAsia"/>
                <w:color w:val="auto"/>
              </w:rPr>
              <w:t>二氧化硫、氮氧化物采用类比法进行核算，类比对象为现有年产140万吨热轧生产线建设项目。</w:t>
            </w:r>
          </w:p>
          <w:p>
            <w:pPr>
              <w:ind w:firstLine="480"/>
              <w:rPr>
                <w:color w:val="auto"/>
              </w:rPr>
            </w:pPr>
            <w:r>
              <w:rPr>
                <w:rFonts w:hint="eastAsia"/>
                <w:color w:val="auto"/>
              </w:rPr>
              <w:t>现有年产140万吨热轧生产线建设项目与本项目均采用天然气作为热源加热钢材，均属于热处理炉，该项目作为本次环评废气核算类比对象，类比可行性分析见下表所示：</w:t>
            </w:r>
          </w:p>
          <w:p>
            <w:pPr>
              <w:pStyle w:val="66"/>
              <w:rPr>
                <w:color w:val="auto"/>
              </w:rPr>
            </w:pPr>
            <w:r>
              <w:rPr>
                <w:rFonts w:hint="eastAsia"/>
                <w:color w:val="auto"/>
              </w:rPr>
              <w:t>表4</w:t>
            </w:r>
            <w:r>
              <w:rPr>
                <w:color w:val="auto"/>
              </w:rPr>
              <w:t xml:space="preserve">.2.1.5-2 </w:t>
            </w:r>
            <w:r>
              <w:rPr>
                <w:rFonts w:hint="eastAsia"/>
                <w:color w:val="auto"/>
              </w:rPr>
              <w:t>类比分析一览表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843"/>
              <w:gridCol w:w="1984"/>
              <w:gridCol w:w="2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tcBorders>
                    <w:tl2br w:val="single" w:color="auto" w:sz="4" w:space="0"/>
                  </w:tcBorders>
                  <w:vAlign w:val="center"/>
                </w:tcPr>
                <w:p>
                  <w:pPr>
                    <w:pStyle w:val="63"/>
                    <w:jc w:val="right"/>
                    <w:rPr>
                      <w:color w:val="auto"/>
                      <w:lang w:eastAsia="zh-CN"/>
                    </w:rPr>
                  </w:pPr>
                  <w:r>
                    <w:rPr>
                      <w:rFonts w:hint="eastAsia"/>
                      <w:color w:val="auto"/>
                      <w:lang w:eastAsia="zh-CN"/>
                    </w:rPr>
                    <w:t>项目</w:t>
                  </w:r>
                </w:p>
                <w:p>
                  <w:pPr>
                    <w:pStyle w:val="63"/>
                    <w:jc w:val="left"/>
                    <w:rPr>
                      <w:color w:val="auto"/>
                    </w:rPr>
                  </w:pPr>
                  <w:r>
                    <w:rPr>
                      <w:rFonts w:hint="eastAsia"/>
                      <w:color w:val="auto"/>
                      <w:lang w:eastAsia="zh-CN"/>
                    </w:rPr>
                    <w:t>类别</w:t>
                  </w:r>
                </w:p>
              </w:tc>
              <w:tc>
                <w:tcPr>
                  <w:tcW w:w="1843" w:type="dxa"/>
                  <w:vAlign w:val="center"/>
                </w:tcPr>
                <w:p>
                  <w:pPr>
                    <w:pStyle w:val="63"/>
                    <w:rPr>
                      <w:color w:val="auto"/>
                    </w:rPr>
                  </w:pPr>
                  <w:r>
                    <w:rPr>
                      <w:rFonts w:hint="eastAsia"/>
                      <w:color w:val="auto"/>
                    </w:rPr>
                    <w:t>年产140万吨热轧生产线建设项目</w:t>
                  </w:r>
                </w:p>
              </w:tc>
              <w:tc>
                <w:tcPr>
                  <w:tcW w:w="1984" w:type="dxa"/>
                  <w:vAlign w:val="center"/>
                </w:tcPr>
                <w:p>
                  <w:pPr>
                    <w:pStyle w:val="63"/>
                    <w:rPr>
                      <w:color w:val="auto"/>
                    </w:rPr>
                  </w:pPr>
                  <w:r>
                    <w:rPr>
                      <w:rFonts w:hint="eastAsia"/>
                      <w:color w:val="auto"/>
                      <w:lang w:eastAsia="zh-CN"/>
                    </w:rPr>
                    <w:t>本项目</w:t>
                  </w:r>
                </w:p>
              </w:tc>
              <w:tc>
                <w:tcPr>
                  <w:tcW w:w="2996" w:type="dxa"/>
                  <w:vAlign w:val="center"/>
                </w:tcPr>
                <w:p>
                  <w:pPr>
                    <w:pStyle w:val="63"/>
                    <w:rPr>
                      <w:color w:val="auto"/>
                      <w:lang w:eastAsia="zh-CN"/>
                    </w:rPr>
                  </w:pPr>
                  <w:r>
                    <w:rPr>
                      <w:rFonts w:hint="eastAsia"/>
                      <w:color w:val="auto"/>
                      <w:lang w:eastAsia="zh-CN"/>
                    </w:rPr>
                    <w:t>类比是否可行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center"/>
                </w:tcPr>
                <w:p>
                  <w:pPr>
                    <w:pStyle w:val="63"/>
                    <w:rPr>
                      <w:color w:val="auto"/>
                    </w:rPr>
                  </w:pPr>
                  <w:r>
                    <w:rPr>
                      <w:rFonts w:hint="eastAsia"/>
                      <w:color w:val="auto"/>
                      <w:lang w:eastAsia="zh-CN"/>
                    </w:rPr>
                    <w:t>热源</w:t>
                  </w:r>
                </w:p>
              </w:tc>
              <w:tc>
                <w:tcPr>
                  <w:tcW w:w="1843" w:type="dxa"/>
                  <w:vAlign w:val="center"/>
                </w:tcPr>
                <w:p>
                  <w:pPr>
                    <w:pStyle w:val="63"/>
                    <w:rPr>
                      <w:color w:val="auto"/>
                    </w:rPr>
                  </w:pPr>
                  <w:r>
                    <w:rPr>
                      <w:rFonts w:hint="eastAsia"/>
                      <w:color w:val="auto"/>
                      <w:lang w:eastAsia="zh-CN"/>
                    </w:rPr>
                    <w:t>由师宗产业园区天然气管网接入厂内</w:t>
                  </w:r>
                </w:p>
              </w:tc>
              <w:tc>
                <w:tcPr>
                  <w:tcW w:w="1984" w:type="dxa"/>
                  <w:vAlign w:val="center"/>
                </w:tcPr>
                <w:p>
                  <w:pPr>
                    <w:pStyle w:val="63"/>
                    <w:rPr>
                      <w:color w:val="auto"/>
                    </w:rPr>
                  </w:pPr>
                  <w:r>
                    <w:rPr>
                      <w:rFonts w:hint="eastAsia"/>
                      <w:color w:val="auto"/>
                      <w:lang w:eastAsia="zh-CN"/>
                    </w:rPr>
                    <w:t>从现有热轧生产线预留天然气阀门新建1</w:t>
                  </w:r>
                  <w:r>
                    <w:rPr>
                      <w:color w:val="auto"/>
                      <w:lang w:eastAsia="zh-CN"/>
                    </w:rPr>
                    <w:t>54</w:t>
                  </w:r>
                  <w:r>
                    <w:rPr>
                      <w:rFonts w:hint="eastAsia"/>
                      <w:color w:val="auto"/>
                      <w:lang w:eastAsia="zh-CN"/>
                    </w:rPr>
                    <w:t>m</w:t>
                  </w:r>
                  <w:r>
                    <w:rPr>
                      <w:color w:val="auto"/>
                      <w:lang w:eastAsia="zh-CN"/>
                    </w:rPr>
                    <w:t>DN100</w:t>
                  </w:r>
                  <w:r>
                    <w:rPr>
                      <w:rFonts w:hint="eastAsia"/>
                      <w:color w:val="auto"/>
                      <w:lang w:eastAsia="zh-CN"/>
                    </w:rPr>
                    <w:t>天然气管线接入退火炉</w:t>
                  </w:r>
                </w:p>
              </w:tc>
              <w:tc>
                <w:tcPr>
                  <w:tcW w:w="2996" w:type="dxa"/>
                  <w:vAlign w:val="center"/>
                </w:tcPr>
                <w:p>
                  <w:pPr>
                    <w:pStyle w:val="63"/>
                    <w:rPr>
                      <w:color w:val="auto"/>
                    </w:rPr>
                  </w:pPr>
                  <w:r>
                    <w:rPr>
                      <w:rFonts w:hint="eastAsia"/>
                      <w:color w:val="auto"/>
                      <w:lang w:eastAsia="zh-CN"/>
                    </w:rPr>
                    <w:t>天然气来源一致，类比可行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center"/>
                </w:tcPr>
                <w:p>
                  <w:pPr>
                    <w:pStyle w:val="63"/>
                    <w:rPr>
                      <w:color w:val="auto"/>
                    </w:rPr>
                  </w:pPr>
                  <w:r>
                    <w:rPr>
                      <w:rFonts w:hint="eastAsia"/>
                      <w:color w:val="auto"/>
                      <w:lang w:eastAsia="zh-CN"/>
                    </w:rPr>
                    <w:t>加热对象</w:t>
                  </w:r>
                </w:p>
              </w:tc>
              <w:tc>
                <w:tcPr>
                  <w:tcW w:w="1843" w:type="dxa"/>
                  <w:vAlign w:val="center"/>
                </w:tcPr>
                <w:p>
                  <w:pPr>
                    <w:pStyle w:val="63"/>
                    <w:rPr>
                      <w:color w:val="auto"/>
                    </w:rPr>
                  </w:pPr>
                  <w:r>
                    <w:rPr>
                      <w:rFonts w:hint="eastAsia"/>
                      <w:color w:val="auto"/>
                      <w:lang w:eastAsia="zh-CN"/>
                    </w:rPr>
                    <w:t>对</w:t>
                  </w:r>
                  <w:r>
                    <w:rPr>
                      <w:rFonts w:hint="eastAsia"/>
                      <w:color w:val="auto"/>
                    </w:rPr>
                    <w:t>热轧生产线</w:t>
                  </w:r>
                  <w:r>
                    <w:rPr>
                      <w:rFonts w:hint="eastAsia"/>
                      <w:color w:val="auto"/>
                      <w:lang w:eastAsia="zh-CN"/>
                    </w:rPr>
                    <w:t>加热炉内钢材进行加热，加热温度为</w:t>
                  </w:r>
                  <w:r>
                    <w:rPr>
                      <w:color w:val="auto"/>
                      <w:lang w:val="en-US" w:eastAsia="zh-CN"/>
                    </w:rPr>
                    <w:t>1150</w:t>
                  </w:r>
                  <w:r>
                    <w:rPr>
                      <w:rFonts w:hint="eastAsia"/>
                      <w:color w:val="auto"/>
                      <w:lang w:val="en-US" w:eastAsia="zh-CN"/>
                    </w:rPr>
                    <w:t>～</w:t>
                  </w:r>
                  <w:r>
                    <w:rPr>
                      <w:color w:val="auto"/>
                      <w:lang w:val="en-US" w:eastAsia="zh-CN"/>
                    </w:rPr>
                    <w:t>1260</w:t>
                  </w:r>
                  <w:r>
                    <w:rPr>
                      <w:rFonts w:hint="eastAsia"/>
                      <w:color w:val="auto"/>
                      <w:lang w:eastAsia="zh-CN"/>
                    </w:rPr>
                    <w:t>℃，加热过程不添加其他辅助材料</w:t>
                  </w:r>
                </w:p>
              </w:tc>
              <w:tc>
                <w:tcPr>
                  <w:tcW w:w="1984" w:type="dxa"/>
                  <w:vAlign w:val="center"/>
                </w:tcPr>
                <w:p>
                  <w:pPr>
                    <w:pStyle w:val="63"/>
                    <w:rPr>
                      <w:color w:val="auto"/>
                    </w:rPr>
                  </w:pPr>
                  <w:r>
                    <w:rPr>
                      <w:rFonts w:hint="eastAsia"/>
                      <w:color w:val="auto"/>
                      <w:lang w:eastAsia="zh-CN"/>
                    </w:rPr>
                    <w:t>对热退火炉内热轧钢带进行加热，加热温度</w:t>
                  </w:r>
                  <w:r>
                    <w:rPr>
                      <w:color w:val="auto"/>
                    </w:rPr>
                    <w:t>115</w:t>
                  </w:r>
                  <w:r>
                    <w:rPr>
                      <w:rFonts w:hint="eastAsia"/>
                      <w:color w:val="auto"/>
                    </w:rPr>
                    <w:t>0℃~</w:t>
                  </w:r>
                  <w:r>
                    <w:rPr>
                      <w:color w:val="auto"/>
                    </w:rPr>
                    <w:t>12</w:t>
                  </w:r>
                  <w:r>
                    <w:rPr>
                      <w:rFonts w:hint="eastAsia"/>
                      <w:color w:val="auto"/>
                    </w:rPr>
                    <w:t>00℃</w:t>
                  </w:r>
                  <w:r>
                    <w:rPr>
                      <w:rFonts w:hint="eastAsia"/>
                      <w:color w:val="auto"/>
                      <w:lang w:eastAsia="zh-CN"/>
                    </w:rPr>
                    <w:t>，加热过程不添加其他辅助材料</w:t>
                  </w:r>
                </w:p>
              </w:tc>
              <w:tc>
                <w:tcPr>
                  <w:tcW w:w="2996" w:type="dxa"/>
                  <w:vAlign w:val="center"/>
                </w:tcPr>
                <w:p>
                  <w:pPr>
                    <w:pStyle w:val="63"/>
                    <w:rPr>
                      <w:color w:val="auto"/>
                    </w:rPr>
                  </w:pPr>
                  <w:r>
                    <w:rPr>
                      <w:rFonts w:hint="eastAsia"/>
                      <w:color w:val="auto"/>
                      <w:lang w:eastAsia="zh-CN"/>
                    </w:rPr>
                    <w:t>燃烧温度高于1300℃时，温度每增加100℃，氮氧化物反应速度将增大6-7倍，导致氮氧化物的生成量成指数增加，燃烧温度低于8</w:t>
                  </w:r>
                  <w:r>
                    <w:rPr>
                      <w:color w:val="auto"/>
                      <w:lang w:eastAsia="zh-CN"/>
                    </w:rPr>
                    <w:t>00</w:t>
                  </w:r>
                  <w:r>
                    <w:rPr>
                      <w:rFonts w:hint="eastAsia"/>
                      <w:color w:val="auto"/>
                      <w:lang w:eastAsia="zh-CN"/>
                    </w:rPr>
                    <w:t>℃时，氮氧化物生成速度大幅度降低。类比项目与本项目燃烧温度均高于8</w:t>
                  </w:r>
                  <w:r>
                    <w:rPr>
                      <w:color w:val="auto"/>
                      <w:lang w:eastAsia="zh-CN"/>
                    </w:rPr>
                    <w:t>00</w:t>
                  </w:r>
                  <w:r>
                    <w:rPr>
                      <w:rFonts w:hint="eastAsia"/>
                      <w:color w:val="auto"/>
                      <w:lang w:eastAsia="zh-CN"/>
                    </w:rPr>
                    <w:t>℃且低于1</w:t>
                  </w:r>
                  <w:r>
                    <w:rPr>
                      <w:color w:val="auto"/>
                      <w:lang w:eastAsia="zh-CN"/>
                    </w:rPr>
                    <w:t>300</w:t>
                  </w:r>
                  <w:r>
                    <w:rPr>
                      <w:rFonts w:hint="eastAsia"/>
                      <w:color w:val="auto"/>
                      <w:lang w:eastAsia="zh-CN"/>
                    </w:rPr>
                    <w:t>℃，加热对象均为钢材产品，虽然加热温度略有差别，但天然气燃烧过程化学机理一致，类比可行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center"/>
                </w:tcPr>
                <w:p>
                  <w:pPr>
                    <w:pStyle w:val="63"/>
                    <w:rPr>
                      <w:color w:val="auto"/>
                    </w:rPr>
                  </w:pPr>
                  <w:r>
                    <w:rPr>
                      <w:rFonts w:hint="eastAsia"/>
                      <w:color w:val="auto"/>
                      <w:lang w:eastAsia="zh-CN"/>
                    </w:rPr>
                    <w:t>生产工艺</w:t>
                  </w:r>
                </w:p>
              </w:tc>
              <w:tc>
                <w:tcPr>
                  <w:tcW w:w="1843" w:type="dxa"/>
                  <w:vAlign w:val="center"/>
                </w:tcPr>
                <w:p>
                  <w:pPr>
                    <w:pStyle w:val="63"/>
                    <w:rPr>
                      <w:color w:val="auto"/>
                      <w:lang w:eastAsia="zh-CN"/>
                    </w:rPr>
                  </w:pPr>
                  <w:r>
                    <w:rPr>
                      <w:rFonts w:hint="eastAsia"/>
                      <w:color w:val="auto"/>
                      <w:lang w:eastAsia="zh-CN"/>
                    </w:rPr>
                    <w:t>就加热工序而言，采用天然气燃烧改变钢材的组织结构，促进钢材的塑性和可加工性，便于后端热轧</w:t>
                  </w:r>
                </w:p>
              </w:tc>
              <w:tc>
                <w:tcPr>
                  <w:tcW w:w="1984" w:type="dxa"/>
                  <w:vAlign w:val="center"/>
                </w:tcPr>
                <w:p>
                  <w:pPr>
                    <w:pStyle w:val="63"/>
                    <w:rPr>
                      <w:color w:val="auto"/>
                    </w:rPr>
                  </w:pPr>
                  <w:r>
                    <w:rPr>
                      <w:rFonts w:hint="eastAsia"/>
                      <w:color w:val="auto"/>
                      <w:lang w:eastAsia="zh-CN"/>
                    </w:rPr>
                    <w:t>就加热工序而言，采用天然气燃烧改变钢带的屈服点、抗拉强度和韧性等机械性能，保证钢带具有较好的塑性和韧性，在使用中不易发生断裂和变形</w:t>
                  </w:r>
                </w:p>
              </w:tc>
              <w:tc>
                <w:tcPr>
                  <w:tcW w:w="2996" w:type="dxa"/>
                  <w:vAlign w:val="center"/>
                </w:tcPr>
                <w:p>
                  <w:pPr>
                    <w:pStyle w:val="63"/>
                    <w:rPr>
                      <w:color w:val="auto"/>
                    </w:rPr>
                  </w:pPr>
                  <w:r>
                    <w:rPr>
                      <w:rFonts w:hint="eastAsia"/>
                      <w:color w:val="auto"/>
                      <w:lang w:eastAsia="zh-CN"/>
                    </w:rPr>
                    <w:t>均采用燃烧加热方式改变钢材产品表面和内部组织结构，属于物理过程，类比可行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center"/>
                </w:tcPr>
                <w:p>
                  <w:pPr>
                    <w:pStyle w:val="63"/>
                    <w:rPr>
                      <w:color w:val="auto"/>
                    </w:rPr>
                  </w:pPr>
                  <w:r>
                    <w:rPr>
                      <w:rFonts w:hint="eastAsia"/>
                      <w:color w:val="auto"/>
                      <w:lang w:eastAsia="zh-CN"/>
                    </w:rPr>
                    <w:t>生产规模</w:t>
                  </w:r>
                </w:p>
              </w:tc>
              <w:tc>
                <w:tcPr>
                  <w:tcW w:w="1843" w:type="dxa"/>
                  <w:vAlign w:val="center"/>
                </w:tcPr>
                <w:p>
                  <w:pPr>
                    <w:pStyle w:val="63"/>
                    <w:rPr>
                      <w:color w:val="auto"/>
                      <w:lang w:eastAsia="zh-CN"/>
                    </w:rPr>
                  </w:pPr>
                  <w:r>
                    <w:rPr>
                      <w:rFonts w:hint="eastAsia"/>
                      <w:color w:val="auto"/>
                      <w:lang w:eastAsia="zh-CN"/>
                    </w:rPr>
                    <w:t>热轧钢带1</w:t>
                  </w:r>
                  <w:r>
                    <w:rPr>
                      <w:color w:val="auto"/>
                      <w:lang w:eastAsia="zh-CN"/>
                    </w:rPr>
                    <w:t>40</w:t>
                  </w:r>
                  <w:r>
                    <w:rPr>
                      <w:rFonts w:hint="eastAsia"/>
                      <w:color w:val="auto"/>
                      <w:lang w:eastAsia="zh-CN"/>
                    </w:rPr>
                    <w:t>万吨/年</w:t>
                  </w:r>
                </w:p>
              </w:tc>
              <w:tc>
                <w:tcPr>
                  <w:tcW w:w="1984" w:type="dxa"/>
                  <w:vAlign w:val="center"/>
                </w:tcPr>
                <w:p>
                  <w:pPr>
                    <w:pStyle w:val="63"/>
                    <w:rPr>
                      <w:color w:val="auto"/>
                      <w:lang w:eastAsia="zh-CN"/>
                    </w:rPr>
                  </w:pPr>
                  <w:r>
                    <w:rPr>
                      <w:rFonts w:hint="eastAsia"/>
                      <w:color w:val="auto"/>
                      <w:lang w:eastAsia="zh-CN"/>
                    </w:rPr>
                    <w:t>热退火处理钢带3</w:t>
                  </w:r>
                  <w:r>
                    <w:rPr>
                      <w:color w:val="auto"/>
                      <w:lang w:eastAsia="zh-CN"/>
                    </w:rPr>
                    <w:t>0</w:t>
                  </w:r>
                  <w:r>
                    <w:rPr>
                      <w:rFonts w:hint="eastAsia"/>
                      <w:color w:val="auto"/>
                      <w:lang w:eastAsia="zh-CN"/>
                    </w:rPr>
                    <w:t>万t/a</w:t>
                  </w:r>
                </w:p>
              </w:tc>
              <w:tc>
                <w:tcPr>
                  <w:tcW w:w="2996" w:type="dxa"/>
                  <w:vAlign w:val="center"/>
                </w:tcPr>
                <w:p>
                  <w:pPr>
                    <w:pStyle w:val="63"/>
                    <w:rPr>
                      <w:color w:val="auto"/>
                      <w:lang w:eastAsia="zh-CN"/>
                    </w:rPr>
                  </w:pPr>
                  <w:r>
                    <w:rPr>
                      <w:rFonts w:hint="eastAsia"/>
                      <w:color w:val="auto"/>
                      <w:lang w:eastAsia="zh-CN"/>
                    </w:rPr>
                    <w:t>建设单位提供了近两年详细的生产资料，按照单位产品耗气量进行折算，类比可行</w:t>
                  </w:r>
                </w:p>
              </w:tc>
            </w:tr>
          </w:tbl>
          <w:p>
            <w:pPr>
              <w:ind w:firstLine="480"/>
              <w:rPr>
                <w:color w:val="auto"/>
              </w:rPr>
            </w:pPr>
            <w:r>
              <w:rPr>
                <w:rFonts w:hint="eastAsia"/>
                <w:color w:val="auto"/>
              </w:rPr>
              <w:t>根据上表，从项目所使用的热源来源、生产工艺等几个方面进行类比分析，废气源强核算类比年产140万吨热轧生产线建设项目是可行的。</w:t>
            </w:r>
          </w:p>
          <w:p>
            <w:pPr>
              <w:ind w:firstLine="480"/>
              <w:rPr>
                <w:color w:val="auto"/>
              </w:rPr>
            </w:pPr>
            <w:r>
              <w:rPr>
                <w:rFonts w:hint="eastAsia"/>
                <w:color w:val="auto"/>
              </w:rPr>
              <w:t>本次环评收集到年产140万吨热轧生产线建设项目2</w:t>
            </w:r>
            <w:r>
              <w:rPr>
                <w:color w:val="auto"/>
              </w:rPr>
              <w:t>023</w:t>
            </w:r>
            <w:r>
              <w:rPr>
                <w:rFonts w:hint="eastAsia"/>
                <w:color w:val="auto"/>
              </w:rPr>
              <w:t>全年的生产数据，统计见下表：</w:t>
            </w:r>
          </w:p>
          <w:p>
            <w:pPr>
              <w:pStyle w:val="66"/>
              <w:rPr>
                <w:color w:val="auto"/>
              </w:rPr>
            </w:pPr>
            <w:r>
              <w:rPr>
                <w:rFonts w:hint="eastAsia"/>
                <w:color w:val="auto"/>
              </w:rPr>
              <w:t>表4</w:t>
            </w:r>
            <w:r>
              <w:rPr>
                <w:color w:val="auto"/>
              </w:rPr>
              <w:t xml:space="preserve">.2.1.5-3 </w:t>
            </w:r>
            <w:r>
              <w:rPr>
                <w:rFonts w:hint="eastAsia"/>
                <w:color w:val="auto"/>
              </w:rPr>
              <w:t>年产140万吨热轧生产线建设项目生产数据一览表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1947"/>
              <w:gridCol w:w="206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54" w:type="pct"/>
                  <w:shd w:val="clear" w:color="auto" w:fill="auto"/>
                  <w:noWrap/>
                  <w:vAlign w:val="center"/>
                </w:tcPr>
                <w:p>
                  <w:pPr>
                    <w:pStyle w:val="63"/>
                    <w:rPr>
                      <w:color w:val="auto"/>
                    </w:rPr>
                  </w:pPr>
                  <w:r>
                    <w:rPr>
                      <w:color w:val="auto"/>
                    </w:rPr>
                    <w:t>时间</w:t>
                  </w:r>
                </w:p>
              </w:tc>
              <w:tc>
                <w:tcPr>
                  <w:tcW w:w="1232" w:type="pct"/>
                  <w:shd w:val="clear" w:color="auto" w:fill="auto"/>
                  <w:noWrap/>
                  <w:vAlign w:val="center"/>
                </w:tcPr>
                <w:p>
                  <w:pPr>
                    <w:pStyle w:val="63"/>
                    <w:rPr>
                      <w:color w:val="auto"/>
                    </w:rPr>
                  </w:pPr>
                  <w:r>
                    <w:rPr>
                      <w:rFonts w:hint="eastAsia"/>
                      <w:color w:val="auto"/>
                    </w:rPr>
                    <w:t>热轧钢带产量</w:t>
                  </w:r>
                </w:p>
              </w:tc>
              <w:tc>
                <w:tcPr>
                  <w:tcW w:w="1305" w:type="pct"/>
                  <w:shd w:val="clear" w:color="auto" w:fill="auto"/>
                  <w:noWrap/>
                  <w:vAlign w:val="center"/>
                </w:tcPr>
                <w:p>
                  <w:pPr>
                    <w:pStyle w:val="63"/>
                    <w:rPr>
                      <w:color w:val="auto"/>
                    </w:rPr>
                  </w:pPr>
                  <w:r>
                    <w:rPr>
                      <w:rFonts w:hint="eastAsia"/>
                      <w:color w:val="auto"/>
                    </w:rPr>
                    <w:t>天然气</w:t>
                  </w:r>
                  <w:r>
                    <w:rPr>
                      <w:rFonts w:hint="eastAsia"/>
                      <w:color w:val="auto"/>
                      <w:lang w:eastAsia="zh-CN"/>
                    </w:rPr>
                    <w:t>总用量</w:t>
                  </w:r>
                </w:p>
              </w:tc>
              <w:tc>
                <w:tcPr>
                  <w:tcW w:w="1209" w:type="pct"/>
                  <w:shd w:val="clear" w:color="auto" w:fill="auto"/>
                  <w:noWrap/>
                  <w:vAlign w:val="center"/>
                </w:tcPr>
                <w:p>
                  <w:pPr>
                    <w:pStyle w:val="63"/>
                    <w:rPr>
                      <w:color w:val="auto"/>
                    </w:rPr>
                  </w:pPr>
                  <w:r>
                    <w:rPr>
                      <w:rFonts w:hint="eastAsia"/>
                      <w:color w:val="auto"/>
                    </w:rPr>
                    <w:t>单耗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54" w:type="pct"/>
                  <w:shd w:val="clear" w:color="auto" w:fill="auto"/>
                  <w:noWrap/>
                  <w:vAlign w:val="center"/>
                </w:tcPr>
                <w:p>
                  <w:pPr>
                    <w:pStyle w:val="63"/>
                    <w:rPr>
                      <w:color w:val="auto"/>
                    </w:rPr>
                  </w:pPr>
                  <w:r>
                    <w:rPr>
                      <w:rFonts w:hint="eastAsia"/>
                      <w:color w:val="auto"/>
                    </w:rPr>
                    <w:t>2023年</w:t>
                  </w:r>
                </w:p>
              </w:tc>
              <w:tc>
                <w:tcPr>
                  <w:tcW w:w="1232" w:type="pct"/>
                  <w:shd w:val="clear" w:color="auto" w:fill="auto"/>
                  <w:noWrap/>
                  <w:vAlign w:val="center"/>
                </w:tcPr>
                <w:p>
                  <w:pPr>
                    <w:pStyle w:val="63"/>
                    <w:rPr>
                      <w:color w:val="auto"/>
                    </w:rPr>
                  </w:pPr>
                  <w:r>
                    <w:rPr>
                      <w:rFonts w:hint="eastAsia"/>
                      <w:color w:val="auto"/>
                    </w:rPr>
                    <w:t>341751.9</w:t>
                  </w:r>
                  <w:r>
                    <w:rPr>
                      <w:rFonts w:hint="eastAsia"/>
                      <w:color w:val="auto"/>
                      <w:lang w:eastAsia="zh-CN"/>
                    </w:rPr>
                    <w:t>t</w:t>
                  </w:r>
                </w:p>
              </w:tc>
              <w:tc>
                <w:tcPr>
                  <w:tcW w:w="1305" w:type="pct"/>
                  <w:shd w:val="clear" w:color="auto" w:fill="auto"/>
                  <w:noWrap/>
                  <w:vAlign w:val="center"/>
                </w:tcPr>
                <w:p>
                  <w:pPr>
                    <w:pStyle w:val="63"/>
                    <w:rPr>
                      <w:color w:val="auto"/>
                    </w:rPr>
                  </w:pPr>
                  <w:r>
                    <w:rPr>
                      <w:rFonts w:hint="eastAsia"/>
                      <w:color w:val="auto"/>
                    </w:rPr>
                    <w:t>12684036</w:t>
                  </w:r>
                  <w:r>
                    <w:rPr>
                      <w:rFonts w:hint="eastAsia"/>
                      <w:color w:val="auto"/>
                      <w:lang w:eastAsia="zh-CN"/>
                    </w:rPr>
                    <w:t>m</w:t>
                  </w:r>
                  <w:r>
                    <w:rPr>
                      <w:rFonts w:hint="eastAsia"/>
                      <w:color w:val="auto"/>
                      <w:vertAlign w:val="superscript"/>
                      <w:lang w:eastAsia="zh-CN"/>
                    </w:rPr>
                    <w:t>3</w:t>
                  </w:r>
                </w:p>
              </w:tc>
              <w:tc>
                <w:tcPr>
                  <w:tcW w:w="1209" w:type="pct"/>
                  <w:shd w:val="clear" w:color="auto" w:fill="auto"/>
                  <w:noWrap/>
                  <w:vAlign w:val="center"/>
                </w:tcPr>
                <w:p>
                  <w:pPr>
                    <w:pStyle w:val="63"/>
                    <w:rPr>
                      <w:color w:val="auto"/>
                    </w:rPr>
                  </w:pPr>
                  <w:r>
                    <w:rPr>
                      <w:rFonts w:hint="eastAsia"/>
                      <w:color w:val="auto"/>
                    </w:rPr>
                    <w:t>37.11</w:t>
                  </w:r>
                  <w:r>
                    <w:rPr>
                      <w:rFonts w:hint="eastAsia"/>
                      <w:color w:val="auto"/>
                      <w:lang w:eastAsia="zh-CN"/>
                    </w:rPr>
                    <w:t>m</w:t>
                  </w:r>
                  <w:r>
                    <w:rPr>
                      <w:rFonts w:hint="eastAsia"/>
                      <w:color w:val="auto"/>
                      <w:vertAlign w:val="superscript"/>
                      <w:lang w:eastAsia="zh-CN"/>
                    </w:rPr>
                    <w:t>3</w:t>
                  </w:r>
                  <w:r>
                    <w:rPr>
                      <w:color w:val="auto"/>
                      <w:lang w:eastAsia="zh-CN"/>
                    </w:rPr>
                    <w:t>/</w:t>
                  </w:r>
                  <w:r>
                    <w:rPr>
                      <w:rFonts w:hint="eastAsia"/>
                      <w:color w:val="auto"/>
                      <w:lang w:eastAsia="zh-CN"/>
                    </w:rPr>
                    <w:t>t·钢材</w:t>
                  </w:r>
                </w:p>
              </w:tc>
            </w:tr>
          </w:tbl>
          <w:p>
            <w:pPr>
              <w:ind w:firstLine="480"/>
              <w:rPr>
                <w:color w:val="auto"/>
              </w:rPr>
            </w:pPr>
            <w:r>
              <w:rPr>
                <w:rFonts w:hint="eastAsia"/>
                <w:color w:val="auto"/>
              </w:rPr>
              <w:t>理论情况下，年产140万吨热轧生产线建设项目满负荷生产时间为3</w:t>
            </w:r>
            <w:r>
              <w:rPr>
                <w:color w:val="auto"/>
              </w:rPr>
              <w:t>00</w:t>
            </w:r>
            <w:r>
              <w:rPr>
                <w:rFonts w:hint="eastAsia"/>
                <w:color w:val="auto"/>
              </w:rPr>
              <w:t>d，2</w:t>
            </w:r>
            <w:r>
              <w:rPr>
                <w:color w:val="auto"/>
              </w:rPr>
              <w:t>4</w:t>
            </w:r>
            <w:r>
              <w:rPr>
                <w:rFonts w:hint="eastAsia"/>
                <w:color w:val="auto"/>
              </w:rPr>
              <w:t>h</w:t>
            </w:r>
            <w:r>
              <w:rPr>
                <w:color w:val="auto"/>
              </w:rPr>
              <w:t>/</w:t>
            </w:r>
            <w:r>
              <w:rPr>
                <w:rFonts w:hint="eastAsia"/>
                <w:color w:val="auto"/>
              </w:rPr>
              <w:t>d，折合7</w:t>
            </w:r>
            <w:r>
              <w:rPr>
                <w:color w:val="auto"/>
              </w:rPr>
              <w:t>200</w:t>
            </w:r>
            <w:r>
              <w:rPr>
                <w:rFonts w:hint="eastAsia"/>
                <w:color w:val="auto"/>
              </w:rPr>
              <w:t>h</w:t>
            </w:r>
            <w:r>
              <w:rPr>
                <w:color w:val="auto"/>
              </w:rPr>
              <w:t>/</w:t>
            </w:r>
            <w:r>
              <w:rPr>
                <w:rFonts w:hint="eastAsia"/>
                <w:color w:val="auto"/>
              </w:rPr>
              <w:t>a。理论情况下，年产140万吨热轧生产线建设项目生产参数统计见下表：</w:t>
            </w:r>
          </w:p>
          <w:p>
            <w:pPr>
              <w:pStyle w:val="66"/>
              <w:rPr>
                <w:color w:val="auto"/>
              </w:rPr>
            </w:pPr>
            <w:r>
              <w:rPr>
                <w:rFonts w:hint="eastAsia"/>
                <w:color w:val="auto"/>
              </w:rPr>
              <w:t>表4</w:t>
            </w:r>
            <w:r>
              <w:rPr>
                <w:color w:val="auto"/>
              </w:rPr>
              <w:t xml:space="preserve">.2.1.5-4 </w:t>
            </w:r>
            <w:r>
              <w:rPr>
                <w:rFonts w:hint="eastAsia"/>
                <w:color w:val="auto"/>
              </w:rPr>
              <w:t>年产140万吨热轧生产线建设项目生产参数一览表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715"/>
              <w:gridCol w:w="1857"/>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2" w:type="pct"/>
                  <w:shd w:val="clear" w:color="auto" w:fill="auto"/>
                  <w:noWrap/>
                  <w:vAlign w:val="center"/>
                </w:tcPr>
                <w:p>
                  <w:pPr>
                    <w:pStyle w:val="63"/>
                    <w:rPr>
                      <w:color w:val="auto"/>
                    </w:rPr>
                  </w:pPr>
                  <w:r>
                    <w:rPr>
                      <w:rFonts w:hint="eastAsia"/>
                      <w:color w:val="auto"/>
                    </w:rPr>
                    <w:t>热轧钢带产量</w:t>
                  </w:r>
                </w:p>
              </w:tc>
              <w:tc>
                <w:tcPr>
                  <w:tcW w:w="1085" w:type="pct"/>
                  <w:shd w:val="clear" w:color="auto" w:fill="auto"/>
                  <w:noWrap/>
                  <w:vAlign w:val="center"/>
                </w:tcPr>
                <w:p>
                  <w:pPr>
                    <w:pStyle w:val="63"/>
                    <w:rPr>
                      <w:color w:val="auto"/>
                    </w:rPr>
                  </w:pPr>
                  <w:r>
                    <w:rPr>
                      <w:rFonts w:hint="eastAsia"/>
                      <w:color w:val="auto"/>
                    </w:rPr>
                    <w:t>天然气</w:t>
                  </w:r>
                  <w:r>
                    <w:rPr>
                      <w:rFonts w:hint="eastAsia"/>
                      <w:color w:val="auto"/>
                      <w:lang w:eastAsia="zh-CN"/>
                    </w:rPr>
                    <w:t>总用量</w:t>
                  </w:r>
                </w:p>
              </w:tc>
              <w:tc>
                <w:tcPr>
                  <w:tcW w:w="1175" w:type="pct"/>
                  <w:shd w:val="clear" w:color="auto" w:fill="auto"/>
                  <w:noWrap/>
                  <w:vAlign w:val="center"/>
                </w:tcPr>
                <w:p>
                  <w:pPr>
                    <w:pStyle w:val="63"/>
                    <w:rPr>
                      <w:color w:val="auto"/>
                    </w:rPr>
                  </w:pPr>
                  <w:r>
                    <w:rPr>
                      <w:rFonts w:hint="eastAsia"/>
                      <w:color w:val="auto"/>
                      <w:lang w:eastAsia="zh-CN"/>
                    </w:rPr>
                    <w:t>满负荷工况</w:t>
                  </w:r>
                </w:p>
              </w:tc>
              <w:tc>
                <w:tcPr>
                  <w:tcW w:w="1768" w:type="pct"/>
                  <w:shd w:val="clear" w:color="auto" w:fill="auto"/>
                  <w:noWrap/>
                  <w:vAlign w:val="center"/>
                </w:tcPr>
                <w:p>
                  <w:pPr>
                    <w:pStyle w:val="63"/>
                    <w:rPr>
                      <w:color w:val="auto"/>
                    </w:rPr>
                  </w:pPr>
                  <w:r>
                    <w:rPr>
                      <w:rFonts w:hint="eastAsia"/>
                      <w:color w:val="auto"/>
                      <w:lang w:eastAsia="zh-CN"/>
                    </w:rPr>
                    <w:t>满负荷天然气消耗量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2" w:type="pct"/>
                  <w:shd w:val="clear" w:color="auto" w:fill="auto"/>
                  <w:noWrap/>
                  <w:vAlign w:val="center"/>
                </w:tcPr>
                <w:p>
                  <w:pPr>
                    <w:pStyle w:val="63"/>
                    <w:rPr>
                      <w:color w:val="auto"/>
                      <w:lang w:eastAsia="zh-CN"/>
                    </w:rPr>
                  </w:pPr>
                  <w:r>
                    <w:rPr>
                      <w:color w:val="auto"/>
                    </w:rPr>
                    <w:t>140</w:t>
                  </w:r>
                  <w:r>
                    <w:rPr>
                      <w:rFonts w:hint="eastAsia"/>
                      <w:color w:val="auto"/>
                      <w:lang w:eastAsia="zh-CN"/>
                    </w:rPr>
                    <w:t>万t</w:t>
                  </w:r>
                  <w:r>
                    <w:rPr>
                      <w:color w:val="auto"/>
                      <w:lang w:eastAsia="zh-CN"/>
                    </w:rPr>
                    <w:t>/</w:t>
                  </w:r>
                  <w:r>
                    <w:rPr>
                      <w:rFonts w:hint="eastAsia"/>
                      <w:color w:val="auto"/>
                      <w:lang w:eastAsia="zh-CN"/>
                    </w:rPr>
                    <w:t>a</w:t>
                  </w:r>
                </w:p>
              </w:tc>
              <w:tc>
                <w:tcPr>
                  <w:tcW w:w="1085" w:type="pct"/>
                  <w:shd w:val="clear" w:color="auto" w:fill="auto"/>
                  <w:noWrap/>
                  <w:vAlign w:val="center"/>
                </w:tcPr>
                <w:p>
                  <w:pPr>
                    <w:pStyle w:val="63"/>
                    <w:rPr>
                      <w:color w:val="auto"/>
                    </w:rPr>
                  </w:pPr>
                  <w:r>
                    <w:rPr>
                      <w:color w:val="auto"/>
                      <w:lang w:eastAsia="zh-CN"/>
                    </w:rPr>
                    <w:t>5110</w:t>
                  </w:r>
                  <w:r>
                    <w:rPr>
                      <w:rFonts w:hint="eastAsia"/>
                      <w:color w:val="auto"/>
                      <w:lang w:eastAsia="zh-CN"/>
                    </w:rPr>
                    <w:t>万m</w:t>
                  </w:r>
                  <w:r>
                    <w:rPr>
                      <w:rFonts w:hint="eastAsia"/>
                      <w:color w:val="auto"/>
                      <w:vertAlign w:val="superscript"/>
                      <w:lang w:eastAsia="zh-CN"/>
                    </w:rPr>
                    <w:t>3</w:t>
                  </w:r>
                  <w:r>
                    <w:rPr>
                      <w:color w:val="auto"/>
                    </w:rPr>
                    <w:t>/</w:t>
                  </w:r>
                  <w:r>
                    <w:rPr>
                      <w:color w:val="auto"/>
                      <w:lang w:eastAsia="zh-CN"/>
                    </w:rPr>
                    <w:t>a</w:t>
                  </w:r>
                </w:p>
              </w:tc>
              <w:tc>
                <w:tcPr>
                  <w:tcW w:w="1175" w:type="pct"/>
                  <w:shd w:val="clear" w:color="auto" w:fill="auto"/>
                  <w:noWrap/>
                  <w:vAlign w:val="center"/>
                </w:tcPr>
                <w:p>
                  <w:pPr>
                    <w:pStyle w:val="63"/>
                    <w:rPr>
                      <w:color w:val="auto"/>
                      <w:lang w:eastAsia="zh-CN"/>
                    </w:rPr>
                  </w:pPr>
                  <w:r>
                    <w:rPr>
                      <w:rFonts w:hint="eastAsia"/>
                      <w:color w:val="auto"/>
                      <w:lang w:eastAsia="zh-CN"/>
                    </w:rPr>
                    <w:t>1</w:t>
                  </w:r>
                  <w:r>
                    <w:rPr>
                      <w:color w:val="auto"/>
                      <w:lang w:eastAsia="zh-CN"/>
                    </w:rPr>
                    <w:t>94.44</w:t>
                  </w:r>
                  <w:r>
                    <w:rPr>
                      <w:rFonts w:hint="eastAsia"/>
                      <w:color w:val="auto"/>
                      <w:lang w:eastAsia="zh-CN"/>
                    </w:rPr>
                    <w:t>t/h</w:t>
                  </w:r>
                </w:p>
              </w:tc>
              <w:tc>
                <w:tcPr>
                  <w:tcW w:w="1768" w:type="pct"/>
                  <w:shd w:val="clear" w:color="auto" w:fill="auto"/>
                  <w:noWrap/>
                  <w:vAlign w:val="center"/>
                </w:tcPr>
                <w:p>
                  <w:pPr>
                    <w:pStyle w:val="63"/>
                    <w:rPr>
                      <w:color w:val="auto"/>
                    </w:rPr>
                  </w:pPr>
                  <w:r>
                    <w:rPr>
                      <w:color w:val="auto"/>
                    </w:rPr>
                    <w:t>7097.06</w:t>
                  </w:r>
                  <w:r>
                    <w:rPr>
                      <w:rFonts w:hint="eastAsia"/>
                      <w:color w:val="auto"/>
                      <w:lang w:eastAsia="zh-CN"/>
                    </w:rPr>
                    <w:t>m</w:t>
                  </w:r>
                  <w:r>
                    <w:rPr>
                      <w:rFonts w:hint="eastAsia"/>
                      <w:color w:val="auto"/>
                      <w:vertAlign w:val="superscript"/>
                      <w:lang w:eastAsia="zh-CN"/>
                    </w:rPr>
                    <w:t>3</w:t>
                  </w:r>
                  <w:r>
                    <w:rPr>
                      <w:color w:val="auto"/>
                      <w:lang w:eastAsia="zh-CN"/>
                    </w:rPr>
                    <w:t>/</w:t>
                  </w:r>
                  <w:r>
                    <w:rPr>
                      <w:rFonts w:hint="eastAsia"/>
                      <w:color w:val="auto"/>
                      <w:lang w:eastAsia="zh-CN"/>
                    </w:rPr>
                    <w:t>h</w:t>
                  </w:r>
                </w:p>
              </w:tc>
            </w:tr>
          </w:tbl>
          <w:p>
            <w:pPr>
              <w:ind w:firstLine="480"/>
              <w:rPr>
                <w:color w:val="auto"/>
              </w:rPr>
            </w:pPr>
            <w:r>
              <w:rPr>
                <w:rFonts w:hint="eastAsia"/>
                <w:color w:val="auto"/>
              </w:rPr>
              <w:t>本次环评收集到年产140万吨热轧生产线建设项目202</w:t>
            </w:r>
            <w:r>
              <w:rPr>
                <w:color w:val="auto"/>
              </w:rPr>
              <w:t>3</w:t>
            </w:r>
            <w:r>
              <w:rPr>
                <w:rFonts w:hint="eastAsia"/>
                <w:color w:val="auto"/>
              </w:rPr>
              <w:t>年全年自行监测报告，根据自行监测报告，结合年产140万吨热轧生产线建设项目2</w:t>
            </w:r>
            <w:r>
              <w:rPr>
                <w:color w:val="auto"/>
              </w:rPr>
              <w:t>023</w:t>
            </w:r>
            <w:r>
              <w:rPr>
                <w:rFonts w:hint="eastAsia"/>
                <w:color w:val="auto"/>
              </w:rPr>
              <w:t>年实际天然气单耗量、自行监测期间生产负荷等，自行监测期间各污染物排放情况见以下各表：</w:t>
            </w:r>
          </w:p>
          <w:p>
            <w:pPr>
              <w:pStyle w:val="66"/>
              <w:rPr>
                <w:color w:val="auto"/>
              </w:rPr>
            </w:pPr>
            <w:r>
              <w:rPr>
                <w:rFonts w:hint="eastAsia"/>
                <w:color w:val="auto"/>
              </w:rPr>
              <w:t>表4</w:t>
            </w:r>
            <w:r>
              <w:rPr>
                <w:color w:val="auto"/>
              </w:rPr>
              <w:t xml:space="preserve">.2.1.5-5 </w:t>
            </w:r>
            <w:r>
              <w:rPr>
                <w:rFonts w:hint="eastAsia"/>
                <w:color w:val="auto"/>
              </w:rPr>
              <w:t>类比项目二氧化硫产生情况一览表</w:t>
            </w:r>
          </w:p>
          <w:tbl>
            <w:tblPr>
              <w:tblStyle w:val="26"/>
              <w:tblW w:w="79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056"/>
              <w:gridCol w:w="1194"/>
              <w:gridCol w:w="1283"/>
              <w:gridCol w:w="1418"/>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2" w:type="dxa"/>
                  <w:shd w:val="clear" w:color="auto" w:fill="auto"/>
                  <w:noWrap/>
                  <w:vAlign w:val="center"/>
                </w:tcPr>
                <w:p>
                  <w:pPr>
                    <w:pStyle w:val="63"/>
                    <w:rPr>
                      <w:color w:val="auto"/>
                    </w:rPr>
                  </w:pPr>
                  <w:r>
                    <w:rPr>
                      <w:rFonts w:hint="eastAsia"/>
                      <w:color w:val="auto"/>
                      <w:lang w:eastAsia="zh-CN"/>
                    </w:rPr>
                    <w:t>监测日期</w:t>
                  </w:r>
                </w:p>
              </w:tc>
              <w:tc>
                <w:tcPr>
                  <w:tcW w:w="1056" w:type="dxa"/>
                  <w:shd w:val="clear" w:color="auto" w:fill="auto"/>
                  <w:noWrap/>
                  <w:vAlign w:val="center"/>
                </w:tcPr>
                <w:p>
                  <w:pPr>
                    <w:pStyle w:val="63"/>
                    <w:rPr>
                      <w:color w:val="auto"/>
                    </w:rPr>
                  </w:pPr>
                  <w:r>
                    <w:rPr>
                      <w:rFonts w:hint="eastAsia"/>
                      <w:color w:val="auto"/>
                      <w:lang w:eastAsia="zh-CN"/>
                    </w:rPr>
                    <w:t>生产工况</w:t>
                  </w:r>
                </w:p>
              </w:tc>
              <w:tc>
                <w:tcPr>
                  <w:tcW w:w="1194" w:type="dxa"/>
                  <w:shd w:val="clear" w:color="auto" w:fill="auto"/>
                  <w:noWrap/>
                  <w:vAlign w:val="center"/>
                </w:tcPr>
                <w:p>
                  <w:pPr>
                    <w:pStyle w:val="63"/>
                    <w:rPr>
                      <w:color w:val="auto"/>
                    </w:rPr>
                  </w:pPr>
                  <w:r>
                    <w:rPr>
                      <w:rFonts w:hint="eastAsia"/>
                      <w:color w:val="auto"/>
                      <w:lang w:eastAsia="zh-CN"/>
                    </w:rPr>
                    <w:t>轧钢产能（t/h）</w:t>
                  </w:r>
                </w:p>
              </w:tc>
              <w:tc>
                <w:tcPr>
                  <w:tcW w:w="1283" w:type="dxa"/>
                  <w:shd w:val="clear" w:color="auto" w:fill="auto"/>
                  <w:noWrap/>
                  <w:vAlign w:val="center"/>
                </w:tcPr>
                <w:p>
                  <w:pPr>
                    <w:pStyle w:val="63"/>
                    <w:rPr>
                      <w:color w:val="auto"/>
                    </w:rPr>
                  </w:pPr>
                  <w:r>
                    <w:rPr>
                      <w:rFonts w:hint="eastAsia"/>
                      <w:color w:val="auto"/>
                      <w:lang w:eastAsia="zh-CN"/>
                    </w:rPr>
                    <w:t>天然气消耗量（m</w:t>
                  </w:r>
                  <w:r>
                    <w:rPr>
                      <w:rFonts w:hint="eastAsia"/>
                      <w:color w:val="auto"/>
                      <w:vertAlign w:val="superscript"/>
                      <w:lang w:eastAsia="zh-CN"/>
                    </w:rPr>
                    <w:t>3</w:t>
                  </w:r>
                  <w:r>
                    <w:rPr>
                      <w:color w:val="auto"/>
                      <w:lang w:eastAsia="zh-CN"/>
                    </w:rPr>
                    <w:t>/</w:t>
                  </w:r>
                  <w:r>
                    <w:rPr>
                      <w:rFonts w:hint="eastAsia"/>
                      <w:color w:val="auto"/>
                      <w:lang w:eastAsia="zh-CN"/>
                    </w:rPr>
                    <w:t>h）</w:t>
                  </w:r>
                </w:p>
              </w:tc>
              <w:tc>
                <w:tcPr>
                  <w:tcW w:w="1418" w:type="dxa"/>
                  <w:vAlign w:val="center"/>
                </w:tcPr>
                <w:p>
                  <w:pPr>
                    <w:pStyle w:val="63"/>
                    <w:rPr>
                      <w:color w:val="auto"/>
                      <w:lang w:eastAsia="zh-CN"/>
                    </w:rPr>
                  </w:pPr>
                  <w:r>
                    <w:rPr>
                      <w:rFonts w:hint="eastAsia"/>
                      <w:color w:val="auto"/>
                    </w:rPr>
                    <w:t>二氧化硫</w:t>
                  </w:r>
                  <w:r>
                    <w:rPr>
                      <w:rFonts w:hint="eastAsia"/>
                      <w:color w:val="auto"/>
                      <w:lang w:eastAsia="zh-CN"/>
                    </w:rPr>
                    <w:t>排放浓度</w:t>
                  </w:r>
                </w:p>
                <w:p>
                  <w:pPr>
                    <w:pStyle w:val="63"/>
                    <w:rPr>
                      <w:color w:val="auto"/>
                      <w:lang w:eastAsia="zh-CN"/>
                    </w:rPr>
                  </w:pPr>
                  <w:r>
                    <w:rPr>
                      <w:rFonts w:hint="eastAsia"/>
                      <w:color w:val="auto"/>
                      <w:lang w:eastAsia="zh-CN"/>
                    </w:rPr>
                    <w:t>（kg/h）</w:t>
                  </w:r>
                </w:p>
              </w:tc>
              <w:tc>
                <w:tcPr>
                  <w:tcW w:w="1781" w:type="dxa"/>
                  <w:vAlign w:val="center"/>
                </w:tcPr>
                <w:p>
                  <w:pPr>
                    <w:pStyle w:val="63"/>
                    <w:rPr>
                      <w:color w:val="auto"/>
                      <w:lang w:eastAsia="zh-CN"/>
                    </w:rPr>
                  </w:pPr>
                  <w:r>
                    <w:rPr>
                      <w:rFonts w:hint="eastAsia"/>
                      <w:color w:val="auto"/>
                      <w:lang w:eastAsia="zh-CN"/>
                    </w:rPr>
                    <w:t>单位天然气</w:t>
                  </w:r>
                  <w:r>
                    <w:rPr>
                      <w:rFonts w:hint="eastAsia"/>
                      <w:color w:val="auto"/>
                    </w:rPr>
                    <w:t>二氧化硫</w:t>
                  </w:r>
                  <w:r>
                    <w:rPr>
                      <w:rFonts w:hint="eastAsia"/>
                      <w:color w:val="auto"/>
                      <w:lang w:eastAsia="zh-CN"/>
                    </w:rPr>
                    <w:t>排放量</w:t>
                  </w:r>
                </w:p>
                <w:p>
                  <w:pPr>
                    <w:pStyle w:val="63"/>
                    <w:rPr>
                      <w:color w:val="auto"/>
                      <w:lang w:eastAsia="zh-CN"/>
                    </w:rPr>
                  </w:pPr>
                  <w:r>
                    <w:rPr>
                      <w:rFonts w:hint="eastAsia"/>
                      <w:color w:val="auto"/>
                      <w:lang w:eastAsia="zh-CN"/>
                    </w:rPr>
                    <w:t>（万m</w:t>
                  </w:r>
                  <w:r>
                    <w:rPr>
                      <w:rFonts w:hint="eastAsia"/>
                      <w:color w:val="auto"/>
                      <w:vertAlign w:val="superscript"/>
                      <w:lang w:eastAsia="zh-CN"/>
                    </w:rPr>
                    <w:t>3</w:t>
                  </w:r>
                  <w:r>
                    <w:rPr>
                      <w:color w:val="auto"/>
                    </w:rPr>
                    <w:t>/</w:t>
                  </w:r>
                  <w:r>
                    <w:rPr>
                      <w:rFonts w:hint="eastAsia"/>
                      <w:color w:val="auto"/>
                      <w:lang w:eastAsia="zh-CN"/>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2" w:type="dxa"/>
                  <w:shd w:val="clear" w:color="auto" w:fill="auto"/>
                  <w:noWrap/>
                  <w:vAlign w:val="center"/>
                </w:tcPr>
                <w:p>
                  <w:pPr>
                    <w:pStyle w:val="63"/>
                    <w:rPr>
                      <w:color w:val="auto"/>
                      <w:lang w:eastAsia="zh-CN"/>
                    </w:rPr>
                  </w:pPr>
                  <w:r>
                    <w:rPr>
                      <w:rFonts w:hint="eastAsia"/>
                      <w:color w:val="auto"/>
                      <w:lang w:eastAsia="zh-CN"/>
                    </w:rPr>
                    <w:t>2</w:t>
                  </w:r>
                  <w:r>
                    <w:rPr>
                      <w:color w:val="auto"/>
                      <w:lang w:eastAsia="zh-CN"/>
                    </w:rPr>
                    <w:t>023.02.21</w:t>
                  </w:r>
                </w:p>
              </w:tc>
              <w:tc>
                <w:tcPr>
                  <w:tcW w:w="1056" w:type="dxa"/>
                  <w:shd w:val="clear" w:color="auto" w:fill="auto"/>
                  <w:noWrap/>
                  <w:vAlign w:val="center"/>
                </w:tcPr>
                <w:p>
                  <w:pPr>
                    <w:pStyle w:val="63"/>
                    <w:rPr>
                      <w:color w:val="auto"/>
                      <w:lang w:eastAsia="zh-CN"/>
                    </w:rPr>
                  </w:pPr>
                  <w:r>
                    <w:rPr>
                      <w:rFonts w:hint="eastAsia"/>
                      <w:color w:val="auto"/>
                      <w:lang w:eastAsia="zh-CN"/>
                    </w:rPr>
                    <w:t>9</w:t>
                  </w:r>
                  <w:r>
                    <w:rPr>
                      <w:color w:val="auto"/>
                      <w:lang w:eastAsia="zh-CN"/>
                    </w:rPr>
                    <w:t>9.7%</w:t>
                  </w:r>
                </w:p>
              </w:tc>
              <w:tc>
                <w:tcPr>
                  <w:tcW w:w="1194" w:type="dxa"/>
                  <w:shd w:val="clear" w:color="auto" w:fill="auto"/>
                  <w:noWrap/>
                  <w:vAlign w:val="center"/>
                </w:tcPr>
                <w:p>
                  <w:pPr>
                    <w:pStyle w:val="63"/>
                    <w:rPr>
                      <w:color w:val="auto"/>
                      <w:lang w:eastAsia="zh-CN"/>
                    </w:rPr>
                  </w:pPr>
                  <w:r>
                    <w:rPr>
                      <w:rFonts w:hint="eastAsia"/>
                      <w:color w:val="auto"/>
                      <w:lang w:eastAsia="zh-CN"/>
                    </w:rPr>
                    <w:t>1</w:t>
                  </w:r>
                  <w:r>
                    <w:rPr>
                      <w:color w:val="auto"/>
                      <w:lang w:eastAsia="zh-CN"/>
                    </w:rPr>
                    <w:t>93.86</w:t>
                  </w:r>
                </w:p>
              </w:tc>
              <w:tc>
                <w:tcPr>
                  <w:tcW w:w="1283" w:type="dxa"/>
                  <w:shd w:val="clear" w:color="auto" w:fill="auto"/>
                  <w:noWrap/>
                  <w:vAlign w:val="center"/>
                </w:tcPr>
                <w:p>
                  <w:pPr>
                    <w:pStyle w:val="63"/>
                    <w:rPr>
                      <w:color w:val="auto"/>
                    </w:rPr>
                  </w:pPr>
                  <w:r>
                    <w:rPr>
                      <w:rFonts w:hint="eastAsia"/>
                      <w:color w:val="auto"/>
                    </w:rPr>
                    <w:t>7075.89</w:t>
                  </w:r>
                </w:p>
              </w:tc>
              <w:tc>
                <w:tcPr>
                  <w:tcW w:w="1418" w:type="dxa"/>
                  <w:vAlign w:val="center"/>
                </w:tcPr>
                <w:p>
                  <w:pPr>
                    <w:pStyle w:val="63"/>
                    <w:rPr>
                      <w:color w:val="auto"/>
                      <w:lang w:eastAsia="zh-CN"/>
                    </w:rPr>
                  </w:pPr>
                  <w:r>
                    <w:rPr>
                      <w:rFonts w:hint="eastAsia"/>
                      <w:color w:val="auto"/>
                      <w:lang w:eastAsia="zh-CN"/>
                    </w:rPr>
                    <w:t>2</w:t>
                  </w:r>
                  <w:r>
                    <w:rPr>
                      <w:color w:val="auto"/>
                      <w:lang w:eastAsia="zh-CN"/>
                    </w:rPr>
                    <w:t>.7</w:t>
                  </w:r>
                </w:p>
              </w:tc>
              <w:tc>
                <w:tcPr>
                  <w:tcW w:w="1781" w:type="dxa"/>
                  <w:vAlign w:val="center"/>
                </w:tcPr>
                <w:p>
                  <w:pPr>
                    <w:pStyle w:val="63"/>
                    <w:rPr>
                      <w:color w:val="auto"/>
                      <w:lang w:eastAsia="zh-CN"/>
                    </w:rPr>
                  </w:pPr>
                  <w:r>
                    <w:rPr>
                      <w:rFonts w:hint="eastAsia"/>
                      <w:color w:val="auto"/>
                      <w:lang w:eastAsia="zh-CN"/>
                    </w:rPr>
                    <w:t>3</w:t>
                  </w:r>
                  <w:r>
                    <w:rPr>
                      <w:color w:val="auto"/>
                      <w:lang w:eastAsia="zh-CN"/>
                    </w:rPr>
                    <w:t>.816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2" w:type="dxa"/>
                  <w:shd w:val="clear" w:color="auto" w:fill="auto"/>
                  <w:noWrap/>
                  <w:vAlign w:val="center"/>
                </w:tcPr>
                <w:p>
                  <w:pPr>
                    <w:pStyle w:val="63"/>
                    <w:rPr>
                      <w:color w:val="auto"/>
                      <w:lang w:eastAsia="zh-CN"/>
                    </w:rPr>
                  </w:pPr>
                  <w:r>
                    <w:rPr>
                      <w:rFonts w:hint="eastAsia"/>
                      <w:color w:val="auto"/>
                      <w:lang w:eastAsia="zh-CN"/>
                    </w:rPr>
                    <w:t>2</w:t>
                  </w:r>
                  <w:r>
                    <w:rPr>
                      <w:color w:val="auto"/>
                      <w:lang w:eastAsia="zh-CN"/>
                    </w:rPr>
                    <w:t>023.04.10</w:t>
                  </w:r>
                </w:p>
              </w:tc>
              <w:tc>
                <w:tcPr>
                  <w:tcW w:w="1056" w:type="dxa"/>
                  <w:shd w:val="clear" w:color="auto" w:fill="auto"/>
                  <w:noWrap/>
                  <w:vAlign w:val="center"/>
                </w:tcPr>
                <w:p>
                  <w:pPr>
                    <w:pStyle w:val="63"/>
                    <w:rPr>
                      <w:color w:val="auto"/>
                      <w:lang w:eastAsia="zh-CN"/>
                    </w:rPr>
                  </w:pPr>
                  <w:r>
                    <w:rPr>
                      <w:rFonts w:hint="eastAsia"/>
                      <w:color w:val="auto"/>
                      <w:lang w:eastAsia="zh-CN"/>
                    </w:rPr>
                    <w:t>9</w:t>
                  </w:r>
                  <w:r>
                    <w:rPr>
                      <w:color w:val="auto"/>
                      <w:lang w:eastAsia="zh-CN"/>
                    </w:rPr>
                    <w:t>9.6%</w:t>
                  </w:r>
                </w:p>
              </w:tc>
              <w:tc>
                <w:tcPr>
                  <w:tcW w:w="1194" w:type="dxa"/>
                  <w:shd w:val="clear" w:color="auto" w:fill="auto"/>
                  <w:noWrap/>
                  <w:vAlign w:val="center"/>
                </w:tcPr>
                <w:p>
                  <w:pPr>
                    <w:pStyle w:val="63"/>
                    <w:rPr>
                      <w:color w:val="auto"/>
                      <w:lang w:eastAsia="zh-CN"/>
                    </w:rPr>
                  </w:pPr>
                  <w:r>
                    <w:rPr>
                      <w:color w:val="auto"/>
                      <w:lang w:eastAsia="zh-CN"/>
                    </w:rPr>
                    <w:t>193.66</w:t>
                  </w:r>
                </w:p>
              </w:tc>
              <w:tc>
                <w:tcPr>
                  <w:tcW w:w="1283" w:type="dxa"/>
                  <w:shd w:val="clear" w:color="auto" w:fill="auto"/>
                  <w:noWrap/>
                  <w:vAlign w:val="center"/>
                </w:tcPr>
                <w:p>
                  <w:pPr>
                    <w:pStyle w:val="63"/>
                    <w:rPr>
                      <w:color w:val="auto"/>
                    </w:rPr>
                  </w:pPr>
                  <w:r>
                    <w:rPr>
                      <w:rFonts w:hint="eastAsia"/>
                      <w:color w:val="auto"/>
                    </w:rPr>
                    <w:t>7068.59</w:t>
                  </w:r>
                </w:p>
              </w:tc>
              <w:tc>
                <w:tcPr>
                  <w:tcW w:w="1418" w:type="dxa"/>
                  <w:vAlign w:val="center"/>
                </w:tcPr>
                <w:p>
                  <w:pPr>
                    <w:pStyle w:val="63"/>
                    <w:rPr>
                      <w:color w:val="auto"/>
                      <w:lang w:eastAsia="zh-CN"/>
                    </w:rPr>
                  </w:pPr>
                  <w:r>
                    <w:rPr>
                      <w:rFonts w:hint="eastAsia"/>
                      <w:color w:val="auto"/>
                      <w:lang w:eastAsia="zh-CN"/>
                    </w:rPr>
                    <w:t>2</w:t>
                  </w:r>
                  <w:r>
                    <w:rPr>
                      <w:color w:val="auto"/>
                      <w:lang w:eastAsia="zh-CN"/>
                    </w:rPr>
                    <w:t>.7</w:t>
                  </w:r>
                </w:p>
              </w:tc>
              <w:tc>
                <w:tcPr>
                  <w:tcW w:w="1781" w:type="dxa"/>
                  <w:vAlign w:val="center"/>
                </w:tcPr>
                <w:p>
                  <w:pPr>
                    <w:pStyle w:val="63"/>
                    <w:rPr>
                      <w:color w:val="auto"/>
                      <w:lang w:eastAsia="zh-CN"/>
                    </w:rPr>
                  </w:pPr>
                  <w:r>
                    <w:rPr>
                      <w:rFonts w:hint="eastAsia"/>
                      <w:color w:val="auto"/>
                      <w:lang w:eastAsia="zh-CN"/>
                    </w:rPr>
                    <w:t>3</w:t>
                  </w:r>
                  <w:r>
                    <w:rPr>
                      <w:color w:val="auto"/>
                      <w:lang w:eastAsia="zh-CN"/>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2" w:type="dxa"/>
                  <w:shd w:val="clear" w:color="auto" w:fill="auto"/>
                  <w:noWrap/>
                  <w:vAlign w:val="center"/>
                </w:tcPr>
                <w:p>
                  <w:pPr>
                    <w:pStyle w:val="63"/>
                    <w:rPr>
                      <w:color w:val="auto"/>
                      <w:lang w:eastAsia="zh-CN"/>
                    </w:rPr>
                  </w:pPr>
                  <w:r>
                    <w:rPr>
                      <w:rFonts w:hint="eastAsia"/>
                      <w:color w:val="auto"/>
                      <w:lang w:eastAsia="zh-CN"/>
                    </w:rPr>
                    <w:t>2</w:t>
                  </w:r>
                  <w:r>
                    <w:rPr>
                      <w:color w:val="auto"/>
                      <w:lang w:eastAsia="zh-CN"/>
                    </w:rPr>
                    <w:t>023.08.28</w:t>
                  </w:r>
                </w:p>
              </w:tc>
              <w:tc>
                <w:tcPr>
                  <w:tcW w:w="1056" w:type="dxa"/>
                  <w:shd w:val="clear" w:color="auto" w:fill="auto"/>
                  <w:noWrap/>
                  <w:vAlign w:val="center"/>
                </w:tcPr>
                <w:p>
                  <w:pPr>
                    <w:pStyle w:val="63"/>
                    <w:rPr>
                      <w:color w:val="auto"/>
                      <w:lang w:eastAsia="zh-CN"/>
                    </w:rPr>
                  </w:pPr>
                  <w:r>
                    <w:rPr>
                      <w:rFonts w:hint="eastAsia"/>
                      <w:color w:val="auto"/>
                      <w:lang w:eastAsia="zh-CN"/>
                    </w:rPr>
                    <w:t>6</w:t>
                  </w:r>
                  <w:r>
                    <w:rPr>
                      <w:color w:val="auto"/>
                      <w:lang w:eastAsia="zh-CN"/>
                    </w:rPr>
                    <w:t>7.9%</w:t>
                  </w:r>
                </w:p>
              </w:tc>
              <w:tc>
                <w:tcPr>
                  <w:tcW w:w="1194" w:type="dxa"/>
                  <w:shd w:val="clear" w:color="auto" w:fill="auto"/>
                  <w:noWrap/>
                  <w:vAlign w:val="center"/>
                </w:tcPr>
                <w:p>
                  <w:pPr>
                    <w:pStyle w:val="63"/>
                    <w:rPr>
                      <w:color w:val="auto"/>
                      <w:lang w:eastAsia="zh-CN"/>
                    </w:rPr>
                  </w:pPr>
                  <w:r>
                    <w:rPr>
                      <w:color w:val="auto"/>
                      <w:lang w:eastAsia="zh-CN"/>
                    </w:rPr>
                    <w:t>132.02</w:t>
                  </w:r>
                </w:p>
              </w:tc>
              <w:tc>
                <w:tcPr>
                  <w:tcW w:w="1283" w:type="dxa"/>
                  <w:shd w:val="clear" w:color="auto" w:fill="auto"/>
                  <w:noWrap/>
                  <w:vAlign w:val="center"/>
                </w:tcPr>
                <w:p>
                  <w:pPr>
                    <w:pStyle w:val="63"/>
                    <w:rPr>
                      <w:color w:val="auto"/>
                    </w:rPr>
                  </w:pPr>
                  <w:r>
                    <w:rPr>
                      <w:rFonts w:hint="eastAsia"/>
                      <w:color w:val="auto"/>
                    </w:rPr>
                    <w:t>4818.73</w:t>
                  </w:r>
                </w:p>
              </w:tc>
              <w:tc>
                <w:tcPr>
                  <w:tcW w:w="1418" w:type="dxa"/>
                  <w:vAlign w:val="center"/>
                </w:tcPr>
                <w:p>
                  <w:pPr>
                    <w:pStyle w:val="63"/>
                    <w:rPr>
                      <w:color w:val="auto"/>
                      <w:lang w:eastAsia="zh-CN"/>
                    </w:rPr>
                  </w:pPr>
                  <w:r>
                    <w:rPr>
                      <w:rFonts w:hint="eastAsia"/>
                      <w:color w:val="auto"/>
                      <w:lang w:eastAsia="zh-CN"/>
                    </w:rPr>
                    <w:t>0</w:t>
                  </w:r>
                  <w:r>
                    <w:rPr>
                      <w:color w:val="auto"/>
                      <w:lang w:eastAsia="zh-CN"/>
                    </w:rPr>
                    <w:t>.17</w:t>
                  </w:r>
                </w:p>
              </w:tc>
              <w:tc>
                <w:tcPr>
                  <w:tcW w:w="1781" w:type="dxa"/>
                  <w:vAlign w:val="center"/>
                </w:tcPr>
                <w:p>
                  <w:pPr>
                    <w:pStyle w:val="63"/>
                    <w:rPr>
                      <w:color w:val="auto"/>
                      <w:lang w:eastAsia="zh-CN"/>
                    </w:rPr>
                  </w:pPr>
                  <w:r>
                    <w:rPr>
                      <w:rFonts w:hint="eastAsia"/>
                      <w:color w:val="auto"/>
                      <w:lang w:eastAsia="zh-CN"/>
                    </w:rPr>
                    <w:t>0</w:t>
                  </w:r>
                  <w:r>
                    <w:rPr>
                      <w:color w:val="auto"/>
                      <w:lang w:eastAsia="zh-CN"/>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2" w:type="dxa"/>
                  <w:shd w:val="clear" w:color="auto" w:fill="auto"/>
                  <w:noWrap/>
                  <w:vAlign w:val="center"/>
                </w:tcPr>
                <w:p>
                  <w:pPr>
                    <w:pStyle w:val="63"/>
                    <w:rPr>
                      <w:color w:val="auto"/>
                      <w:lang w:eastAsia="zh-CN"/>
                    </w:rPr>
                  </w:pPr>
                  <w:r>
                    <w:rPr>
                      <w:rFonts w:hint="eastAsia"/>
                      <w:color w:val="auto"/>
                      <w:lang w:eastAsia="zh-CN"/>
                    </w:rPr>
                    <w:t>2</w:t>
                  </w:r>
                  <w:r>
                    <w:rPr>
                      <w:color w:val="auto"/>
                      <w:lang w:eastAsia="zh-CN"/>
                    </w:rPr>
                    <w:t>023.10.17</w:t>
                  </w:r>
                </w:p>
              </w:tc>
              <w:tc>
                <w:tcPr>
                  <w:tcW w:w="1056" w:type="dxa"/>
                  <w:shd w:val="clear" w:color="auto" w:fill="auto"/>
                  <w:noWrap/>
                  <w:vAlign w:val="center"/>
                </w:tcPr>
                <w:p>
                  <w:pPr>
                    <w:pStyle w:val="63"/>
                    <w:rPr>
                      <w:color w:val="auto"/>
                      <w:lang w:eastAsia="zh-CN"/>
                    </w:rPr>
                  </w:pPr>
                  <w:r>
                    <w:rPr>
                      <w:rFonts w:hint="eastAsia"/>
                      <w:color w:val="auto"/>
                      <w:lang w:eastAsia="zh-CN"/>
                    </w:rPr>
                    <w:t>7</w:t>
                  </w:r>
                  <w:r>
                    <w:rPr>
                      <w:color w:val="auto"/>
                      <w:lang w:eastAsia="zh-CN"/>
                    </w:rPr>
                    <w:t>2.7%</w:t>
                  </w:r>
                </w:p>
              </w:tc>
              <w:tc>
                <w:tcPr>
                  <w:tcW w:w="1194" w:type="dxa"/>
                  <w:shd w:val="clear" w:color="auto" w:fill="auto"/>
                  <w:noWrap/>
                  <w:vAlign w:val="center"/>
                </w:tcPr>
                <w:p>
                  <w:pPr>
                    <w:pStyle w:val="63"/>
                    <w:rPr>
                      <w:color w:val="auto"/>
                      <w:lang w:eastAsia="zh-CN"/>
                    </w:rPr>
                  </w:pPr>
                  <w:r>
                    <w:rPr>
                      <w:color w:val="auto"/>
                      <w:lang w:eastAsia="zh-CN"/>
                    </w:rPr>
                    <w:t>141.36</w:t>
                  </w:r>
                </w:p>
              </w:tc>
              <w:tc>
                <w:tcPr>
                  <w:tcW w:w="1283" w:type="dxa"/>
                  <w:shd w:val="clear" w:color="auto" w:fill="auto"/>
                  <w:noWrap/>
                  <w:vAlign w:val="center"/>
                </w:tcPr>
                <w:p>
                  <w:pPr>
                    <w:pStyle w:val="63"/>
                    <w:rPr>
                      <w:color w:val="auto"/>
                    </w:rPr>
                  </w:pPr>
                  <w:r>
                    <w:rPr>
                      <w:rFonts w:hint="eastAsia"/>
                      <w:color w:val="auto"/>
                    </w:rPr>
                    <w:t>5159.64</w:t>
                  </w:r>
                </w:p>
              </w:tc>
              <w:tc>
                <w:tcPr>
                  <w:tcW w:w="1418" w:type="dxa"/>
                  <w:vAlign w:val="center"/>
                </w:tcPr>
                <w:p>
                  <w:pPr>
                    <w:pStyle w:val="63"/>
                    <w:rPr>
                      <w:color w:val="auto"/>
                      <w:lang w:eastAsia="zh-CN"/>
                    </w:rPr>
                  </w:pPr>
                  <w:r>
                    <w:rPr>
                      <w:rFonts w:hint="eastAsia"/>
                      <w:color w:val="auto"/>
                      <w:lang w:eastAsia="zh-CN"/>
                    </w:rPr>
                    <w:t>0</w:t>
                  </w:r>
                  <w:r>
                    <w:rPr>
                      <w:color w:val="auto"/>
                      <w:lang w:eastAsia="zh-CN"/>
                    </w:rPr>
                    <w:t>.72</w:t>
                  </w:r>
                </w:p>
              </w:tc>
              <w:tc>
                <w:tcPr>
                  <w:tcW w:w="1781" w:type="dxa"/>
                  <w:vAlign w:val="center"/>
                </w:tcPr>
                <w:p>
                  <w:pPr>
                    <w:pStyle w:val="63"/>
                    <w:rPr>
                      <w:color w:val="auto"/>
                      <w:lang w:eastAsia="zh-CN"/>
                    </w:rPr>
                  </w:pPr>
                  <w:r>
                    <w:rPr>
                      <w:rFonts w:hint="eastAsia"/>
                      <w:color w:val="auto"/>
                      <w:lang w:eastAsia="zh-CN"/>
                    </w:rPr>
                    <w:t>1</w:t>
                  </w:r>
                  <w:r>
                    <w:rPr>
                      <w:color w:val="auto"/>
                      <w:lang w:eastAsia="zh-CN"/>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3" w:type="dxa"/>
                  <w:gridSpan w:val="5"/>
                  <w:shd w:val="clear" w:color="auto" w:fill="auto"/>
                  <w:noWrap/>
                  <w:vAlign w:val="center"/>
                </w:tcPr>
                <w:p>
                  <w:pPr>
                    <w:pStyle w:val="63"/>
                    <w:rPr>
                      <w:color w:val="auto"/>
                      <w:lang w:eastAsia="zh-CN"/>
                    </w:rPr>
                  </w:pPr>
                  <w:r>
                    <w:rPr>
                      <w:rFonts w:hint="eastAsia"/>
                      <w:color w:val="auto"/>
                      <w:lang w:eastAsia="zh-CN"/>
                    </w:rPr>
                    <w:t>平均值</w:t>
                  </w:r>
                </w:p>
              </w:tc>
              <w:tc>
                <w:tcPr>
                  <w:tcW w:w="1781" w:type="dxa"/>
                  <w:vAlign w:val="center"/>
                </w:tcPr>
                <w:p>
                  <w:pPr>
                    <w:pStyle w:val="63"/>
                    <w:rPr>
                      <w:color w:val="auto"/>
                      <w:lang w:eastAsia="zh-CN"/>
                    </w:rPr>
                  </w:pPr>
                  <w:r>
                    <w:rPr>
                      <w:color w:val="auto"/>
                      <w:lang w:eastAsia="zh-CN"/>
                    </w:rPr>
                    <w:t>2.346</w:t>
                  </w:r>
                </w:p>
              </w:tc>
            </w:tr>
          </w:tbl>
          <w:p>
            <w:pPr>
              <w:pStyle w:val="66"/>
              <w:rPr>
                <w:color w:val="auto"/>
              </w:rPr>
            </w:pPr>
            <w:r>
              <w:rPr>
                <w:rFonts w:hint="eastAsia"/>
                <w:color w:val="auto"/>
              </w:rPr>
              <w:t>表4</w:t>
            </w:r>
            <w:r>
              <w:rPr>
                <w:color w:val="auto"/>
              </w:rPr>
              <w:t xml:space="preserve">.2.1.5-6 </w:t>
            </w:r>
            <w:r>
              <w:rPr>
                <w:rFonts w:hint="eastAsia"/>
                <w:color w:val="auto"/>
              </w:rPr>
              <w:t>类比项目氮氧化物产生情况一览表</w:t>
            </w:r>
          </w:p>
          <w:tbl>
            <w:tblPr>
              <w:tblStyle w:val="26"/>
              <w:tblW w:w="79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056"/>
              <w:gridCol w:w="1194"/>
              <w:gridCol w:w="1283"/>
              <w:gridCol w:w="1418"/>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172" w:type="dxa"/>
                  <w:shd w:val="clear" w:color="auto" w:fill="auto"/>
                  <w:noWrap/>
                  <w:vAlign w:val="center"/>
                </w:tcPr>
                <w:p>
                  <w:pPr>
                    <w:pStyle w:val="63"/>
                    <w:rPr>
                      <w:color w:val="auto"/>
                    </w:rPr>
                  </w:pPr>
                  <w:r>
                    <w:rPr>
                      <w:rFonts w:hint="eastAsia"/>
                      <w:color w:val="auto"/>
                      <w:lang w:eastAsia="zh-CN"/>
                    </w:rPr>
                    <w:t>监测日期</w:t>
                  </w:r>
                </w:p>
              </w:tc>
              <w:tc>
                <w:tcPr>
                  <w:tcW w:w="1056" w:type="dxa"/>
                  <w:shd w:val="clear" w:color="auto" w:fill="auto"/>
                  <w:noWrap/>
                  <w:vAlign w:val="center"/>
                </w:tcPr>
                <w:p>
                  <w:pPr>
                    <w:pStyle w:val="63"/>
                    <w:rPr>
                      <w:color w:val="auto"/>
                    </w:rPr>
                  </w:pPr>
                  <w:r>
                    <w:rPr>
                      <w:rFonts w:hint="eastAsia"/>
                      <w:color w:val="auto"/>
                      <w:lang w:eastAsia="zh-CN"/>
                    </w:rPr>
                    <w:t>生产工况</w:t>
                  </w:r>
                </w:p>
              </w:tc>
              <w:tc>
                <w:tcPr>
                  <w:tcW w:w="1194" w:type="dxa"/>
                  <w:shd w:val="clear" w:color="auto" w:fill="auto"/>
                  <w:noWrap/>
                  <w:vAlign w:val="center"/>
                </w:tcPr>
                <w:p>
                  <w:pPr>
                    <w:pStyle w:val="63"/>
                    <w:rPr>
                      <w:color w:val="auto"/>
                    </w:rPr>
                  </w:pPr>
                  <w:r>
                    <w:rPr>
                      <w:rFonts w:hint="eastAsia"/>
                      <w:color w:val="auto"/>
                      <w:lang w:eastAsia="zh-CN"/>
                    </w:rPr>
                    <w:t>轧钢产能（t/h）</w:t>
                  </w:r>
                </w:p>
              </w:tc>
              <w:tc>
                <w:tcPr>
                  <w:tcW w:w="1283" w:type="dxa"/>
                  <w:shd w:val="clear" w:color="auto" w:fill="auto"/>
                  <w:noWrap/>
                  <w:vAlign w:val="center"/>
                </w:tcPr>
                <w:p>
                  <w:pPr>
                    <w:pStyle w:val="63"/>
                    <w:rPr>
                      <w:color w:val="auto"/>
                    </w:rPr>
                  </w:pPr>
                  <w:r>
                    <w:rPr>
                      <w:rFonts w:hint="eastAsia"/>
                      <w:color w:val="auto"/>
                      <w:lang w:eastAsia="zh-CN"/>
                    </w:rPr>
                    <w:t>天然气消耗量（m</w:t>
                  </w:r>
                  <w:r>
                    <w:rPr>
                      <w:rFonts w:hint="eastAsia"/>
                      <w:color w:val="auto"/>
                      <w:vertAlign w:val="superscript"/>
                      <w:lang w:eastAsia="zh-CN"/>
                    </w:rPr>
                    <w:t>3</w:t>
                  </w:r>
                  <w:r>
                    <w:rPr>
                      <w:color w:val="auto"/>
                      <w:lang w:eastAsia="zh-CN"/>
                    </w:rPr>
                    <w:t>/</w:t>
                  </w:r>
                  <w:r>
                    <w:rPr>
                      <w:rFonts w:hint="eastAsia"/>
                      <w:color w:val="auto"/>
                      <w:lang w:eastAsia="zh-CN"/>
                    </w:rPr>
                    <w:t>h）</w:t>
                  </w:r>
                </w:p>
              </w:tc>
              <w:tc>
                <w:tcPr>
                  <w:tcW w:w="1418" w:type="dxa"/>
                  <w:vAlign w:val="center"/>
                </w:tcPr>
                <w:p>
                  <w:pPr>
                    <w:pStyle w:val="63"/>
                    <w:rPr>
                      <w:color w:val="auto"/>
                      <w:lang w:eastAsia="zh-CN"/>
                    </w:rPr>
                  </w:pPr>
                  <w:r>
                    <w:rPr>
                      <w:rFonts w:hint="eastAsia"/>
                      <w:color w:val="auto"/>
                    </w:rPr>
                    <w:t>氮氧化物</w:t>
                  </w:r>
                  <w:r>
                    <w:rPr>
                      <w:rFonts w:hint="eastAsia"/>
                      <w:color w:val="auto"/>
                      <w:lang w:eastAsia="zh-CN"/>
                    </w:rPr>
                    <w:t>排放速率</w:t>
                  </w:r>
                </w:p>
                <w:p>
                  <w:pPr>
                    <w:pStyle w:val="63"/>
                    <w:rPr>
                      <w:color w:val="auto"/>
                      <w:lang w:eastAsia="zh-CN"/>
                    </w:rPr>
                  </w:pPr>
                  <w:r>
                    <w:rPr>
                      <w:rFonts w:hint="eastAsia"/>
                      <w:color w:val="auto"/>
                      <w:lang w:eastAsia="zh-CN"/>
                    </w:rPr>
                    <w:t>（kg/h）</w:t>
                  </w:r>
                </w:p>
              </w:tc>
              <w:tc>
                <w:tcPr>
                  <w:tcW w:w="1781" w:type="dxa"/>
                  <w:vAlign w:val="center"/>
                </w:tcPr>
                <w:p>
                  <w:pPr>
                    <w:pStyle w:val="63"/>
                    <w:rPr>
                      <w:color w:val="auto"/>
                      <w:lang w:eastAsia="zh-CN"/>
                    </w:rPr>
                  </w:pPr>
                  <w:r>
                    <w:rPr>
                      <w:rFonts w:hint="eastAsia"/>
                      <w:color w:val="auto"/>
                      <w:lang w:eastAsia="zh-CN"/>
                    </w:rPr>
                    <w:t>单位天然气</w:t>
                  </w:r>
                  <w:r>
                    <w:rPr>
                      <w:rFonts w:hint="eastAsia"/>
                      <w:color w:val="auto"/>
                    </w:rPr>
                    <w:t>氮氧化物</w:t>
                  </w:r>
                  <w:r>
                    <w:rPr>
                      <w:rFonts w:hint="eastAsia"/>
                      <w:color w:val="auto"/>
                      <w:lang w:eastAsia="zh-CN"/>
                    </w:rPr>
                    <w:t>排放量</w:t>
                  </w:r>
                </w:p>
                <w:p>
                  <w:pPr>
                    <w:pStyle w:val="63"/>
                    <w:rPr>
                      <w:color w:val="auto"/>
                      <w:lang w:eastAsia="zh-CN"/>
                    </w:rPr>
                  </w:pPr>
                  <w:r>
                    <w:rPr>
                      <w:rFonts w:hint="eastAsia"/>
                      <w:color w:val="auto"/>
                      <w:lang w:eastAsia="zh-CN"/>
                    </w:rPr>
                    <w:t>（万m</w:t>
                  </w:r>
                  <w:r>
                    <w:rPr>
                      <w:rFonts w:hint="eastAsia"/>
                      <w:color w:val="auto"/>
                      <w:vertAlign w:val="superscript"/>
                      <w:lang w:eastAsia="zh-CN"/>
                    </w:rPr>
                    <w:t>3</w:t>
                  </w:r>
                  <w:r>
                    <w:rPr>
                      <w:color w:val="auto"/>
                    </w:rPr>
                    <w:t>/</w:t>
                  </w:r>
                  <w:r>
                    <w:rPr>
                      <w:rFonts w:hint="eastAsia"/>
                      <w:color w:val="auto"/>
                      <w:lang w:eastAsia="zh-CN"/>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2" w:type="dxa"/>
                  <w:shd w:val="clear" w:color="auto" w:fill="auto"/>
                  <w:noWrap/>
                  <w:vAlign w:val="center"/>
                </w:tcPr>
                <w:p>
                  <w:pPr>
                    <w:pStyle w:val="63"/>
                    <w:rPr>
                      <w:color w:val="auto"/>
                      <w:lang w:eastAsia="zh-CN"/>
                    </w:rPr>
                  </w:pPr>
                  <w:r>
                    <w:rPr>
                      <w:rFonts w:hint="eastAsia"/>
                      <w:color w:val="auto"/>
                      <w:lang w:eastAsia="zh-CN"/>
                    </w:rPr>
                    <w:t>2</w:t>
                  </w:r>
                  <w:r>
                    <w:rPr>
                      <w:color w:val="auto"/>
                      <w:lang w:eastAsia="zh-CN"/>
                    </w:rPr>
                    <w:t>023.02.21</w:t>
                  </w:r>
                </w:p>
              </w:tc>
              <w:tc>
                <w:tcPr>
                  <w:tcW w:w="1056" w:type="dxa"/>
                  <w:shd w:val="clear" w:color="auto" w:fill="auto"/>
                  <w:noWrap/>
                  <w:vAlign w:val="center"/>
                </w:tcPr>
                <w:p>
                  <w:pPr>
                    <w:pStyle w:val="63"/>
                    <w:rPr>
                      <w:color w:val="auto"/>
                      <w:lang w:eastAsia="zh-CN"/>
                    </w:rPr>
                  </w:pPr>
                  <w:r>
                    <w:rPr>
                      <w:rFonts w:hint="eastAsia"/>
                      <w:color w:val="auto"/>
                      <w:lang w:eastAsia="zh-CN"/>
                    </w:rPr>
                    <w:t>9</w:t>
                  </w:r>
                  <w:r>
                    <w:rPr>
                      <w:color w:val="auto"/>
                      <w:lang w:eastAsia="zh-CN"/>
                    </w:rPr>
                    <w:t>9.7%</w:t>
                  </w:r>
                </w:p>
              </w:tc>
              <w:tc>
                <w:tcPr>
                  <w:tcW w:w="1194" w:type="dxa"/>
                  <w:shd w:val="clear" w:color="auto" w:fill="auto"/>
                  <w:noWrap/>
                  <w:vAlign w:val="center"/>
                </w:tcPr>
                <w:p>
                  <w:pPr>
                    <w:pStyle w:val="63"/>
                    <w:rPr>
                      <w:color w:val="auto"/>
                      <w:lang w:eastAsia="zh-CN"/>
                    </w:rPr>
                  </w:pPr>
                  <w:r>
                    <w:rPr>
                      <w:rFonts w:hint="eastAsia"/>
                      <w:color w:val="auto"/>
                      <w:lang w:eastAsia="zh-CN"/>
                    </w:rPr>
                    <w:t>1</w:t>
                  </w:r>
                  <w:r>
                    <w:rPr>
                      <w:color w:val="auto"/>
                      <w:lang w:eastAsia="zh-CN"/>
                    </w:rPr>
                    <w:t>93.86</w:t>
                  </w:r>
                </w:p>
              </w:tc>
              <w:tc>
                <w:tcPr>
                  <w:tcW w:w="1283" w:type="dxa"/>
                  <w:shd w:val="clear" w:color="auto" w:fill="auto"/>
                  <w:noWrap/>
                  <w:vAlign w:val="center"/>
                </w:tcPr>
                <w:p>
                  <w:pPr>
                    <w:pStyle w:val="63"/>
                    <w:rPr>
                      <w:color w:val="auto"/>
                    </w:rPr>
                  </w:pPr>
                  <w:r>
                    <w:rPr>
                      <w:rFonts w:hint="eastAsia"/>
                      <w:color w:val="auto"/>
                    </w:rPr>
                    <w:t>7075.89</w:t>
                  </w:r>
                </w:p>
              </w:tc>
              <w:tc>
                <w:tcPr>
                  <w:tcW w:w="1418" w:type="dxa"/>
                  <w:vAlign w:val="center"/>
                </w:tcPr>
                <w:p>
                  <w:pPr>
                    <w:pStyle w:val="63"/>
                    <w:rPr>
                      <w:color w:val="auto"/>
                      <w:lang w:eastAsia="zh-CN"/>
                    </w:rPr>
                  </w:pPr>
                  <w:r>
                    <w:rPr>
                      <w:rFonts w:hint="eastAsia"/>
                      <w:color w:val="auto"/>
                      <w:lang w:eastAsia="zh-CN"/>
                    </w:rPr>
                    <w:t>1</w:t>
                  </w:r>
                  <w:r>
                    <w:rPr>
                      <w:color w:val="auto"/>
                      <w:lang w:eastAsia="zh-CN"/>
                    </w:rPr>
                    <w:t>.7</w:t>
                  </w:r>
                </w:p>
              </w:tc>
              <w:tc>
                <w:tcPr>
                  <w:tcW w:w="1781" w:type="dxa"/>
                  <w:vAlign w:val="center"/>
                </w:tcPr>
                <w:p>
                  <w:pPr>
                    <w:pStyle w:val="63"/>
                    <w:rPr>
                      <w:color w:val="auto"/>
                      <w:lang w:eastAsia="zh-CN"/>
                    </w:rPr>
                  </w:pPr>
                  <w:r>
                    <w:rPr>
                      <w:rFonts w:hint="eastAsia"/>
                      <w:color w:val="auto"/>
                      <w:lang w:eastAsia="zh-CN"/>
                    </w:rPr>
                    <w:t>2</w:t>
                  </w:r>
                  <w:r>
                    <w:rPr>
                      <w:color w:val="auto"/>
                      <w:lang w:eastAsia="zh-CN"/>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2" w:type="dxa"/>
                  <w:shd w:val="clear" w:color="auto" w:fill="auto"/>
                  <w:noWrap/>
                  <w:vAlign w:val="center"/>
                </w:tcPr>
                <w:p>
                  <w:pPr>
                    <w:pStyle w:val="63"/>
                    <w:rPr>
                      <w:color w:val="auto"/>
                      <w:lang w:eastAsia="zh-CN"/>
                    </w:rPr>
                  </w:pPr>
                  <w:r>
                    <w:rPr>
                      <w:rFonts w:hint="eastAsia"/>
                      <w:color w:val="auto"/>
                      <w:lang w:eastAsia="zh-CN"/>
                    </w:rPr>
                    <w:t>2</w:t>
                  </w:r>
                  <w:r>
                    <w:rPr>
                      <w:color w:val="auto"/>
                      <w:lang w:eastAsia="zh-CN"/>
                    </w:rPr>
                    <w:t>023.04.10</w:t>
                  </w:r>
                </w:p>
              </w:tc>
              <w:tc>
                <w:tcPr>
                  <w:tcW w:w="1056" w:type="dxa"/>
                  <w:shd w:val="clear" w:color="auto" w:fill="auto"/>
                  <w:noWrap/>
                  <w:vAlign w:val="center"/>
                </w:tcPr>
                <w:p>
                  <w:pPr>
                    <w:pStyle w:val="63"/>
                    <w:rPr>
                      <w:color w:val="auto"/>
                      <w:lang w:eastAsia="zh-CN"/>
                    </w:rPr>
                  </w:pPr>
                  <w:r>
                    <w:rPr>
                      <w:rFonts w:hint="eastAsia"/>
                      <w:color w:val="auto"/>
                      <w:lang w:eastAsia="zh-CN"/>
                    </w:rPr>
                    <w:t>9</w:t>
                  </w:r>
                  <w:r>
                    <w:rPr>
                      <w:color w:val="auto"/>
                      <w:lang w:eastAsia="zh-CN"/>
                    </w:rPr>
                    <w:t>9.6%</w:t>
                  </w:r>
                </w:p>
              </w:tc>
              <w:tc>
                <w:tcPr>
                  <w:tcW w:w="1194" w:type="dxa"/>
                  <w:shd w:val="clear" w:color="auto" w:fill="auto"/>
                  <w:noWrap/>
                  <w:vAlign w:val="center"/>
                </w:tcPr>
                <w:p>
                  <w:pPr>
                    <w:pStyle w:val="63"/>
                    <w:rPr>
                      <w:color w:val="auto"/>
                      <w:lang w:eastAsia="zh-CN"/>
                    </w:rPr>
                  </w:pPr>
                  <w:r>
                    <w:rPr>
                      <w:color w:val="auto"/>
                      <w:lang w:eastAsia="zh-CN"/>
                    </w:rPr>
                    <w:t>193.66</w:t>
                  </w:r>
                </w:p>
              </w:tc>
              <w:tc>
                <w:tcPr>
                  <w:tcW w:w="1283" w:type="dxa"/>
                  <w:shd w:val="clear" w:color="auto" w:fill="auto"/>
                  <w:noWrap/>
                  <w:vAlign w:val="center"/>
                </w:tcPr>
                <w:p>
                  <w:pPr>
                    <w:pStyle w:val="63"/>
                    <w:rPr>
                      <w:color w:val="auto"/>
                    </w:rPr>
                  </w:pPr>
                  <w:r>
                    <w:rPr>
                      <w:rFonts w:hint="eastAsia"/>
                      <w:color w:val="auto"/>
                    </w:rPr>
                    <w:t>7068.59</w:t>
                  </w:r>
                </w:p>
              </w:tc>
              <w:tc>
                <w:tcPr>
                  <w:tcW w:w="1418" w:type="dxa"/>
                  <w:vAlign w:val="center"/>
                </w:tcPr>
                <w:p>
                  <w:pPr>
                    <w:pStyle w:val="63"/>
                    <w:rPr>
                      <w:color w:val="auto"/>
                      <w:lang w:eastAsia="zh-CN"/>
                    </w:rPr>
                  </w:pPr>
                  <w:r>
                    <w:rPr>
                      <w:rFonts w:hint="eastAsia"/>
                      <w:color w:val="auto"/>
                      <w:lang w:eastAsia="zh-CN"/>
                    </w:rPr>
                    <w:t>1</w:t>
                  </w:r>
                  <w:r>
                    <w:rPr>
                      <w:color w:val="auto"/>
                      <w:lang w:eastAsia="zh-CN"/>
                    </w:rPr>
                    <w:t>.7</w:t>
                  </w:r>
                </w:p>
              </w:tc>
              <w:tc>
                <w:tcPr>
                  <w:tcW w:w="1781" w:type="dxa"/>
                  <w:vAlign w:val="center"/>
                </w:tcPr>
                <w:p>
                  <w:pPr>
                    <w:pStyle w:val="63"/>
                    <w:rPr>
                      <w:color w:val="auto"/>
                      <w:lang w:eastAsia="zh-CN"/>
                    </w:rPr>
                  </w:pPr>
                  <w:r>
                    <w:rPr>
                      <w:rFonts w:hint="eastAsia"/>
                      <w:color w:val="auto"/>
                      <w:lang w:eastAsia="zh-CN"/>
                    </w:rPr>
                    <w:t>2</w:t>
                  </w:r>
                  <w:r>
                    <w:rPr>
                      <w:color w:val="auto"/>
                      <w:lang w:eastAsia="zh-CN"/>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2" w:type="dxa"/>
                  <w:shd w:val="clear" w:color="auto" w:fill="auto"/>
                  <w:noWrap/>
                  <w:vAlign w:val="center"/>
                </w:tcPr>
                <w:p>
                  <w:pPr>
                    <w:pStyle w:val="63"/>
                    <w:rPr>
                      <w:color w:val="auto"/>
                      <w:lang w:eastAsia="zh-CN"/>
                    </w:rPr>
                  </w:pPr>
                  <w:r>
                    <w:rPr>
                      <w:rFonts w:hint="eastAsia"/>
                      <w:color w:val="auto"/>
                      <w:lang w:eastAsia="zh-CN"/>
                    </w:rPr>
                    <w:t>2</w:t>
                  </w:r>
                  <w:r>
                    <w:rPr>
                      <w:color w:val="auto"/>
                      <w:lang w:eastAsia="zh-CN"/>
                    </w:rPr>
                    <w:t>023.08.28</w:t>
                  </w:r>
                </w:p>
              </w:tc>
              <w:tc>
                <w:tcPr>
                  <w:tcW w:w="1056" w:type="dxa"/>
                  <w:shd w:val="clear" w:color="auto" w:fill="auto"/>
                  <w:noWrap/>
                  <w:vAlign w:val="center"/>
                </w:tcPr>
                <w:p>
                  <w:pPr>
                    <w:pStyle w:val="63"/>
                    <w:rPr>
                      <w:color w:val="auto"/>
                      <w:lang w:eastAsia="zh-CN"/>
                    </w:rPr>
                  </w:pPr>
                  <w:r>
                    <w:rPr>
                      <w:rFonts w:hint="eastAsia"/>
                      <w:color w:val="auto"/>
                      <w:lang w:eastAsia="zh-CN"/>
                    </w:rPr>
                    <w:t>6</w:t>
                  </w:r>
                  <w:r>
                    <w:rPr>
                      <w:color w:val="auto"/>
                      <w:lang w:eastAsia="zh-CN"/>
                    </w:rPr>
                    <w:t>7.9%</w:t>
                  </w:r>
                </w:p>
              </w:tc>
              <w:tc>
                <w:tcPr>
                  <w:tcW w:w="1194" w:type="dxa"/>
                  <w:shd w:val="clear" w:color="auto" w:fill="auto"/>
                  <w:noWrap/>
                  <w:vAlign w:val="center"/>
                </w:tcPr>
                <w:p>
                  <w:pPr>
                    <w:pStyle w:val="63"/>
                    <w:rPr>
                      <w:color w:val="auto"/>
                      <w:lang w:eastAsia="zh-CN"/>
                    </w:rPr>
                  </w:pPr>
                  <w:r>
                    <w:rPr>
                      <w:color w:val="auto"/>
                      <w:lang w:eastAsia="zh-CN"/>
                    </w:rPr>
                    <w:t>132.02</w:t>
                  </w:r>
                </w:p>
              </w:tc>
              <w:tc>
                <w:tcPr>
                  <w:tcW w:w="1283" w:type="dxa"/>
                  <w:shd w:val="clear" w:color="auto" w:fill="auto"/>
                  <w:noWrap/>
                  <w:vAlign w:val="center"/>
                </w:tcPr>
                <w:p>
                  <w:pPr>
                    <w:pStyle w:val="63"/>
                    <w:rPr>
                      <w:color w:val="auto"/>
                    </w:rPr>
                  </w:pPr>
                  <w:r>
                    <w:rPr>
                      <w:rFonts w:hint="eastAsia"/>
                      <w:color w:val="auto"/>
                    </w:rPr>
                    <w:t>4818.73</w:t>
                  </w:r>
                </w:p>
              </w:tc>
              <w:tc>
                <w:tcPr>
                  <w:tcW w:w="1418" w:type="dxa"/>
                  <w:vAlign w:val="center"/>
                </w:tcPr>
                <w:p>
                  <w:pPr>
                    <w:pStyle w:val="63"/>
                    <w:rPr>
                      <w:color w:val="auto"/>
                      <w:lang w:eastAsia="zh-CN"/>
                    </w:rPr>
                  </w:pPr>
                  <w:r>
                    <w:rPr>
                      <w:rFonts w:hint="eastAsia"/>
                      <w:color w:val="auto"/>
                      <w:lang w:eastAsia="zh-CN"/>
                    </w:rPr>
                    <w:t>4</w:t>
                  </w:r>
                  <w:r>
                    <w:rPr>
                      <w:color w:val="auto"/>
                      <w:lang w:eastAsia="zh-CN"/>
                    </w:rPr>
                    <w:t>.2</w:t>
                  </w:r>
                </w:p>
              </w:tc>
              <w:tc>
                <w:tcPr>
                  <w:tcW w:w="1781" w:type="dxa"/>
                  <w:vAlign w:val="center"/>
                </w:tcPr>
                <w:p>
                  <w:pPr>
                    <w:pStyle w:val="63"/>
                    <w:rPr>
                      <w:color w:val="auto"/>
                      <w:lang w:eastAsia="zh-CN"/>
                    </w:rPr>
                  </w:pPr>
                  <w:r>
                    <w:rPr>
                      <w:rFonts w:hint="eastAsia"/>
                      <w:color w:val="auto"/>
                      <w:lang w:eastAsia="zh-CN"/>
                    </w:rPr>
                    <w:t>8</w:t>
                  </w:r>
                  <w:r>
                    <w:rPr>
                      <w:color w:val="auto"/>
                      <w:lang w:eastAsia="zh-CN"/>
                    </w:rP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2" w:type="dxa"/>
                  <w:shd w:val="clear" w:color="auto" w:fill="auto"/>
                  <w:noWrap/>
                  <w:vAlign w:val="center"/>
                </w:tcPr>
                <w:p>
                  <w:pPr>
                    <w:pStyle w:val="63"/>
                    <w:rPr>
                      <w:color w:val="auto"/>
                      <w:lang w:eastAsia="zh-CN"/>
                    </w:rPr>
                  </w:pPr>
                  <w:r>
                    <w:rPr>
                      <w:rFonts w:hint="eastAsia"/>
                      <w:color w:val="auto"/>
                      <w:lang w:eastAsia="zh-CN"/>
                    </w:rPr>
                    <w:t>2</w:t>
                  </w:r>
                  <w:r>
                    <w:rPr>
                      <w:color w:val="auto"/>
                      <w:lang w:eastAsia="zh-CN"/>
                    </w:rPr>
                    <w:t>023.10.17</w:t>
                  </w:r>
                </w:p>
              </w:tc>
              <w:tc>
                <w:tcPr>
                  <w:tcW w:w="1056" w:type="dxa"/>
                  <w:shd w:val="clear" w:color="auto" w:fill="auto"/>
                  <w:noWrap/>
                  <w:vAlign w:val="center"/>
                </w:tcPr>
                <w:p>
                  <w:pPr>
                    <w:pStyle w:val="63"/>
                    <w:rPr>
                      <w:color w:val="auto"/>
                      <w:lang w:eastAsia="zh-CN"/>
                    </w:rPr>
                  </w:pPr>
                  <w:r>
                    <w:rPr>
                      <w:rFonts w:hint="eastAsia"/>
                      <w:color w:val="auto"/>
                      <w:lang w:eastAsia="zh-CN"/>
                    </w:rPr>
                    <w:t>7</w:t>
                  </w:r>
                  <w:r>
                    <w:rPr>
                      <w:color w:val="auto"/>
                      <w:lang w:eastAsia="zh-CN"/>
                    </w:rPr>
                    <w:t>2.7%</w:t>
                  </w:r>
                </w:p>
              </w:tc>
              <w:tc>
                <w:tcPr>
                  <w:tcW w:w="1194" w:type="dxa"/>
                  <w:shd w:val="clear" w:color="auto" w:fill="auto"/>
                  <w:noWrap/>
                  <w:vAlign w:val="center"/>
                </w:tcPr>
                <w:p>
                  <w:pPr>
                    <w:pStyle w:val="63"/>
                    <w:rPr>
                      <w:color w:val="auto"/>
                      <w:lang w:eastAsia="zh-CN"/>
                    </w:rPr>
                  </w:pPr>
                  <w:r>
                    <w:rPr>
                      <w:color w:val="auto"/>
                      <w:lang w:eastAsia="zh-CN"/>
                    </w:rPr>
                    <w:t>141.36</w:t>
                  </w:r>
                </w:p>
              </w:tc>
              <w:tc>
                <w:tcPr>
                  <w:tcW w:w="1283" w:type="dxa"/>
                  <w:shd w:val="clear" w:color="auto" w:fill="auto"/>
                  <w:noWrap/>
                  <w:vAlign w:val="center"/>
                </w:tcPr>
                <w:p>
                  <w:pPr>
                    <w:pStyle w:val="63"/>
                    <w:rPr>
                      <w:color w:val="auto"/>
                    </w:rPr>
                  </w:pPr>
                  <w:r>
                    <w:rPr>
                      <w:rFonts w:hint="eastAsia"/>
                      <w:color w:val="auto"/>
                    </w:rPr>
                    <w:t>5159.64</w:t>
                  </w:r>
                </w:p>
              </w:tc>
              <w:tc>
                <w:tcPr>
                  <w:tcW w:w="1418" w:type="dxa"/>
                  <w:vAlign w:val="center"/>
                </w:tcPr>
                <w:p>
                  <w:pPr>
                    <w:pStyle w:val="63"/>
                    <w:rPr>
                      <w:color w:val="auto"/>
                      <w:lang w:eastAsia="zh-CN"/>
                    </w:rPr>
                  </w:pPr>
                  <w:r>
                    <w:rPr>
                      <w:rFonts w:hint="eastAsia"/>
                      <w:color w:val="auto"/>
                      <w:lang w:eastAsia="zh-CN"/>
                    </w:rPr>
                    <w:t>1</w:t>
                  </w:r>
                  <w:r>
                    <w:rPr>
                      <w:color w:val="auto"/>
                      <w:lang w:eastAsia="zh-CN"/>
                    </w:rPr>
                    <w:t>1</w:t>
                  </w:r>
                </w:p>
              </w:tc>
              <w:tc>
                <w:tcPr>
                  <w:tcW w:w="1781" w:type="dxa"/>
                  <w:vAlign w:val="center"/>
                </w:tcPr>
                <w:p>
                  <w:pPr>
                    <w:pStyle w:val="63"/>
                    <w:rPr>
                      <w:color w:val="auto"/>
                      <w:lang w:eastAsia="zh-CN"/>
                    </w:rPr>
                  </w:pPr>
                  <w:r>
                    <w:rPr>
                      <w:rFonts w:hint="eastAsia"/>
                      <w:color w:val="auto"/>
                      <w:lang w:eastAsia="zh-CN"/>
                    </w:rPr>
                    <w:t>2</w:t>
                  </w:r>
                  <w:r>
                    <w:rPr>
                      <w:color w:val="auto"/>
                      <w:lang w:eastAsia="zh-CN"/>
                    </w:rPr>
                    <w:t>1.319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3" w:type="dxa"/>
                  <w:gridSpan w:val="5"/>
                  <w:shd w:val="clear" w:color="auto" w:fill="auto"/>
                  <w:noWrap/>
                  <w:vAlign w:val="center"/>
                </w:tcPr>
                <w:p>
                  <w:pPr>
                    <w:pStyle w:val="63"/>
                    <w:rPr>
                      <w:color w:val="auto"/>
                      <w:lang w:eastAsia="zh-CN"/>
                    </w:rPr>
                  </w:pPr>
                  <w:r>
                    <w:rPr>
                      <w:rFonts w:hint="eastAsia"/>
                      <w:color w:val="auto"/>
                      <w:lang w:eastAsia="zh-CN"/>
                    </w:rPr>
                    <w:t>平均值</w:t>
                  </w:r>
                </w:p>
              </w:tc>
              <w:tc>
                <w:tcPr>
                  <w:tcW w:w="1781" w:type="dxa"/>
                  <w:vAlign w:val="center"/>
                </w:tcPr>
                <w:p>
                  <w:pPr>
                    <w:pStyle w:val="63"/>
                    <w:rPr>
                      <w:color w:val="auto"/>
                      <w:lang w:eastAsia="zh-CN"/>
                    </w:rPr>
                  </w:pPr>
                  <w:r>
                    <w:rPr>
                      <w:color w:val="auto"/>
                      <w:lang w:eastAsia="zh-CN"/>
                    </w:rPr>
                    <w:t>8.711</w:t>
                  </w:r>
                </w:p>
              </w:tc>
            </w:tr>
          </w:tbl>
          <w:p>
            <w:pPr>
              <w:ind w:firstLine="480"/>
              <w:rPr>
                <w:color w:val="auto"/>
              </w:rPr>
            </w:pPr>
            <w:r>
              <w:rPr>
                <w:rFonts w:hint="eastAsia"/>
                <w:color w:val="auto"/>
              </w:rPr>
              <w:t>根据上述类比项目计算结果，本项目运营期二氧化硫、氮氧化物核算结果见下表。</w:t>
            </w:r>
          </w:p>
          <w:p>
            <w:pPr>
              <w:pStyle w:val="66"/>
              <w:rPr>
                <w:color w:val="auto"/>
              </w:rPr>
            </w:pPr>
            <w:r>
              <w:rPr>
                <w:rFonts w:hint="eastAsia"/>
                <w:color w:val="auto"/>
              </w:rPr>
              <w:t>表</w:t>
            </w:r>
            <w:r>
              <w:rPr>
                <w:color w:val="auto"/>
              </w:rPr>
              <w:t>4.2.1.5-7</w:t>
            </w:r>
            <w:r>
              <w:rPr>
                <w:rFonts w:hint="eastAsia"/>
                <w:color w:val="auto"/>
              </w:rPr>
              <w:t xml:space="preserve"> DA003（热退火炉废气排放口）污染物核算结果表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2361"/>
              <w:gridCol w:w="1343"/>
              <w:gridCol w:w="1557"/>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3" w:type="dxa"/>
                  <w:shd w:val="clear" w:color="auto" w:fill="auto"/>
                  <w:vAlign w:val="center"/>
                </w:tcPr>
                <w:p>
                  <w:pPr>
                    <w:pStyle w:val="63"/>
                    <w:rPr>
                      <w:color w:val="auto"/>
                    </w:rPr>
                  </w:pPr>
                  <w:r>
                    <w:rPr>
                      <w:rFonts w:hint="eastAsia"/>
                      <w:color w:val="auto"/>
                    </w:rPr>
                    <w:t>项目</w:t>
                  </w:r>
                </w:p>
              </w:tc>
              <w:tc>
                <w:tcPr>
                  <w:tcW w:w="2361" w:type="dxa"/>
                  <w:shd w:val="clear" w:color="auto" w:fill="auto"/>
                  <w:vAlign w:val="center"/>
                </w:tcPr>
                <w:p>
                  <w:pPr>
                    <w:pStyle w:val="63"/>
                    <w:rPr>
                      <w:color w:val="auto"/>
                      <w:lang w:eastAsia="zh-CN"/>
                    </w:rPr>
                  </w:pPr>
                  <w:r>
                    <w:rPr>
                      <w:rFonts w:hint="eastAsia"/>
                      <w:color w:val="auto"/>
                      <w:lang w:eastAsia="zh-CN"/>
                    </w:rPr>
                    <w:t>产污系数</w:t>
                  </w:r>
                </w:p>
              </w:tc>
              <w:tc>
                <w:tcPr>
                  <w:tcW w:w="1343" w:type="dxa"/>
                  <w:shd w:val="clear" w:color="auto" w:fill="auto"/>
                  <w:vAlign w:val="center"/>
                </w:tcPr>
                <w:p>
                  <w:pPr>
                    <w:pStyle w:val="63"/>
                    <w:rPr>
                      <w:color w:val="auto"/>
                      <w:lang w:eastAsia="zh-CN"/>
                    </w:rPr>
                  </w:pPr>
                  <w:r>
                    <w:rPr>
                      <w:rFonts w:hint="eastAsia"/>
                      <w:color w:val="auto"/>
                      <w:lang w:eastAsia="zh-CN"/>
                    </w:rPr>
                    <w:t>天然气用量</w:t>
                  </w:r>
                </w:p>
              </w:tc>
              <w:tc>
                <w:tcPr>
                  <w:tcW w:w="1557" w:type="dxa"/>
                  <w:shd w:val="clear" w:color="auto" w:fill="auto"/>
                  <w:vAlign w:val="center"/>
                </w:tcPr>
                <w:p>
                  <w:pPr>
                    <w:pStyle w:val="63"/>
                    <w:rPr>
                      <w:color w:val="auto"/>
                    </w:rPr>
                  </w:pPr>
                  <w:r>
                    <w:rPr>
                      <w:rFonts w:hint="eastAsia"/>
                      <w:color w:val="auto"/>
                    </w:rPr>
                    <w:t>产生量（t/a）</w:t>
                  </w:r>
                </w:p>
              </w:tc>
              <w:tc>
                <w:tcPr>
                  <w:tcW w:w="1469" w:type="dxa"/>
                  <w:shd w:val="clear" w:color="auto" w:fill="auto"/>
                  <w:vAlign w:val="center"/>
                </w:tcPr>
                <w:p>
                  <w:pPr>
                    <w:pStyle w:val="63"/>
                    <w:rPr>
                      <w:color w:val="auto"/>
                    </w:rPr>
                  </w:pPr>
                  <w:r>
                    <w:rPr>
                      <w:rFonts w:hint="eastAsia"/>
                      <w:color w:val="auto"/>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73" w:type="dxa"/>
                  <w:shd w:val="clear" w:color="auto" w:fill="auto"/>
                  <w:vAlign w:val="center"/>
                </w:tcPr>
                <w:p>
                  <w:pPr>
                    <w:pStyle w:val="63"/>
                    <w:rPr>
                      <w:color w:val="auto"/>
                    </w:rPr>
                  </w:pPr>
                  <w:r>
                    <w:rPr>
                      <w:rFonts w:hint="eastAsia"/>
                      <w:color w:val="auto"/>
                      <w:lang w:eastAsia="zh-CN"/>
                    </w:rPr>
                    <w:t>S</w:t>
                  </w:r>
                  <w:r>
                    <w:rPr>
                      <w:color w:val="auto"/>
                      <w:lang w:eastAsia="zh-CN"/>
                    </w:rPr>
                    <w:t>O</w:t>
                  </w:r>
                  <w:r>
                    <w:rPr>
                      <w:color w:val="auto"/>
                      <w:vertAlign w:val="subscript"/>
                      <w:lang w:eastAsia="zh-CN"/>
                    </w:rPr>
                    <w:t>2</w:t>
                  </w:r>
                </w:p>
              </w:tc>
              <w:tc>
                <w:tcPr>
                  <w:tcW w:w="2361" w:type="dxa"/>
                  <w:shd w:val="clear" w:color="auto" w:fill="auto"/>
                  <w:vAlign w:val="center"/>
                </w:tcPr>
                <w:p>
                  <w:pPr>
                    <w:pStyle w:val="63"/>
                    <w:rPr>
                      <w:color w:val="auto"/>
                    </w:rPr>
                  </w:pPr>
                  <w:r>
                    <w:rPr>
                      <w:color w:val="auto"/>
                      <w:lang w:eastAsia="zh-CN"/>
                    </w:rPr>
                    <w:t>2.346</w:t>
                  </w:r>
                  <w:r>
                    <w:rPr>
                      <w:rFonts w:hint="eastAsia"/>
                      <w:color w:val="auto"/>
                      <w:lang w:eastAsia="zh-CN"/>
                    </w:rPr>
                    <w:t>万m</w:t>
                  </w:r>
                  <w:r>
                    <w:rPr>
                      <w:rFonts w:hint="eastAsia"/>
                      <w:color w:val="auto"/>
                      <w:vertAlign w:val="superscript"/>
                      <w:lang w:eastAsia="zh-CN"/>
                    </w:rPr>
                    <w:t>3</w:t>
                  </w:r>
                  <w:r>
                    <w:rPr>
                      <w:color w:val="auto"/>
                    </w:rPr>
                    <w:t>/</w:t>
                  </w:r>
                  <w:r>
                    <w:rPr>
                      <w:rFonts w:hint="eastAsia"/>
                      <w:color w:val="auto"/>
                      <w:lang w:eastAsia="zh-CN"/>
                    </w:rPr>
                    <w:t>kg</w:t>
                  </w:r>
                </w:p>
              </w:tc>
              <w:tc>
                <w:tcPr>
                  <w:tcW w:w="1343" w:type="dxa"/>
                  <w:vMerge w:val="restart"/>
                  <w:shd w:val="clear" w:color="auto" w:fill="auto"/>
                  <w:vAlign w:val="center"/>
                </w:tcPr>
                <w:p>
                  <w:pPr>
                    <w:pStyle w:val="63"/>
                    <w:rPr>
                      <w:color w:val="auto"/>
                      <w:lang w:eastAsia="zh-CN"/>
                    </w:rPr>
                  </w:pPr>
                  <w:r>
                    <w:rPr>
                      <w:rFonts w:hint="eastAsia"/>
                      <w:color w:val="auto"/>
                      <w:lang w:eastAsia="zh-CN"/>
                    </w:rPr>
                    <w:t>1</w:t>
                  </w:r>
                  <w:r>
                    <w:rPr>
                      <w:color w:val="auto"/>
                      <w:lang w:eastAsia="zh-CN"/>
                    </w:rPr>
                    <w:t>080</w:t>
                  </w:r>
                  <w:r>
                    <w:rPr>
                      <w:rFonts w:hint="eastAsia"/>
                      <w:color w:val="auto"/>
                      <w:lang w:eastAsia="zh-CN"/>
                    </w:rPr>
                    <w:t>万m</w:t>
                  </w:r>
                  <w:r>
                    <w:rPr>
                      <w:rFonts w:hint="eastAsia"/>
                      <w:color w:val="auto"/>
                      <w:vertAlign w:val="superscript"/>
                      <w:lang w:eastAsia="zh-CN"/>
                    </w:rPr>
                    <w:t>3</w:t>
                  </w:r>
                </w:p>
              </w:tc>
              <w:tc>
                <w:tcPr>
                  <w:tcW w:w="1557" w:type="dxa"/>
                  <w:shd w:val="clear" w:color="auto" w:fill="auto"/>
                  <w:vAlign w:val="center"/>
                </w:tcPr>
                <w:p>
                  <w:pPr>
                    <w:pStyle w:val="63"/>
                    <w:rPr>
                      <w:color w:val="auto"/>
                      <w:lang w:eastAsia="zh-CN"/>
                    </w:rPr>
                  </w:pPr>
                  <w:r>
                    <w:rPr>
                      <w:color w:val="auto"/>
                      <w:lang w:eastAsia="zh-CN"/>
                    </w:rPr>
                    <w:t>2.534</w:t>
                  </w:r>
                </w:p>
              </w:tc>
              <w:tc>
                <w:tcPr>
                  <w:tcW w:w="1469" w:type="dxa"/>
                  <w:shd w:val="clear" w:color="auto" w:fill="auto"/>
                  <w:vAlign w:val="center"/>
                </w:tcPr>
                <w:p>
                  <w:pPr>
                    <w:pStyle w:val="63"/>
                    <w:rPr>
                      <w:color w:val="auto"/>
                      <w:lang w:eastAsia="zh-CN"/>
                    </w:rPr>
                  </w:pPr>
                  <w:r>
                    <w:rPr>
                      <w:color w:val="auto"/>
                      <w:lang w:eastAsia="zh-CN"/>
                    </w:rPr>
                    <w:t>2.534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3" w:type="dxa"/>
                  <w:shd w:val="clear" w:color="auto" w:fill="auto"/>
                  <w:vAlign w:val="center"/>
                </w:tcPr>
                <w:p>
                  <w:pPr>
                    <w:pStyle w:val="63"/>
                    <w:rPr>
                      <w:color w:val="auto"/>
                    </w:rPr>
                  </w:pPr>
                  <w:r>
                    <w:rPr>
                      <w:rFonts w:hint="eastAsia"/>
                      <w:color w:val="auto"/>
                      <w:lang w:eastAsia="zh-CN"/>
                    </w:rPr>
                    <w:t>N</w:t>
                  </w:r>
                  <w:r>
                    <w:rPr>
                      <w:color w:val="auto"/>
                      <w:lang w:eastAsia="zh-CN"/>
                    </w:rPr>
                    <w:t>O</w:t>
                  </w:r>
                  <w:r>
                    <w:rPr>
                      <w:rFonts w:hint="eastAsia"/>
                      <w:color w:val="auto"/>
                      <w:lang w:eastAsia="zh-CN"/>
                    </w:rPr>
                    <w:t>x</w:t>
                  </w:r>
                </w:p>
              </w:tc>
              <w:tc>
                <w:tcPr>
                  <w:tcW w:w="2361" w:type="dxa"/>
                  <w:shd w:val="clear" w:color="auto" w:fill="auto"/>
                  <w:vAlign w:val="center"/>
                </w:tcPr>
                <w:p>
                  <w:pPr>
                    <w:pStyle w:val="63"/>
                    <w:rPr>
                      <w:color w:val="auto"/>
                    </w:rPr>
                  </w:pPr>
                  <w:r>
                    <w:rPr>
                      <w:color w:val="auto"/>
                      <w:lang w:eastAsia="zh-CN"/>
                    </w:rPr>
                    <w:t>8.711</w:t>
                  </w:r>
                  <w:r>
                    <w:rPr>
                      <w:rFonts w:hint="eastAsia"/>
                      <w:color w:val="auto"/>
                      <w:lang w:eastAsia="zh-CN"/>
                    </w:rPr>
                    <w:t>万m</w:t>
                  </w:r>
                  <w:r>
                    <w:rPr>
                      <w:rFonts w:hint="eastAsia"/>
                      <w:color w:val="auto"/>
                      <w:vertAlign w:val="superscript"/>
                      <w:lang w:eastAsia="zh-CN"/>
                    </w:rPr>
                    <w:t>3</w:t>
                  </w:r>
                  <w:r>
                    <w:rPr>
                      <w:color w:val="auto"/>
                    </w:rPr>
                    <w:t>/</w:t>
                  </w:r>
                  <w:r>
                    <w:rPr>
                      <w:rFonts w:hint="eastAsia"/>
                      <w:color w:val="auto"/>
                      <w:lang w:eastAsia="zh-CN"/>
                    </w:rPr>
                    <w:t>kg</w:t>
                  </w:r>
                </w:p>
              </w:tc>
              <w:tc>
                <w:tcPr>
                  <w:tcW w:w="1343" w:type="dxa"/>
                  <w:vMerge w:val="continue"/>
                  <w:shd w:val="clear" w:color="auto" w:fill="auto"/>
                  <w:vAlign w:val="center"/>
                </w:tcPr>
                <w:p>
                  <w:pPr>
                    <w:pStyle w:val="63"/>
                    <w:rPr>
                      <w:color w:val="auto"/>
                    </w:rPr>
                  </w:pPr>
                </w:p>
              </w:tc>
              <w:tc>
                <w:tcPr>
                  <w:tcW w:w="1557" w:type="dxa"/>
                  <w:shd w:val="clear" w:color="auto" w:fill="auto"/>
                  <w:vAlign w:val="center"/>
                </w:tcPr>
                <w:p>
                  <w:pPr>
                    <w:pStyle w:val="63"/>
                    <w:rPr>
                      <w:color w:val="auto"/>
                      <w:lang w:eastAsia="zh-CN"/>
                    </w:rPr>
                  </w:pPr>
                  <w:r>
                    <w:rPr>
                      <w:color w:val="auto"/>
                      <w:lang w:eastAsia="zh-CN"/>
                    </w:rPr>
                    <w:t>9.408</w:t>
                  </w:r>
                </w:p>
              </w:tc>
              <w:tc>
                <w:tcPr>
                  <w:tcW w:w="1469" w:type="dxa"/>
                  <w:shd w:val="clear" w:color="auto" w:fill="auto"/>
                  <w:vAlign w:val="center"/>
                </w:tcPr>
                <w:p>
                  <w:pPr>
                    <w:pStyle w:val="63"/>
                    <w:rPr>
                      <w:color w:val="auto"/>
                      <w:lang w:eastAsia="zh-CN"/>
                    </w:rPr>
                  </w:pPr>
                  <w:r>
                    <w:rPr>
                      <w:color w:val="auto"/>
                      <w:lang w:eastAsia="zh-CN"/>
                    </w:rPr>
                    <w:t>9.408</w:t>
                  </w:r>
                </w:p>
              </w:tc>
            </w:tr>
          </w:tbl>
          <w:p>
            <w:pPr>
              <w:ind w:firstLine="480"/>
              <w:rPr>
                <w:color w:val="auto"/>
              </w:rPr>
            </w:pPr>
            <w:r>
              <w:rPr>
                <w:rFonts w:hint="eastAsia"/>
                <w:color w:val="auto"/>
              </w:rPr>
              <w:t>根据上述计算结果，本项目运营期（2</w:t>
            </w:r>
            <w:r>
              <w:rPr>
                <w:color w:val="auto"/>
              </w:rPr>
              <w:t>70</w:t>
            </w:r>
            <w:r>
              <w:rPr>
                <w:rFonts w:hint="eastAsia"/>
                <w:color w:val="auto"/>
              </w:rPr>
              <w:t>d，2</w:t>
            </w:r>
            <w:r>
              <w:rPr>
                <w:color w:val="auto"/>
              </w:rPr>
              <w:t>4</w:t>
            </w:r>
            <w:r>
              <w:rPr>
                <w:rFonts w:hint="eastAsia"/>
                <w:color w:val="auto"/>
              </w:rPr>
              <w:t>h</w:t>
            </w:r>
            <w:r>
              <w:rPr>
                <w:color w:val="auto"/>
              </w:rPr>
              <w:t>/</w:t>
            </w:r>
            <w:r>
              <w:rPr>
                <w:rFonts w:hint="eastAsia"/>
                <w:color w:val="auto"/>
              </w:rPr>
              <w:t>d）废气产生及排放情况见下表：</w:t>
            </w:r>
          </w:p>
          <w:p>
            <w:pPr>
              <w:pStyle w:val="66"/>
              <w:rPr>
                <w:color w:val="auto"/>
              </w:rPr>
            </w:pPr>
            <w:r>
              <w:rPr>
                <w:rFonts w:hint="eastAsia"/>
                <w:color w:val="auto"/>
              </w:rPr>
              <w:t>表</w:t>
            </w:r>
            <w:r>
              <w:rPr>
                <w:color w:val="auto"/>
              </w:rPr>
              <w:t>4.2.1.5-8</w:t>
            </w:r>
            <w:r>
              <w:rPr>
                <w:rFonts w:hint="eastAsia"/>
                <w:color w:val="auto"/>
              </w:rPr>
              <w:t xml:space="preserve"> 本项目废气产排情况一览表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755"/>
              <w:gridCol w:w="883"/>
              <w:gridCol w:w="1120"/>
              <w:gridCol w:w="1068"/>
              <w:gridCol w:w="1201"/>
              <w:gridCol w:w="1068"/>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vAlign w:val="center"/>
                </w:tcPr>
                <w:p>
                  <w:pPr>
                    <w:pStyle w:val="63"/>
                    <w:rPr>
                      <w:color w:val="auto"/>
                    </w:rPr>
                  </w:pPr>
                  <w:r>
                    <w:rPr>
                      <w:color w:val="auto"/>
                    </w:rPr>
                    <w:t>污染物</w:t>
                  </w:r>
                </w:p>
              </w:tc>
              <w:tc>
                <w:tcPr>
                  <w:tcW w:w="478" w:type="pct"/>
                  <w:vAlign w:val="center"/>
                </w:tcPr>
                <w:p>
                  <w:pPr>
                    <w:pStyle w:val="63"/>
                    <w:rPr>
                      <w:color w:val="auto"/>
                    </w:rPr>
                  </w:pPr>
                  <w:r>
                    <w:rPr>
                      <w:rFonts w:hint="eastAsia"/>
                      <w:color w:val="auto"/>
                      <w:lang w:eastAsia="zh-CN"/>
                    </w:rPr>
                    <w:t>废气量</w:t>
                  </w:r>
                </w:p>
              </w:tc>
              <w:tc>
                <w:tcPr>
                  <w:tcW w:w="559" w:type="pct"/>
                  <w:vAlign w:val="center"/>
                </w:tcPr>
                <w:p>
                  <w:pPr>
                    <w:pStyle w:val="63"/>
                    <w:rPr>
                      <w:color w:val="auto"/>
                    </w:rPr>
                  </w:pPr>
                  <w:r>
                    <w:rPr>
                      <w:color w:val="auto"/>
                    </w:rPr>
                    <w:t>产生量（t/a）</w:t>
                  </w:r>
                </w:p>
              </w:tc>
              <w:tc>
                <w:tcPr>
                  <w:tcW w:w="709" w:type="pct"/>
                  <w:vAlign w:val="center"/>
                </w:tcPr>
                <w:p>
                  <w:pPr>
                    <w:pStyle w:val="63"/>
                    <w:rPr>
                      <w:color w:val="auto"/>
                    </w:rPr>
                  </w:pPr>
                  <w:r>
                    <w:rPr>
                      <w:rFonts w:hint="eastAsia"/>
                      <w:color w:val="auto"/>
                      <w:lang w:eastAsia="zh-CN"/>
                    </w:rPr>
                    <w:t>产生</w:t>
                  </w:r>
                  <w:r>
                    <w:rPr>
                      <w:color w:val="auto"/>
                    </w:rPr>
                    <w:t>速率</w:t>
                  </w:r>
                </w:p>
                <w:p>
                  <w:pPr>
                    <w:pStyle w:val="63"/>
                    <w:rPr>
                      <w:color w:val="auto"/>
                    </w:rPr>
                  </w:pPr>
                  <w:r>
                    <w:rPr>
                      <w:color w:val="auto"/>
                    </w:rPr>
                    <w:t>（kg/h）</w:t>
                  </w:r>
                </w:p>
              </w:tc>
              <w:tc>
                <w:tcPr>
                  <w:tcW w:w="676" w:type="pct"/>
                  <w:vAlign w:val="center"/>
                </w:tcPr>
                <w:p>
                  <w:pPr>
                    <w:pStyle w:val="63"/>
                    <w:rPr>
                      <w:color w:val="auto"/>
                    </w:rPr>
                  </w:pPr>
                  <w:r>
                    <w:rPr>
                      <w:rFonts w:hint="eastAsia"/>
                      <w:color w:val="auto"/>
                      <w:lang w:eastAsia="zh-CN"/>
                    </w:rPr>
                    <w:t>产生</w:t>
                  </w:r>
                  <w:r>
                    <w:rPr>
                      <w:color w:val="auto"/>
                    </w:rPr>
                    <w:t>浓度</w:t>
                  </w:r>
                </w:p>
                <w:p>
                  <w:pPr>
                    <w:pStyle w:val="63"/>
                    <w:rPr>
                      <w:color w:val="auto"/>
                    </w:rPr>
                  </w:pPr>
                  <w:r>
                    <w:rPr>
                      <w:color w:val="auto"/>
                    </w:rPr>
                    <w:t>（mg/m</w:t>
                  </w:r>
                  <w:r>
                    <w:rPr>
                      <w:color w:val="auto"/>
                      <w:vertAlign w:val="superscript"/>
                    </w:rPr>
                    <w:t>3</w:t>
                  </w:r>
                  <w:r>
                    <w:rPr>
                      <w:color w:val="auto"/>
                    </w:rPr>
                    <w:t>）</w:t>
                  </w:r>
                </w:p>
              </w:tc>
              <w:tc>
                <w:tcPr>
                  <w:tcW w:w="760" w:type="pct"/>
                  <w:vAlign w:val="center"/>
                </w:tcPr>
                <w:p>
                  <w:pPr>
                    <w:pStyle w:val="63"/>
                    <w:rPr>
                      <w:color w:val="auto"/>
                    </w:rPr>
                  </w:pPr>
                  <w:r>
                    <w:rPr>
                      <w:color w:val="auto"/>
                    </w:rPr>
                    <w:t>排放量</w:t>
                  </w:r>
                </w:p>
                <w:p>
                  <w:pPr>
                    <w:pStyle w:val="63"/>
                    <w:rPr>
                      <w:color w:val="auto"/>
                    </w:rPr>
                  </w:pPr>
                  <w:r>
                    <w:rPr>
                      <w:color w:val="auto"/>
                    </w:rPr>
                    <w:t>（t/a）</w:t>
                  </w:r>
                </w:p>
              </w:tc>
              <w:tc>
                <w:tcPr>
                  <w:tcW w:w="676" w:type="pct"/>
                  <w:vAlign w:val="center"/>
                </w:tcPr>
                <w:p>
                  <w:pPr>
                    <w:pStyle w:val="63"/>
                    <w:rPr>
                      <w:color w:val="auto"/>
                    </w:rPr>
                  </w:pPr>
                  <w:r>
                    <w:rPr>
                      <w:color w:val="auto"/>
                    </w:rPr>
                    <w:t>排放速率</w:t>
                  </w:r>
                </w:p>
                <w:p>
                  <w:pPr>
                    <w:pStyle w:val="63"/>
                    <w:rPr>
                      <w:color w:val="auto"/>
                    </w:rPr>
                  </w:pPr>
                  <w:r>
                    <w:rPr>
                      <w:color w:val="auto"/>
                    </w:rPr>
                    <w:t>（kg/h）</w:t>
                  </w:r>
                </w:p>
              </w:tc>
              <w:tc>
                <w:tcPr>
                  <w:tcW w:w="708" w:type="pct"/>
                  <w:vAlign w:val="center"/>
                </w:tcPr>
                <w:p>
                  <w:pPr>
                    <w:pStyle w:val="63"/>
                    <w:rPr>
                      <w:color w:val="auto"/>
                    </w:rPr>
                  </w:pPr>
                  <w:r>
                    <w:rPr>
                      <w:color w:val="auto"/>
                    </w:rPr>
                    <w:t>排放浓度</w:t>
                  </w:r>
                </w:p>
                <w:p>
                  <w:pPr>
                    <w:pStyle w:val="63"/>
                    <w:rPr>
                      <w:color w:val="auto"/>
                    </w:rPr>
                  </w:pPr>
                  <w:r>
                    <w:rPr>
                      <w:color w:val="auto"/>
                    </w:rPr>
                    <w:t>（mg/m</w:t>
                  </w:r>
                  <w:r>
                    <w:rPr>
                      <w:color w:val="auto"/>
                      <w:vertAlign w:val="superscript"/>
                    </w:rPr>
                    <w:t>3</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vAlign w:val="center"/>
                </w:tcPr>
                <w:p>
                  <w:pPr>
                    <w:pStyle w:val="63"/>
                    <w:rPr>
                      <w:color w:val="auto"/>
                    </w:rPr>
                  </w:pPr>
                  <w:r>
                    <w:rPr>
                      <w:rFonts w:hint="eastAsia"/>
                      <w:color w:val="auto"/>
                      <w:lang w:eastAsia="zh-CN"/>
                    </w:rPr>
                    <w:t>颗粒物</w:t>
                  </w:r>
                </w:p>
              </w:tc>
              <w:tc>
                <w:tcPr>
                  <w:tcW w:w="478" w:type="pct"/>
                  <w:vMerge w:val="restart"/>
                  <w:vAlign w:val="center"/>
                </w:tcPr>
                <w:p>
                  <w:pPr>
                    <w:pStyle w:val="63"/>
                    <w:rPr>
                      <w:color w:val="auto"/>
                    </w:rPr>
                  </w:pPr>
                  <w:r>
                    <w:rPr>
                      <w:color w:val="auto"/>
                    </w:rPr>
                    <w:t>11556</w:t>
                  </w:r>
                  <w:r>
                    <w:rPr>
                      <w:rFonts w:hint="eastAsia"/>
                      <w:color w:val="auto"/>
                    </w:rPr>
                    <w:t>万m</w:t>
                  </w:r>
                  <w:r>
                    <w:rPr>
                      <w:rFonts w:hint="eastAsia"/>
                      <w:color w:val="auto"/>
                      <w:vertAlign w:val="superscript"/>
                    </w:rPr>
                    <w:t>3</w:t>
                  </w:r>
                  <w:r>
                    <w:rPr>
                      <w:color w:val="auto"/>
                    </w:rPr>
                    <w:t>/</w:t>
                  </w:r>
                  <w:r>
                    <w:rPr>
                      <w:rFonts w:hint="eastAsia"/>
                      <w:color w:val="auto"/>
                    </w:rPr>
                    <w:t>a</w:t>
                  </w:r>
                </w:p>
              </w:tc>
              <w:tc>
                <w:tcPr>
                  <w:tcW w:w="559" w:type="pct"/>
                  <w:vAlign w:val="center"/>
                </w:tcPr>
                <w:p>
                  <w:pPr>
                    <w:pStyle w:val="63"/>
                    <w:rPr>
                      <w:color w:val="auto"/>
                      <w:lang w:eastAsia="zh-CN"/>
                    </w:rPr>
                  </w:pPr>
                  <w:r>
                    <w:rPr>
                      <w:color w:val="auto"/>
                      <w:lang w:eastAsia="zh-CN"/>
                    </w:rPr>
                    <w:t>1.8</w:t>
                  </w:r>
                </w:p>
              </w:tc>
              <w:tc>
                <w:tcPr>
                  <w:tcW w:w="709" w:type="pct"/>
                  <w:vAlign w:val="center"/>
                </w:tcPr>
                <w:p>
                  <w:pPr>
                    <w:pStyle w:val="63"/>
                    <w:rPr>
                      <w:color w:val="auto"/>
                      <w:lang w:eastAsia="zh-CN"/>
                    </w:rPr>
                  </w:pPr>
                  <w:r>
                    <w:rPr>
                      <w:color w:val="auto"/>
                      <w:lang w:eastAsia="zh-CN"/>
                    </w:rPr>
                    <w:t>0.28</w:t>
                  </w:r>
                </w:p>
              </w:tc>
              <w:tc>
                <w:tcPr>
                  <w:tcW w:w="676" w:type="pct"/>
                  <w:vAlign w:val="center"/>
                </w:tcPr>
                <w:p>
                  <w:pPr>
                    <w:pStyle w:val="63"/>
                    <w:rPr>
                      <w:color w:val="auto"/>
                      <w:lang w:eastAsia="zh-CN"/>
                    </w:rPr>
                  </w:pPr>
                  <w:r>
                    <w:rPr>
                      <w:color w:val="auto"/>
                      <w:lang w:eastAsia="zh-CN"/>
                    </w:rPr>
                    <w:t>15.58</w:t>
                  </w:r>
                </w:p>
              </w:tc>
              <w:tc>
                <w:tcPr>
                  <w:tcW w:w="760" w:type="pct"/>
                  <w:vAlign w:val="center"/>
                </w:tcPr>
                <w:p>
                  <w:pPr>
                    <w:pStyle w:val="63"/>
                    <w:rPr>
                      <w:color w:val="auto"/>
                      <w:lang w:eastAsia="zh-CN"/>
                    </w:rPr>
                  </w:pPr>
                  <w:r>
                    <w:rPr>
                      <w:color w:val="auto"/>
                      <w:lang w:eastAsia="zh-CN"/>
                    </w:rPr>
                    <w:t>1.8</w:t>
                  </w:r>
                </w:p>
              </w:tc>
              <w:tc>
                <w:tcPr>
                  <w:tcW w:w="676" w:type="pct"/>
                  <w:vAlign w:val="center"/>
                </w:tcPr>
                <w:p>
                  <w:pPr>
                    <w:pStyle w:val="63"/>
                    <w:rPr>
                      <w:color w:val="auto"/>
                      <w:lang w:eastAsia="zh-CN"/>
                    </w:rPr>
                  </w:pPr>
                  <w:r>
                    <w:rPr>
                      <w:color w:val="auto"/>
                      <w:lang w:eastAsia="zh-CN"/>
                    </w:rPr>
                    <w:t>0.28</w:t>
                  </w:r>
                </w:p>
              </w:tc>
              <w:tc>
                <w:tcPr>
                  <w:tcW w:w="708" w:type="pct"/>
                  <w:vAlign w:val="center"/>
                </w:tcPr>
                <w:p>
                  <w:pPr>
                    <w:pStyle w:val="63"/>
                    <w:rPr>
                      <w:color w:val="auto"/>
                      <w:lang w:eastAsia="zh-CN"/>
                    </w:rPr>
                  </w:pPr>
                  <w:r>
                    <w:rPr>
                      <w:color w:val="auto"/>
                      <w:lang w:eastAsia="zh-CN"/>
                    </w:rPr>
                    <w:t>15.58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vAlign w:val="center"/>
                </w:tcPr>
                <w:p>
                  <w:pPr>
                    <w:pStyle w:val="63"/>
                    <w:rPr>
                      <w:color w:val="auto"/>
                    </w:rPr>
                  </w:pPr>
                  <w:r>
                    <w:rPr>
                      <w:rFonts w:hint="eastAsia"/>
                      <w:color w:val="auto"/>
                      <w:lang w:eastAsia="zh-CN"/>
                    </w:rPr>
                    <w:t>S</w:t>
                  </w:r>
                  <w:r>
                    <w:rPr>
                      <w:color w:val="auto"/>
                      <w:lang w:eastAsia="zh-CN"/>
                    </w:rPr>
                    <w:t>O</w:t>
                  </w:r>
                  <w:r>
                    <w:rPr>
                      <w:color w:val="auto"/>
                      <w:vertAlign w:val="subscript"/>
                      <w:lang w:eastAsia="zh-CN"/>
                    </w:rPr>
                    <w:t>2</w:t>
                  </w:r>
                </w:p>
              </w:tc>
              <w:tc>
                <w:tcPr>
                  <w:tcW w:w="478" w:type="pct"/>
                  <w:vMerge w:val="continue"/>
                  <w:vAlign w:val="center"/>
                </w:tcPr>
                <w:p>
                  <w:pPr>
                    <w:pStyle w:val="63"/>
                    <w:rPr>
                      <w:color w:val="auto"/>
                    </w:rPr>
                  </w:pPr>
                </w:p>
              </w:tc>
              <w:tc>
                <w:tcPr>
                  <w:tcW w:w="559" w:type="pct"/>
                  <w:vAlign w:val="center"/>
                </w:tcPr>
                <w:p>
                  <w:pPr>
                    <w:pStyle w:val="63"/>
                    <w:rPr>
                      <w:color w:val="auto"/>
                      <w:lang w:eastAsia="zh-CN"/>
                    </w:rPr>
                  </w:pPr>
                  <w:r>
                    <w:rPr>
                      <w:color w:val="auto"/>
                      <w:lang w:eastAsia="zh-CN"/>
                    </w:rPr>
                    <w:t>2.534</w:t>
                  </w:r>
                </w:p>
              </w:tc>
              <w:tc>
                <w:tcPr>
                  <w:tcW w:w="709" w:type="pct"/>
                  <w:vAlign w:val="center"/>
                </w:tcPr>
                <w:p>
                  <w:pPr>
                    <w:pStyle w:val="63"/>
                    <w:rPr>
                      <w:color w:val="auto"/>
                      <w:lang w:eastAsia="zh-CN"/>
                    </w:rPr>
                  </w:pPr>
                  <w:r>
                    <w:rPr>
                      <w:color w:val="auto"/>
                      <w:lang w:eastAsia="zh-CN"/>
                    </w:rPr>
                    <w:t>0.39</w:t>
                  </w:r>
                </w:p>
              </w:tc>
              <w:tc>
                <w:tcPr>
                  <w:tcW w:w="676" w:type="pct"/>
                  <w:vAlign w:val="center"/>
                </w:tcPr>
                <w:p>
                  <w:pPr>
                    <w:pStyle w:val="63"/>
                    <w:rPr>
                      <w:color w:val="auto"/>
                      <w:lang w:eastAsia="zh-CN"/>
                    </w:rPr>
                  </w:pPr>
                  <w:r>
                    <w:rPr>
                      <w:rFonts w:hint="eastAsia"/>
                      <w:color w:val="auto"/>
                      <w:lang w:eastAsia="zh-CN"/>
                    </w:rPr>
                    <w:t>2</w:t>
                  </w:r>
                  <w:r>
                    <w:rPr>
                      <w:color w:val="auto"/>
                      <w:lang w:eastAsia="zh-CN"/>
                    </w:rPr>
                    <w:t>1.93</w:t>
                  </w:r>
                </w:p>
              </w:tc>
              <w:tc>
                <w:tcPr>
                  <w:tcW w:w="760" w:type="pct"/>
                  <w:vAlign w:val="center"/>
                </w:tcPr>
                <w:p>
                  <w:pPr>
                    <w:pStyle w:val="63"/>
                    <w:rPr>
                      <w:color w:val="auto"/>
                      <w:lang w:eastAsia="zh-CN"/>
                    </w:rPr>
                  </w:pPr>
                  <w:r>
                    <w:rPr>
                      <w:color w:val="auto"/>
                      <w:lang w:eastAsia="zh-CN"/>
                    </w:rPr>
                    <w:t>2.534</w:t>
                  </w:r>
                </w:p>
              </w:tc>
              <w:tc>
                <w:tcPr>
                  <w:tcW w:w="676" w:type="pct"/>
                  <w:vAlign w:val="center"/>
                </w:tcPr>
                <w:p>
                  <w:pPr>
                    <w:pStyle w:val="63"/>
                    <w:rPr>
                      <w:color w:val="auto"/>
                      <w:lang w:eastAsia="zh-CN"/>
                    </w:rPr>
                  </w:pPr>
                  <w:r>
                    <w:rPr>
                      <w:color w:val="auto"/>
                      <w:lang w:eastAsia="zh-CN"/>
                    </w:rPr>
                    <w:t>0.39</w:t>
                  </w:r>
                </w:p>
              </w:tc>
              <w:tc>
                <w:tcPr>
                  <w:tcW w:w="708" w:type="pct"/>
                  <w:vAlign w:val="center"/>
                </w:tcPr>
                <w:p>
                  <w:pPr>
                    <w:pStyle w:val="63"/>
                    <w:rPr>
                      <w:color w:val="auto"/>
                      <w:lang w:eastAsia="zh-CN"/>
                    </w:rPr>
                  </w:pPr>
                  <w:r>
                    <w:rPr>
                      <w:rFonts w:hint="eastAsia"/>
                      <w:color w:val="auto"/>
                      <w:lang w:eastAsia="zh-CN"/>
                    </w:rPr>
                    <w:t>2</w:t>
                  </w:r>
                  <w:r>
                    <w:rPr>
                      <w:color w:val="auto"/>
                      <w:lang w:eastAsia="zh-CN"/>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vAlign w:val="center"/>
                </w:tcPr>
                <w:p>
                  <w:pPr>
                    <w:pStyle w:val="63"/>
                    <w:rPr>
                      <w:color w:val="auto"/>
                    </w:rPr>
                  </w:pPr>
                  <w:r>
                    <w:rPr>
                      <w:rFonts w:hint="eastAsia"/>
                      <w:color w:val="auto"/>
                      <w:lang w:eastAsia="zh-CN"/>
                    </w:rPr>
                    <w:t>N</w:t>
                  </w:r>
                  <w:r>
                    <w:rPr>
                      <w:color w:val="auto"/>
                      <w:lang w:eastAsia="zh-CN"/>
                    </w:rPr>
                    <w:t>O</w:t>
                  </w:r>
                  <w:r>
                    <w:rPr>
                      <w:rFonts w:hint="eastAsia"/>
                      <w:color w:val="auto"/>
                      <w:lang w:eastAsia="zh-CN"/>
                    </w:rPr>
                    <w:t>x</w:t>
                  </w:r>
                </w:p>
              </w:tc>
              <w:tc>
                <w:tcPr>
                  <w:tcW w:w="478" w:type="pct"/>
                  <w:vMerge w:val="continue"/>
                  <w:vAlign w:val="center"/>
                </w:tcPr>
                <w:p>
                  <w:pPr>
                    <w:pStyle w:val="63"/>
                    <w:rPr>
                      <w:color w:val="auto"/>
                    </w:rPr>
                  </w:pPr>
                </w:p>
              </w:tc>
              <w:tc>
                <w:tcPr>
                  <w:tcW w:w="559" w:type="pct"/>
                  <w:vAlign w:val="center"/>
                </w:tcPr>
                <w:p>
                  <w:pPr>
                    <w:pStyle w:val="63"/>
                    <w:rPr>
                      <w:color w:val="auto"/>
                      <w:lang w:eastAsia="zh-CN"/>
                    </w:rPr>
                  </w:pPr>
                  <w:r>
                    <w:rPr>
                      <w:color w:val="auto"/>
                      <w:lang w:eastAsia="zh-CN"/>
                    </w:rPr>
                    <w:t>9.408</w:t>
                  </w:r>
                </w:p>
              </w:tc>
              <w:tc>
                <w:tcPr>
                  <w:tcW w:w="709" w:type="pct"/>
                  <w:vAlign w:val="center"/>
                </w:tcPr>
                <w:p>
                  <w:pPr>
                    <w:pStyle w:val="63"/>
                    <w:rPr>
                      <w:color w:val="auto"/>
                      <w:lang w:eastAsia="zh-CN"/>
                    </w:rPr>
                  </w:pPr>
                  <w:r>
                    <w:rPr>
                      <w:color w:val="auto"/>
                      <w:lang w:eastAsia="zh-CN"/>
                    </w:rPr>
                    <w:t>1.45</w:t>
                  </w:r>
                </w:p>
              </w:tc>
              <w:tc>
                <w:tcPr>
                  <w:tcW w:w="676" w:type="pct"/>
                  <w:vAlign w:val="center"/>
                </w:tcPr>
                <w:p>
                  <w:pPr>
                    <w:pStyle w:val="63"/>
                    <w:rPr>
                      <w:color w:val="auto"/>
                      <w:lang w:eastAsia="zh-CN"/>
                    </w:rPr>
                  </w:pPr>
                  <w:r>
                    <w:rPr>
                      <w:rFonts w:hint="eastAsia"/>
                      <w:color w:val="auto"/>
                      <w:lang w:eastAsia="zh-CN"/>
                    </w:rPr>
                    <w:t>8</w:t>
                  </w:r>
                  <w:r>
                    <w:rPr>
                      <w:color w:val="auto"/>
                      <w:lang w:eastAsia="zh-CN"/>
                    </w:rPr>
                    <w:t>1.41</w:t>
                  </w:r>
                </w:p>
              </w:tc>
              <w:tc>
                <w:tcPr>
                  <w:tcW w:w="760" w:type="pct"/>
                  <w:vAlign w:val="center"/>
                </w:tcPr>
                <w:p>
                  <w:pPr>
                    <w:pStyle w:val="63"/>
                    <w:rPr>
                      <w:color w:val="auto"/>
                      <w:lang w:eastAsia="zh-CN"/>
                    </w:rPr>
                  </w:pPr>
                  <w:r>
                    <w:rPr>
                      <w:color w:val="auto"/>
                      <w:lang w:eastAsia="zh-CN"/>
                    </w:rPr>
                    <w:t>9.408</w:t>
                  </w:r>
                </w:p>
              </w:tc>
              <w:tc>
                <w:tcPr>
                  <w:tcW w:w="676" w:type="pct"/>
                  <w:vAlign w:val="center"/>
                </w:tcPr>
                <w:p>
                  <w:pPr>
                    <w:pStyle w:val="63"/>
                    <w:rPr>
                      <w:color w:val="auto"/>
                      <w:lang w:eastAsia="zh-CN"/>
                    </w:rPr>
                  </w:pPr>
                  <w:r>
                    <w:rPr>
                      <w:color w:val="auto"/>
                      <w:lang w:eastAsia="zh-CN"/>
                    </w:rPr>
                    <w:t>1.45</w:t>
                  </w:r>
                </w:p>
              </w:tc>
              <w:tc>
                <w:tcPr>
                  <w:tcW w:w="708" w:type="pct"/>
                  <w:vAlign w:val="center"/>
                </w:tcPr>
                <w:p>
                  <w:pPr>
                    <w:pStyle w:val="63"/>
                    <w:rPr>
                      <w:color w:val="auto"/>
                    </w:rPr>
                  </w:pPr>
                  <w:r>
                    <w:rPr>
                      <w:rFonts w:hint="eastAsia"/>
                      <w:color w:val="auto"/>
                      <w:lang w:eastAsia="zh-CN"/>
                    </w:rPr>
                    <w:t>8</w:t>
                  </w:r>
                  <w:r>
                    <w:rPr>
                      <w:color w:val="auto"/>
                      <w:lang w:eastAsia="zh-CN"/>
                    </w:rPr>
                    <w:t>1.41</w:t>
                  </w:r>
                </w:p>
              </w:tc>
            </w:tr>
          </w:tbl>
          <w:p>
            <w:pPr>
              <w:ind w:firstLine="482"/>
              <w:rPr>
                <w:b/>
                <w:bCs/>
                <w:color w:val="auto"/>
              </w:rPr>
            </w:pPr>
            <w:r>
              <w:rPr>
                <w:b/>
                <w:bCs/>
                <w:color w:val="auto"/>
              </w:rPr>
              <w:t>3.</w:t>
            </w:r>
            <w:r>
              <w:rPr>
                <w:rFonts w:hint="eastAsia"/>
                <w:b/>
                <w:bCs/>
                <w:color w:val="auto"/>
              </w:rPr>
              <w:t>非正常排放</w:t>
            </w:r>
          </w:p>
          <w:p>
            <w:pPr>
              <w:ind w:firstLine="480"/>
              <w:rPr>
                <w:color w:val="auto"/>
              </w:rPr>
            </w:pPr>
            <w:r>
              <w:rPr>
                <w:rFonts w:hint="eastAsia"/>
                <w:color w:val="auto"/>
              </w:rPr>
              <w:t>根据《污染源源强核算技术指南 准则》（HJ848-2018），非正常工况是指生产设施非正常工况或污染防治（控制）设施非正常状况，其中生产设施非正常工况指开停炉（机）、设备检修、工艺设备运转异常等工况，污染防治（控制）设施非正常状况指达不到应有治理效率或同步运转率等情况。</w:t>
            </w:r>
          </w:p>
          <w:p>
            <w:pPr>
              <w:ind w:firstLine="480"/>
              <w:rPr>
                <w:color w:val="auto"/>
              </w:rPr>
            </w:pPr>
            <w:r>
              <w:rPr>
                <w:rFonts w:hint="eastAsia"/>
                <w:color w:val="auto"/>
              </w:rPr>
              <w:t>根据实际工程经验估算，本项目热退火炉开停炉（机）、设备检修频率约为2次/年。本项目非正常工况废气排放情况详见下表。</w:t>
            </w:r>
          </w:p>
          <w:p>
            <w:pPr>
              <w:pStyle w:val="66"/>
              <w:rPr>
                <w:color w:val="auto"/>
              </w:rPr>
            </w:pPr>
            <w:r>
              <w:rPr>
                <w:rFonts w:hint="eastAsia"/>
                <w:color w:val="auto"/>
              </w:rPr>
              <w:t>表4</w:t>
            </w:r>
            <w:r>
              <w:rPr>
                <w:color w:val="auto"/>
              </w:rPr>
              <w:t>.2.1.5-9</w:t>
            </w:r>
            <w:r>
              <w:rPr>
                <w:rFonts w:hint="eastAsia"/>
                <w:color w:val="auto"/>
              </w:rPr>
              <w:t xml:space="preserve"> 非正常工况废气排放情况一览表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19"/>
              <w:gridCol w:w="1206"/>
              <w:gridCol w:w="1062"/>
              <w:gridCol w:w="1318"/>
              <w:gridCol w:w="1532"/>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pStyle w:val="63"/>
                    <w:rPr>
                      <w:color w:val="auto"/>
                    </w:rPr>
                  </w:pPr>
                  <w:r>
                    <w:rPr>
                      <w:rFonts w:hint="eastAsia"/>
                      <w:color w:val="auto"/>
                    </w:rPr>
                    <w:t>序号</w:t>
                  </w:r>
                </w:p>
              </w:tc>
              <w:tc>
                <w:tcPr>
                  <w:tcW w:w="771" w:type="pct"/>
                  <w:vAlign w:val="center"/>
                </w:tcPr>
                <w:p>
                  <w:pPr>
                    <w:pStyle w:val="63"/>
                    <w:rPr>
                      <w:color w:val="auto"/>
                    </w:rPr>
                  </w:pPr>
                  <w:r>
                    <w:rPr>
                      <w:rFonts w:hint="eastAsia"/>
                      <w:color w:val="auto"/>
                    </w:rPr>
                    <w:t>污染源</w:t>
                  </w:r>
                </w:p>
              </w:tc>
              <w:tc>
                <w:tcPr>
                  <w:tcW w:w="763" w:type="pct"/>
                  <w:vAlign w:val="center"/>
                </w:tcPr>
                <w:p>
                  <w:pPr>
                    <w:pStyle w:val="63"/>
                    <w:rPr>
                      <w:color w:val="auto"/>
                    </w:rPr>
                  </w:pPr>
                  <w:r>
                    <w:rPr>
                      <w:rFonts w:hint="eastAsia"/>
                      <w:color w:val="auto"/>
                    </w:rPr>
                    <w:t>污染物</w:t>
                  </w:r>
                </w:p>
              </w:tc>
              <w:tc>
                <w:tcPr>
                  <w:tcW w:w="672" w:type="pct"/>
                  <w:vAlign w:val="center"/>
                </w:tcPr>
                <w:p>
                  <w:pPr>
                    <w:pStyle w:val="63"/>
                    <w:rPr>
                      <w:color w:val="auto"/>
                    </w:rPr>
                  </w:pPr>
                  <w:r>
                    <w:rPr>
                      <w:rFonts w:hint="eastAsia"/>
                      <w:color w:val="auto"/>
                    </w:rPr>
                    <w:t>非正常工况发生频次</w:t>
                  </w:r>
                </w:p>
              </w:tc>
              <w:tc>
                <w:tcPr>
                  <w:tcW w:w="834" w:type="pct"/>
                  <w:vAlign w:val="center"/>
                </w:tcPr>
                <w:p>
                  <w:pPr>
                    <w:pStyle w:val="63"/>
                    <w:rPr>
                      <w:color w:val="auto"/>
                    </w:rPr>
                  </w:pPr>
                  <w:r>
                    <w:rPr>
                      <w:rFonts w:hint="eastAsia"/>
                      <w:color w:val="auto"/>
                      <w:lang w:eastAsia="zh-CN"/>
                    </w:rPr>
                    <w:t>排放</w:t>
                  </w:r>
                  <w:r>
                    <w:rPr>
                      <w:rFonts w:hint="eastAsia"/>
                      <w:color w:val="auto"/>
                    </w:rPr>
                    <w:t>浓度</w:t>
                  </w:r>
                </w:p>
                <w:p>
                  <w:pPr>
                    <w:pStyle w:val="63"/>
                    <w:rPr>
                      <w:color w:val="auto"/>
                      <w:lang w:eastAsia="zh-CN"/>
                    </w:rPr>
                  </w:pPr>
                  <w:r>
                    <w:rPr>
                      <w:rFonts w:hint="eastAsia"/>
                      <w:color w:val="auto"/>
                      <w:lang w:eastAsia="zh-CN"/>
                    </w:rPr>
                    <w:t>（</w:t>
                  </w:r>
                  <w:r>
                    <w:rPr>
                      <w:color w:val="auto"/>
                    </w:rPr>
                    <w:t>mg/m</w:t>
                  </w:r>
                  <w:r>
                    <w:rPr>
                      <w:color w:val="auto"/>
                      <w:vertAlign w:val="superscript"/>
                    </w:rPr>
                    <w:t>3</w:t>
                  </w:r>
                  <w:r>
                    <w:rPr>
                      <w:rFonts w:hint="eastAsia"/>
                      <w:color w:val="auto"/>
                      <w:lang w:eastAsia="zh-CN"/>
                    </w:rPr>
                    <w:t>）</w:t>
                  </w:r>
                </w:p>
              </w:tc>
              <w:tc>
                <w:tcPr>
                  <w:tcW w:w="969" w:type="pct"/>
                  <w:vAlign w:val="center"/>
                </w:tcPr>
                <w:p>
                  <w:pPr>
                    <w:pStyle w:val="63"/>
                    <w:rPr>
                      <w:color w:val="auto"/>
                    </w:rPr>
                  </w:pPr>
                  <w:r>
                    <w:rPr>
                      <w:rFonts w:hint="eastAsia"/>
                      <w:color w:val="auto"/>
                    </w:rPr>
                    <w:t>排放速率</w:t>
                  </w:r>
                </w:p>
                <w:p>
                  <w:pPr>
                    <w:pStyle w:val="63"/>
                    <w:rPr>
                      <w:color w:val="auto"/>
                    </w:rPr>
                  </w:pPr>
                  <w:r>
                    <w:rPr>
                      <w:rFonts w:hint="eastAsia"/>
                      <w:color w:val="auto"/>
                      <w:lang w:eastAsia="zh-CN"/>
                    </w:rPr>
                    <w:t>（</w:t>
                  </w:r>
                  <w:r>
                    <w:rPr>
                      <w:color w:val="auto"/>
                      <w:lang w:eastAsia="zh-CN"/>
                    </w:rPr>
                    <w:t>k</w:t>
                  </w:r>
                  <w:r>
                    <w:rPr>
                      <w:rFonts w:hint="eastAsia"/>
                      <w:color w:val="auto"/>
                      <w:lang w:eastAsia="zh-CN"/>
                    </w:rPr>
                    <w:t>g/h）</w:t>
                  </w:r>
                </w:p>
              </w:tc>
              <w:tc>
                <w:tcPr>
                  <w:tcW w:w="524" w:type="pct"/>
                  <w:vAlign w:val="center"/>
                </w:tcPr>
                <w:p>
                  <w:pPr>
                    <w:pStyle w:val="63"/>
                    <w:rPr>
                      <w:color w:val="auto"/>
                    </w:rPr>
                  </w:pPr>
                  <w:r>
                    <w:rPr>
                      <w:rFonts w:hint="eastAsia"/>
                      <w:color w:val="auto"/>
                    </w:rPr>
                    <w:t>单次持续时间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Align w:val="center"/>
                </w:tcPr>
                <w:p>
                  <w:pPr>
                    <w:pStyle w:val="63"/>
                    <w:rPr>
                      <w:color w:val="auto"/>
                    </w:rPr>
                  </w:pPr>
                  <w:r>
                    <w:rPr>
                      <w:rFonts w:hint="eastAsia"/>
                      <w:color w:val="auto"/>
                    </w:rPr>
                    <w:t>1</w:t>
                  </w:r>
                </w:p>
              </w:tc>
              <w:tc>
                <w:tcPr>
                  <w:tcW w:w="771" w:type="pct"/>
                  <w:vMerge w:val="restart"/>
                  <w:vAlign w:val="center"/>
                </w:tcPr>
                <w:p>
                  <w:pPr>
                    <w:pStyle w:val="63"/>
                    <w:rPr>
                      <w:color w:val="auto"/>
                    </w:rPr>
                  </w:pPr>
                  <w:r>
                    <w:rPr>
                      <w:rFonts w:hint="eastAsia"/>
                      <w:color w:val="auto"/>
                    </w:rPr>
                    <w:t>DA00</w:t>
                  </w:r>
                  <w:r>
                    <w:rPr>
                      <w:color w:val="auto"/>
                    </w:rPr>
                    <w:t>3</w:t>
                  </w:r>
                </w:p>
              </w:tc>
              <w:tc>
                <w:tcPr>
                  <w:tcW w:w="763" w:type="pct"/>
                  <w:vAlign w:val="center"/>
                </w:tcPr>
                <w:p>
                  <w:pPr>
                    <w:pStyle w:val="63"/>
                    <w:rPr>
                      <w:color w:val="auto"/>
                    </w:rPr>
                  </w:pPr>
                  <w:r>
                    <w:rPr>
                      <w:rFonts w:hint="eastAsia"/>
                      <w:color w:val="auto"/>
                      <w:lang w:eastAsia="zh-CN"/>
                    </w:rPr>
                    <w:t>颗粒物</w:t>
                  </w:r>
                </w:p>
              </w:tc>
              <w:tc>
                <w:tcPr>
                  <w:tcW w:w="672" w:type="pct"/>
                  <w:vMerge w:val="restart"/>
                  <w:vAlign w:val="center"/>
                </w:tcPr>
                <w:p>
                  <w:pPr>
                    <w:pStyle w:val="63"/>
                    <w:rPr>
                      <w:color w:val="auto"/>
                    </w:rPr>
                  </w:pPr>
                  <w:r>
                    <w:rPr>
                      <w:rFonts w:hint="eastAsia"/>
                      <w:color w:val="auto"/>
                    </w:rPr>
                    <w:t>2次/年</w:t>
                  </w:r>
                </w:p>
              </w:tc>
              <w:tc>
                <w:tcPr>
                  <w:tcW w:w="834" w:type="pct"/>
                  <w:vAlign w:val="center"/>
                </w:tcPr>
                <w:p>
                  <w:pPr>
                    <w:pStyle w:val="63"/>
                    <w:rPr>
                      <w:color w:val="auto"/>
                    </w:rPr>
                  </w:pPr>
                  <w:r>
                    <w:rPr>
                      <w:color w:val="auto"/>
                      <w:lang w:eastAsia="zh-CN"/>
                    </w:rPr>
                    <w:t>15.58</w:t>
                  </w:r>
                </w:p>
              </w:tc>
              <w:tc>
                <w:tcPr>
                  <w:tcW w:w="969" w:type="pct"/>
                  <w:vAlign w:val="center"/>
                </w:tcPr>
                <w:p>
                  <w:pPr>
                    <w:pStyle w:val="63"/>
                    <w:rPr>
                      <w:color w:val="auto"/>
                    </w:rPr>
                  </w:pPr>
                  <w:r>
                    <w:rPr>
                      <w:color w:val="auto"/>
                      <w:lang w:eastAsia="zh-CN"/>
                    </w:rPr>
                    <w:t>0.28</w:t>
                  </w:r>
                </w:p>
              </w:tc>
              <w:tc>
                <w:tcPr>
                  <w:tcW w:w="524" w:type="pct"/>
                  <w:vMerge w:val="restart"/>
                  <w:vAlign w:val="center"/>
                </w:tcPr>
                <w:p>
                  <w:pPr>
                    <w:pStyle w:val="63"/>
                    <w:rPr>
                      <w:color w:val="auto"/>
                    </w:rPr>
                  </w:pPr>
                  <w:r>
                    <w:rPr>
                      <w:color w:val="auto"/>
                    </w:rPr>
                    <w:t>8</w:t>
                  </w:r>
                  <w:r>
                    <w:rPr>
                      <w:rFonts w:hint="eastAsia"/>
                      <w:color w:val="auto"/>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pStyle w:val="63"/>
                    <w:rPr>
                      <w:color w:val="auto"/>
                    </w:rPr>
                  </w:pPr>
                  <w:r>
                    <w:rPr>
                      <w:rFonts w:hint="eastAsia"/>
                      <w:color w:val="auto"/>
                    </w:rPr>
                    <w:t>2</w:t>
                  </w:r>
                </w:p>
              </w:tc>
              <w:tc>
                <w:tcPr>
                  <w:tcW w:w="771" w:type="pct"/>
                  <w:vMerge w:val="continue"/>
                  <w:vAlign w:val="center"/>
                </w:tcPr>
                <w:p>
                  <w:pPr>
                    <w:pStyle w:val="63"/>
                    <w:rPr>
                      <w:b/>
                      <w:bCs/>
                      <w:color w:val="auto"/>
                    </w:rPr>
                  </w:pPr>
                </w:p>
              </w:tc>
              <w:tc>
                <w:tcPr>
                  <w:tcW w:w="763" w:type="pct"/>
                  <w:vAlign w:val="center"/>
                </w:tcPr>
                <w:p>
                  <w:pPr>
                    <w:pStyle w:val="63"/>
                    <w:rPr>
                      <w:color w:val="auto"/>
                    </w:rPr>
                  </w:pPr>
                  <w:r>
                    <w:rPr>
                      <w:rFonts w:hint="eastAsia"/>
                      <w:color w:val="auto"/>
                      <w:lang w:eastAsia="zh-CN"/>
                    </w:rPr>
                    <w:t>S</w:t>
                  </w:r>
                  <w:r>
                    <w:rPr>
                      <w:color w:val="auto"/>
                      <w:lang w:eastAsia="zh-CN"/>
                    </w:rPr>
                    <w:t>O</w:t>
                  </w:r>
                  <w:r>
                    <w:rPr>
                      <w:color w:val="auto"/>
                      <w:vertAlign w:val="subscript"/>
                      <w:lang w:eastAsia="zh-CN"/>
                    </w:rPr>
                    <w:t>2</w:t>
                  </w:r>
                </w:p>
              </w:tc>
              <w:tc>
                <w:tcPr>
                  <w:tcW w:w="672" w:type="pct"/>
                  <w:vMerge w:val="continue"/>
                  <w:vAlign w:val="center"/>
                </w:tcPr>
                <w:p>
                  <w:pPr>
                    <w:pStyle w:val="63"/>
                    <w:rPr>
                      <w:b/>
                      <w:bCs/>
                      <w:color w:val="auto"/>
                    </w:rPr>
                  </w:pPr>
                </w:p>
              </w:tc>
              <w:tc>
                <w:tcPr>
                  <w:tcW w:w="834" w:type="pct"/>
                  <w:vAlign w:val="center"/>
                </w:tcPr>
                <w:p>
                  <w:pPr>
                    <w:pStyle w:val="63"/>
                    <w:rPr>
                      <w:color w:val="auto"/>
                    </w:rPr>
                  </w:pPr>
                  <w:r>
                    <w:rPr>
                      <w:rFonts w:hint="eastAsia"/>
                      <w:color w:val="auto"/>
                      <w:lang w:eastAsia="zh-CN"/>
                    </w:rPr>
                    <w:t>2</w:t>
                  </w:r>
                  <w:r>
                    <w:rPr>
                      <w:color w:val="auto"/>
                      <w:lang w:eastAsia="zh-CN"/>
                    </w:rPr>
                    <w:t>1.93</w:t>
                  </w:r>
                </w:p>
              </w:tc>
              <w:tc>
                <w:tcPr>
                  <w:tcW w:w="969" w:type="pct"/>
                  <w:vAlign w:val="center"/>
                </w:tcPr>
                <w:p>
                  <w:pPr>
                    <w:pStyle w:val="63"/>
                    <w:rPr>
                      <w:color w:val="auto"/>
                    </w:rPr>
                  </w:pPr>
                  <w:r>
                    <w:rPr>
                      <w:color w:val="auto"/>
                      <w:lang w:eastAsia="zh-CN"/>
                    </w:rPr>
                    <w:t>0.39</w:t>
                  </w:r>
                </w:p>
              </w:tc>
              <w:tc>
                <w:tcPr>
                  <w:tcW w:w="524" w:type="pct"/>
                  <w:vMerge w:val="continue"/>
                  <w:vAlign w:val="center"/>
                </w:tcPr>
                <w:p>
                  <w:pPr>
                    <w:pStyle w:val="63"/>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pStyle w:val="63"/>
                    <w:rPr>
                      <w:color w:val="auto"/>
                    </w:rPr>
                  </w:pPr>
                  <w:r>
                    <w:rPr>
                      <w:rFonts w:hint="eastAsia"/>
                      <w:color w:val="auto"/>
                    </w:rPr>
                    <w:t>3</w:t>
                  </w:r>
                </w:p>
              </w:tc>
              <w:tc>
                <w:tcPr>
                  <w:tcW w:w="771" w:type="pct"/>
                  <w:vMerge w:val="continue"/>
                  <w:vAlign w:val="center"/>
                </w:tcPr>
                <w:p>
                  <w:pPr>
                    <w:pStyle w:val="63"/>
                    <w:rPr>
                      <w:b/>
                      <w:bCs/>
                      <w:color w:val="auto"/>
                    </w:rPr>
                  </w:pPr>
                </w:p>
              </w:tc>
              <w:tc>
                <w:tcPr>
                  <w:tcW w:w="763" w:type="pct"/>
                  <w:vAlign w:val="center"/>
                </w:tcPr>
                <w:p>
                  <w:pPr>
                    <w:pStyle w:val="63"/>
                    <w:rPr>
                      <w:color w:val="auto"/>
                    </w:rPr>
                  </w:pPr>
                  <w:r>
                    <w:rPr>
                      <w:rFonts w:hint="eastAsia"/>
                      <w:color w:val="auto"/>
                      <w:lang w:eastAsia="zh-CN"/>
                    </w:rPr>
                    <w:t>N</w:t>
                  </w:r>
                  <w:r>
                    <w:rPr>
                      <w:color w:val="auto"/>
                      <w:lang w:eastAsia="zh-CN"/>
                    </w:rPr>
                    <w:t>O</w:t>
                  </w:r>
                  <w:r>
                    <w:rPr>
                      <w:rFonts w:hint="eastAsia"/>
                      <w:color w:val="auto"/>
                      <w:lang w:eastAsia="zh-CN"/>
                    </w:rPr>
                    <w:t>x</w:t>
                  </w:r>
                </w:p>
              </w:tc>
              <w:tc>
                <w:tcPr>
                  <w:tcW w:w="672" w:type="pct"/>
                  <w:vMerge w:val="continue"/>
                  <w:vAlign w:val="center"/>
                </w:tcPr>
                <w:p>
                  <w:pPr>
                    <w:pStyle w:val="63"/>
                    <w:rPr>
                      <w:b/>
                      <w:bCs/>
                      <w:color w:val="auto"/>
                    </w:rPr>
                  </w:pPr>
                </w:p>
              </w:tc>
              <w:tc>
                <w:tcPr>
                  <w:tcW w:w="834" w:type="pct"/>
                  <w:vAlign w:val="center"/>
                </w:tcPr>
                <w:p>
                  <w:pPr>
                    <w:pStyle w:val="63"/>
                    <w:rPr>
                      <w:color w:val="auto"/>
                    </w:rPr>
                  </w:pPr>
                  <w:r>
                    <w:rPr>
                      <w:rFonts w:hint="eastAsia"/>
                      <w:color w:val="auto"/>
                      <w:lang w:eastAsia="zh-CN"/>
                    </w:rPr>
                    <w:t>8</w:t>
                  </w:r>
                  <w:r>
                    <w:rPr>
                      <w:color w:val="auto"/>
                      <w:lang w:eastAsia="zh-CN"/>
                    </w:rPr>
                    <w:t>1.41</w:t>
                  </w:r>
                </w:p>
              </w:tc>
              <w:tc>
                <w:tcPr>
                  <w:tcW w:w="969" w:type="pct"/>
                  <w:vAlign w:val="center"/>
                </w:tcPr>
                <w:p>
                  <w:pPr>
                    <w:pStyle w:val="63"/>
                    <w:rPr>
                      <w:color w:val="auto"/>
                    </w:rPr>
                  </w:pPr>
                  <w:r>
                    <w:rPr>
                      <w:color w:val="auto"/>
                      <w:lang w:eastAsia="zh-CN"/>
                    </w:rPr>
                    <w:t>1.45</w:t>
                  </w:r>
                </w:p>
              </w:tc>
              <w:tc>
                <w:tcPr>
                  <w:tcW w:w="524" w:type="pct"/>
                  <w:vMerge w:val="continue"/>
                  <w:vAlign w:val="center"/>
                </w:tcPr>
                <w:p>
                  <w:pPr>
                    <w:pStyle w:val="63"/>
                    <w:rPr>
                      <w:b/>
                      <w:bCs/>
                      <w:color w:val="auto"/>
                    </w:rPr>
                  </w:pPr>
                </w:p>
              </w:tc>
            </w:tr>
          </w:tbl>
          <w:p>
            <w:pPr>
              <w:pStyle w:val="70"/>
              <w:rPr>
                <w:color w:val="auto"/>
              </w:rPr>
            </w:pPr>
            <w:r>
              <w:rPr>
                <w:rFonts w:hint="eastAsia"/>
                <w:color w:val="auto"/>
              </w:rPr>
              <w:t>4.2.1.</w:t>
            </w:r>
            <w:r>
              <w:rPr>
                <w:color w:val="auto"/>
              </w:rPr>
              <w:t>6</w:t>
            </w:r>
            <w:r>
              <w:rPr>
                <w:rFonts w:hint="eastAsia"/>
                <w:color w:val="auto"/>
              </w:rPr>
              <w:t>废气稳定达标排放可行性分析</w:t>
            </w:r>
          </w:p>
          <w:p>
            <w:pPr>
              <w:ind w:firstLine="480"/>
              <w:rPr>
                <w:color w:val="auto"/>
              </w:rPr>
            </w:pPr>
            <w:r>
              <w:rPr>
                <w:rFonts w:hint="eastAsia"/>
                <w:color w:val="auto"/>
              </w:rPr>
              <w:t>根据《排污许可证申请与核发技术规范 钢铁工业》（HJ846-2017）表6，燃烧系统燃用净化后天然气，颗粒物和SO</w:t>
            </w:r>
            <w:r>
              <w:rPr>
                <w:rFonts w:hint="eastAsia"/>
                <w:color w:val="auto"/>
                <w:vertAlign w:val="subscript"/>
              </w:rPr>
              <w:t>2</w:t>
            </w:r>
            <w:r>
              <w:rPr>
                <w:rFonts w:hint="eastAsia"/>
                <w:color w:val="auto"/>
              </w:rPr>
              <w:t>废气污染物排放属于可行技术，NOx需采取低氮燃烧进行控制，由于本项目较为特殊，不易采取低氮燃烧及</w:t>
            </w:r>
            <w:r>
              <w:rPr>
                <w:color w:val="auto"/>
              </w:rPr>
              <w:t>SCR</w:t>
            </w:r>
            <w:r>
              <w:rPr>
                <w:rFonts w:hint="eastAsia"/>
                <w:color w:val="auto"/>
              </w:rPr>
              <w:t>、S</w:t>
            </w:r>
            <w:r>
              <w:rPr>
                <w:color w:val="auto"/>
              </w:rPr>
              <w:t>NCR</w:t>
            </w:r>
            <w:r>
              <w:rPr>
                <w:rFonts w:hint="eastAsia"/>
                <w:color w:val="auto"/>
              </w:rPr>
              <w:t>脱硝技术，具体原因见下。</w:t>
            </w:r>
          </w:p>
          <w:p>
            <w:pPr>
              <w:ind w:firstLine="480"/>
              <w:rPr>
                <w:color w:val="auto"/>
              </w:rPr>
            </w:pPr>
            <w:r>
              <w:rPr>
                <w:rFonts w:hint="eastAsia"/>
                <w:color w:val="auto"/>
              </w:rPr>
              <w:t>本项目热退火处理后的烟气经管道引入热风干燥和烘干工序作为热源对不锈钢带表面的水分进行烘干，若采用低氮燃烧，会降低燃烧温度，影响热处理工序和后续烘干工序的成品质量。</w:t>
            </w:r>
          </w:p>
          <w:p>
            <w:pPr>
              <w:ind w:firstLine="480"/>
              <w:rPr>
                <w:color w:val="auto"/>
              </w:rPr>
            </w:pPr>
            <w:r>
              <w:rPr>
                <w:rFonts w:hint="eastAsia"/>
                <w:color w:val="auto"/>
              </w:rPr>
              <w:t>采用</w:t>
            </w:r>
            <w:r>
              <w:rPr>
                <w:color w:val="auto"/>
              </w:rPr>
              <w:t>SCR</w:t>
            </w:r>
            <w:r>
              <w:rPr>
                <w:rFonts w:hint="eastAsia"/>
                <w:color w:val="auto"/>
              </w:rPr>
              <w:t>、S</w:t>
            </w:r>
            <w:r>
              <w:rPr>
                <w:color w:val="auto"/>
              </w:rPr>
              <w:t>NCR</w:t>
            </w:r>
            <w:r>
              <w:rPr>
                <w:rFonts w:hint="eastAsia"/>
                <w:color w:val="auto"/>
              </w:rPr>
              <w:t>脱硝技术可以将脱硝装置设置在热退火炉与烘干工序中间，以及设置在废气排放口前端。</w:t>
            </w:r>
            <w:r>
              <w:rPr>
                <w:color w:val="auto"/>
              </w:rPr>
              <w:t>SCR</w:t>
            </w:r>
            <w:r>
              <w:rPr>
                <w:rFonts w:hint="eastAsia"/>
                <w:color w:val="auto"/>
              </w:rPr>
              <w:t>最佳脱硝温度为35</w:t>
            </w:r>
            <w:r>
              <w:rPr>
                <w:color w:val="auto"/>
              </w:rPr>
              <w:t>0</w:t>
            </w:r>
            <w:r>
              <w:rPr>
                <w:rFonts w:hint="eastAsia"/>
                <w:color w:val="auto"/>
              </w:rPr>
              <w:t>℃左右，S</w:t>
            </w:r>
            <w:r>
              <w:rPr>
                <w:color w:val="auto"/>
              </w:rPr>
              <w:t>NCR</w:t>
            </w:r>
            <w:r>
              <w:rPr>
                <w:rFonts w:hint="eastAsia"/>
                <w:color w:val="auto"/>
              </w:rPr>
              <w:t>反应温度通常在850-1100℃之间，由于D</w:t>
            </w:r>
            <w:r>
              <w:rPr>
                <w:color w:val="auto"/>
              </w:rPr>
              <w:t>A003</w:t>
            </w:r>
            <w:r>
              <w:rPr>
                <w:rFonts w:hint="eastAsia"/>
                <w:color w:val="auto"/>
              </w:rPr>
              <w:t>废气排放口温度在3</w:t>
            </w:r>
            <w:r>
              <w:rPr>
                <w:color w:val="auto"/>
              </w:rPr>
              <w:t>00</w:t>
            </w:r>
            <w:r>
              <w:rPr>
                <w:rFonts w:hint="eastAsia"/>
                <w:color w:val="auto"/>
              </w:rPr>
              <w:t>℃左右，</w:t>
            </w:r>
            <w:r>
              <w:rPr>
                <w:color w:val="auto"/>
              </w:rPr>
              <w:t>SCR</w:t>
            </w:r>
            <w:r>
              <w:rPr>
                <w:rFonts w:hint="eastAsia"/>
                <w:color w:val="auto"/>
              </w:rPr>
              <w:t>、S</w:t>
            </w:r>
            <w:r>
              <w:rPr>
                <w:color w:val="auto"/>
              </w:rPr>
              <w:t>NCR</w:t>
            </w:r>
            <w:r>
              <w:rPr>
                <w:rFonts w:hint="eastAsia"/>
                <w:color w:val="auto"/>
              </w:rPr>
              <w:t>脱硝装置设置在废气排放口前端低温脱硝效果不理想，</w:t>
            </w:r>
            <w:r>
              <w:rPr>
                <w:color w:val="auto"/>
              </w:rPr>
              <w:t>SCR</w:t>
            </w:r>
            <w:r>
              <w:rPr>
                <w:rFonts w:hint="eastAsia"/>
                <w:color w:val="auto"/>
              </w:rPr>
              <w:t>、S</w:t>
            </w:r>
            <w:r>
              <w:rPr>
                <w:color w:val="auto"/>
              </w:rPr>
              <w:t>NCR</w:t>
            </w:r>
            <w:r>
              <w:rPr>
                <w:rFonts w:hint="eastAsia"/>
                <w:color w:val="auto"/>
              </w:rPr>
              <w:t>脱硝装置设置在热处理炉和烘干工序中间，使用尿素/氨水脱硝会产生腐蚀性气体，对不锈钢带表面造成腐蚀，影响产品质量。</w:t>
            </w:r>
          </w:p>
          <w:p>
            <w:pPr>
              <w:ind w:firstLine="480"/>
              <w:rPr>
                <w:color w:val="auto"/>
              </w:rPr>
            </w:pPr>
            <w:r>
              <w:rPr>
                <w:rFonts w:hint="eastAsia"/>
                <w:color w:val="auto"/>
              </w:rPr>
              <w:t>由于本项目使用洁净天然气代替焦炉煤气，根据天然气成分报告，本项目使用的天然气总硫检测值＜0.1mg/m</w:t>
            </w:r>
            <w:r>
              <w:rPr>
                <w:rFonts w:hint="eastAsia"/>
                <w:color w:val="auto"/>
                <w:vertAlign w:val="superscript"/>
              </w:rPr>
              <w:t>3</w:t>
            </w:r>
            <w:r>
              <w:rPr>
                <w:rFonts w:hint="eastAsia"/>
                <w:color w:val="auto"/>
              </w:rPr>
              <w:t>，为清洁能源。一方面燃气用量由原来的2</w:t>
            </w:r>
            <w:r>
              <w:rPr>
                <w:color w:val="auto"/>
              </w:rPr>
              <w:t>881</w:t>
            </w:r>
            <w:r>
              <w:rPr>
                <w:rFonts w:hint="eastAsia"/>
                <w:color w:val="auto"/>
              </w:rPr>
              <w:t>万m</w:t>
            </w:r>
            <w:r>
              <w:rPr>
                <w:rFonts w:hint="eastAsia"/>
                <w:color w:val="auto"/>
                <w:vertAlign w:val="superscript"/>
              </w:rPr>
              <w:t>3</w:t>
            </w:r>
            <w:r>
              <w:rPr>
                <w:rFonts w:hint="eastAsia"/>
                <w:color w:val="auto"/>
              </w:rPr>
              <w:t>/a降低至10</w:t>
            </w:r>
            <w:r>
              <w:rPr>
                <w:color w:val="auto"/>
              </w:rPr>
              <w:t>80</w:t>
            </w:r>
            <w:r>
              <w:rPr>
                <w:rFonts w:hint="eastAsia"/>
                <w:color w:val="auto"/>
              </w:rPr>
              <w:t>万m</w:t>
            </w:r>
            <w:r>
              <w:rPr>
                <w:rFonts w:hint="eastAsia"/>
                <w:color w:val="auto"/>
                <w:vertAlign w:val="superscript"/>
              </w:rPr>
              <w:t>3</w:t>
            </w:r>
            <w:r>
              <w:rPr>
                <w:rFonts w:hint="eastAsia"/>
                <w:color w:val="auto"/>
              </w:rPr>
              <w:t>/a，燃气用量大幅度减少。另一方面使用洁净天然气后颗粒物、二氧化硫排放总量均低于焦炉煤气排放总量，本次技改项目达到了节能减排的目的。</w:t>
            </w:r>
          </w:p>
          <w:p>
            <w:pPr>
              <w:ind w:firstLine="480"/>
              <w:rPr>
                <w:color w:val="auto"/>
              </w:rPr>
            </w:pPr>
            <w:r>
              <w:rPr>
                <w:rFonts w:hint="eastAsia"/>
                <w:color w:val="auto"/>
              </w:rPr>
              <w:t>氨氧化物相比技改前增加了</w:t>
            </w:r>
            <w:r>
              <w:rPr>
                <w:color w:val="auto"/>
              </w:rPr>
              <w:t>1.908</w:t>
            </w:r>
            <w:r>
              <w:rPr>
                <w:rFonts w:hint="eastAsia"/>
                <w:color w:val="auto"/>
              </w:rPr>
              <w:t>t/a，但新增总量从</w:t>
            </w:r>
            <w:r>
              <w:rPr>
                <w:rFonts w:hint="eastAsia"/>
                <w:bCs/>
                <w:color w:val="auto"/>
              </w:rPr>
              <w:t>年产1</w:t>
            </w:r>
            <w:r>
              <w:rPr>
                <w:bCs/>
                <w:color w:val="auto"/>
              </w:rPr>
              <w:t>40</w:t>
            </w:r>
            <w:r>
              <w:rPr>
                <w:rFonts w:hint="eastAsia"/>
                <w:bCs/>
                <w:color w:val="auto"/>
              </w:rPr>
              <w:t>万吨热轧生产线建设项目</w:t>
            </w:r>
            <w:r>
              <w:rPr>
                <w:color w:val="auto"/>
              </w:rPr>
              <w:t>DA001</w:t>
            </w:r>
            <w:r>
              <w:rPr>
                <w:rFonts w:hint="eastAsia"/>
                <w:color w:val="auto"/>
              </w:rPr>
              <w:t>废气排放口剩余总量进行调配，本项目建成后全厂总量未突破现有排污许可证核发总量。</w:t>
            </w:r>
          </w:p>
          <w:p>
            <w:pPr>
              <w:pStyle w:val="66"/>
              <w:rPr>
                <w:color w:val="auto"/>
              </w:rPr>
            </w:pPr>
            <w:r>
              <w:rPr>
                <w:rFonts w:hint="eastAsia"/>
                <w:color w:val="auto"/>
              </w:rPr>
              <w:t>表4</w:t>
            </w:r>
            <w:r>
              <w:rPr>
                <w:color w:val="auto"/>
              </w:rPr>
              <w:t xml:space="preserve">.2.1.6-1 </w:t>
            </w:r>
            <w:r>
              <w:rPr>
                <w:rFonts w:hint="eastAsia"/>
                <w:color w:val="auto"/>
              </w:rPr>
              <w:t>技改前后D</w:t>
            </w:r>
            <w:r>
              <w:rPr>
                <w:color w:val="auto"/>
              </w:rPr>
              <w:t>A003</w:t>
            </w:r>
            <w:r>
              <w:rPr>
                <w:rFonts w:hint="eastAsia"/>
                <w:color w:val="auto"/>
              </w:rPr>
              <w:t xml:space="preserve">废气排放量对照一览表 </w:t>
            </w:r>
            <w:r>
              <w:rPr>
                <w:color w:val="auto"/>
              </w:rPr>
              <w:t xml:space="preserve">   </w:t>
            </w:r>
            <w:r>
              <w:rPr>
                <w:rFonts w:hint="eastAsia"/>
                <w:color w:val="auto"/>
              </w:rPr>
              <w:t>单位：t/a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220"/>
              <w:gridCol w:w="1148"/>
              <w:gridCol w:w="1288"/>
              <w:gridCol w:w="914"/>
              <w:gridCol w:w="1087"/>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38" w:type="pct"/>
                  <w:vMerge w:val="restart"/>
                  <w:shd w:val="clear" w:color="auto" w:fill="auto"/>
                  <w:vAlign w:val="center"/>
                </w:tcPr>
                <w:p>
                  <w:pPr>
                    <w:pStyle w:val="63"/>
                    <w:rPr>
                      <w:color w:val="auto"/>
                    </w:rPr>
                  </w:pPr>
                  <w:r>
                    <w:rPr>
                      <w:color w:val="auto"/>
                    </w:rPr>
                    <w:t>排放口编号</w:t>
                  </w:r>
                </w:p>
              </w:tc>
              <w:tc>
                <w:tcPr>
                  <w:tcW w:w="1498" w:type="pct"/>
                  <w:gridSpan w:val="2"/>
                  <w:shd w:val="clear" w:color="auto" w:fill="auto"/>
                  <w:vAlign w:val="center"/>
                </w:tcPr>
                <w:p>
                  <w:pPr>
                    <w:pStyle w:val="63"/>
                    <w:rPr>
                      <w:color w:val="auto"/>
                    </w:rPr>
                  </w:pPr>
                  <w:r>
                    <w:rPr>
                      <w:rFonts w:hint="eastAsia"/>
                      <w:color w:val="auto"/>
                      <w:lang w:eastAsia="zh-CN"/>
                    </w:rPr>
                    <w:t>颗粒物</w:t>
                  </w:r>
                </w:p>
              </w:tc>
              <w:tc>
                <w:tcPr>
                  <w:tcW w:w="1393" w:type="pct"/>
                  <w:gridSpan w:val="2"/>
                  <w:shd w:val="clear" w:color="auto" w:fill="auto"/>
                  <w:vAlign w:val="center"/>
                </w:tcPr>
                <w:p>
                  <w:pPr>
                    <w:pStyle w:val="63"/>
                    <w:rPr>
                      <w:color w:val="auto"/>
                    </w:rPr>
                  </w:pPr>
                  <w:r>
                    <w:rPr>
                      <w:color w:val="auto"/>
                    </w:rPr>
                    <w:t>SO</w:t>
                  </w:r>
                  <w:r>
                    <w:rPr>
                      <w:color w:val="auto"/>
                      <w:vertAlign w:val="subscript"/>
                    </w:rPr>
                    <w:t>2</w:t>
                  </w:r>
                </w:p>
              </w:tc>
              <w:tc>
                <w:tcPr>
                  <w:tcW w:w="1372" w:type="pct"/>
                  <w:gridSpan w:val="2"/>
                  <w:shd w:val="clear" w:color="auto" w:fill="auto"/>
                  <w:vAlign w:val="center"/>
                </w:tcPr>
                <w:p>
                  <w:pPr>
                    <w:pStyle w:val="63"/>
                    <w:rPr>
                      <w:color w:val="auto"/>
                    </w:rPr>
                  </w:pPr>
                  <w:r>
                    <w:rPr>
                      <w:color w:val="auto"/>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38" w:type="pct"/>
                  <w:vMerge w:val="continue"/>
                  <w:shd w:val="clear" w:color="auto" w:fill="auto"/>
                  <w:vAlign w:val="center"/>
                </w:tcPr>
                <w:p>
                  <w:pPr>
                    <w:pStyle w:val="63"/>
                    <w:rPr>
                      <w:color w:val="auto"/>
                    </w:rPr>
                  </w:pPr>
                </w:p>
              </w:tc>
              <w:tc>
                <w:tcPr>
                  <w:tcW w:w="772" w:type="pct"/>
                  <w:shd w:val="clear" w:color="auto" w:fill="auto"/>
                  <w:vAlign w:val="center"/>
                </w:tcPr>
                <w:p>
                  <w:pPr>
                    <w:pStyle w:val="63"/>
                    <w:rPr>
                      <w:color w:val="auto"/>
                    </w:rPr>
                  </w:pPr>
                  <w:r>
                    <w:rPr>
                      <w:rFonts w:hint="eastAsia"/>
                      <w:color w:val="auto"/>
                      <w:lang w:eastAsia="zh-CN"/>
                    </w:rPr>
                    <w:t>技改</w:t>
                  </w:r>
                  <w:r>
                    <w:rPr>
                      <w:rFonts w:hint="eastAsia"/>
                      <w:color w:val="auto"/>
                    </w:rPr>
                    <w:t>前</w:t>
                  </w:r>
                </w:p>
              </w:tc>
              <w:tc>
                <w:tcPr>
                  <w:tcW w:w="725" w:type="pct"/>
                  <w:shd w:val="clear" w:color="auto" w:fill="auto"/>
                  <w:vAlign w:val="center"/>
                </w:tcPr>
                <w:p>
                  <w:pPr>
                    <w:pStyle w:val="63"/>
                    <w:rPr>
                      <w:color w:val="auto"/>
                    </w:rPr>
                  </w:pPr>
                  <w:r>
                    <w:rPr>
                      <w:rFonts w:hint="eastAsia"/>
                      <w:color w:val="auto"/>
                      <w:lang w:eastAsia="zh-CN"/>
                    </w:rPr>
                    <w:t>技改</w:t>
                  </w:r>
                  <w:r>
                    <w:rPr>
                      <w:rFonts w:hint="eastAsia"/>
                      <w:color w:val="auto"/>
                    </w:rPr>
                    <w:t>后</w:t>
                  </w:r>
                </w:p>
              </w:tc>
              <w:tc>
                <w:tcPr>
                  <w:tcW w:w="815" w:type="pct"/>
                  <w:shd w:val="clear" w:color="auto" w:fill="auto"/>
                  <w:vAlign w:val="center"/>
                </w:tcPr>
                <w:p>
                  <w:pPr>
                    <w:pStyle w:val="63"/>
                    <w:rPr>
                      <w:color w:val="auto"/>
                    </w:rPr>
                  </w:pPr>
                  <w:r>
                    <w:rPr>
                      <w:rFonts w:hint="eastAsia"/>
                      <w:color w:val="auto"/>
                      <w:lang w:eastAsia="zh-CN"/>
                    </w:rPr>
                    <w:t>技改</w:t>
                  </w:r>
                  <w:r>
                    <w:rPr>
                      <w:rFonts w:hint="eastAsia"/>
                      <w:color w:val="auto"/>
                    </w:rPr>
                    <w:t>前</w:t>
                  </w:r>
                </w:p>
              </w:tc>
              <w:tc>
                <w:tcPr>
                  <w:tcW w:w="578" w:type="pct"/>
                  <w:shd w:val="clear" w:color="auto" w:fill="auto"/>
                  <w:vAlign w:val="center"/>
                </w:tcPr>
                <w:p>
                  <w:pPr>
                    <w:pStyle w:val="63"/>
                    <w:rPr>
                      <w:color w:val="auto"/>
                    </w:rPr>
                  </w:pPr>
                  <w:r>
                    <w:rPr>
                      <w:rFonts w:hint="eastAsia"/>
                      <w:color w:val="auto"/>
                      <w:lang w:eastAsia="zh-CN"/>
                    </w:rPr>
                    <w:t>技改</w:t>
                  </w:r>
                  <w:r>
                    <w:rPr>
                      <w:rFonts w:hint="eastAsia"/>
                      <w:color w:val="auto"/>
                    </w:rPr>
                    <w:t>后</w:t>
                  </w:r>
                </w:p>
              </w:tc>
              <w:tc>
                <w:tcPr>
                  <w:tcW w:w="688" w:type="pct"/>
                  <w:shd w:val="clear" w:color="auto" w:fill="auto"/>
                  <w:vAlign w:val="center"/>
                </w:tcPr>
                <w:p>
                  <w:pPr>
                    <w:pStyle w:val="63"/>
                    <w:rPr>
                      <w:color w:val="auto"/>
                    </w:rPr>
                  </w:pPr>
                  <w:r>
                    <w:rPr>
                      <w:rFonts w:hint="eastAsia"/>
                      <w:color w:val="auto"/>
                      <w:lang w:eastAsia="zh-CN"/>
                    </w:rPr>
                    <w:t>技改</w:t>
                  </w:r>
                  <w:r>
                    <w:rPr>
                      <w:rFonts w:hint="eastAsia"/>
                      <w:color w:val="auto"/>
                    </w:rPr>
                    <w:t>前</w:t>
                  </w:r>
                </w:p>
              </w:tc>
              <w:tc>
                <w:tcPr>
                  <w:tcW w:w="684" w:type="pct"/>
                  <w:shd w:val="clear" w:color="auto" w:fill="auto"/>
                  <w:vAlign w:val="center"/>
                </w:tcPr>
                <w:p>
                  <w:pPr>
                    <w:pStyle w:val="63"/>
                    <w:rPr>
                      <w:color w:val="auto"/>
                    </w:rPr>
                  </w:pPr>
                  <w:r>
                    <w:rPr>
                      <w:rFonts w:hint="eastAsia"/>
                      <w:color w:val="auto"/>
                      <w:lang w:eastAsia="zh-CN"/>
                    </w:rPr>
                    <w:t>技改</w:t>
                  </w:r>
                  <w:r>
                    <w:rPr>
                      <w:rFonts w:hint="eastAsia"/>
                      <w:color w:val="auto"/>
                    </w:rPr>
                    <w:t>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38" w:type="pct"/>
                  <w:shd w:val="clear" w:color="auto" w:fill="auto"/>
                  <w:vAlign w:val="center"/>
                </w:tcPr>
                <w:p>
                  <w:pPr>
                    <w:pStyle w:val="63"/>
                    <w:rPr>
                      <w:color w:val="auto"/>
                    </w:rPr>
                  </w:pPr>
                  <w:r>
                    <w:rPr>
                      <w:color w:val="auto"/>
                    </w:rPr>
                    <w:t>DA003</w:t>
                  </w:r>
                </w:p>
              </w:tc>
              <w:tc>
                <w:tcPr>
                  <w:tcW w:w="772" w:type="pct"/>
                  <w:shd w:val="clear" w:color="auto" w:fill="auto"/>
                  <w:vAlign w:val="center"/>
                </w:tcPr>
                <w:p>
                  <w:pPr>
                    <w:pStyle w:val="63"/>
                    <w:rPr>
                      <w:color w:val="auto"/>
                      <w:lang w:eastAsia="zh-CN"/>
                    </w:rPr>
                  </w:pPr>
                  <w:r>
                    <w:rPr>
                      <w:rFonts w:hint="eastAsia"/>
                      <w:color w:val="auto"/>
                      <w:lang w:eastAsia="zh-CN"/>
                    </w:rPr>
                    <w:t>1</w:t>
                  </w:r>
                  <w:r>
                    <w:rPr>
                      <w:color w:val="auto"/>
                      <w:lang w:eastAsia="zh-CN"/>
                    </w:rPr>
                    <w:t>.8</w:t>
                  </w:r>
                </w:p>
              </w:tc>
              <w:tc>
                <w:tcPr>
                  <w:tcW w:w="725" w:type="pct"/>
                  <w:shd w:val="clear" w:color="auto" w:fill="auto"/>
                  <w:vAlign w:val="center"/>
                </w:tcPr>
                <w:p>
                  <w:pPr>
                    <w:pStyle w:val="63"/>
                    <w:rPr>
                      <w:color w:val="auto"/>
                      <w:lang w:eastAsia="zh-CN"/>
                    </w:rPr>
                  </w:pPr>
                  <w:r>
                    <w:rPr>
                      <w:rFonts w:hint="eastAsia"/>
                      <w:color w:val="auto"/>
                      <w:lang w:eastAsia="zh-CN"/>
                    </w:rPr>
                    <w:t>1</w:t>
                  </w:r>
                  <w:r>
                    <w:rPr>
                      <w:color w:val="auto"/>
                      <w:lang w:eastAsia="zh-CN"/>
                    </w:rPr>
                    <w:t>.88</w:t>
                  </w:r>
                </w:p>
              </w:tc>
              <w:tc>
                <w:tcPr>
                  <w:tcW w:w="815" w:type="pct"/>
                  <w:shd w:val="clear" w:color="auto" w:fill="auto"/>
                  <w:vAlign w:val="center"/>
                </w:tcPr>
                <w:p>
                  <w:pPr>
                    <w:pStyle w:val="63"/>
                    <w:rPr>
                      <w:color w:val="auto"/>
                    </w:rPr>
                  </w:pPr>
                  <w:r>
                    <w:rPr>
                      <w:color w:val="auto"/>
                    </w:rPr>
                    <w:t>5.85</w:t>
                  </w:r>
                </w:p>
              </w:tc>
              <w:tc>
                <w:tcPr>
                  <w:tcW w:w="578" w:type="pct"/>
                  <w:shd w:val="clear" w:color="auto" w:fill="auto"/>
                  <w:vAlign w:val="center"/>
                </w:tcPr>
                <w:p>
                  <w:pPr>
                    <w:pStyle w:val="63"/>
                    <w:rPr>
                      <w:color w:val="auto"/>
                    </w:rPr>
                  </w:pPr>
                  <w:r>
                    <w:rPr>
                      <w:color w:val="auto"/>
                      <w:lang w:val="en-US"/>
                    </w:rPr>
                    <w:t>2.534</w:t>
                  </w:r>
                </w:p>
              </w:tc>
              <w:tc>
                <w:tcPr>
                  <w:tcW w:w="688" w:type="pct"/>
                  <w:shd w:val="clear" w:color="auto" w:fill="auto"/>
                  <w:vAlign w:val="center"/>
                </w:tcPr>
                <w:p>
                  <w:pPr>
                    <w:pStyle w:val="63"/>
                    <w:rPr>
                      <w:color w:val="auto"/>
                    </w:rPr>
                  </w:pPr>
                  <w:r>
                    <w:rPr>
                      <w:color w:val="auto"/>
                    </w:rPr>
                    <w:t>7.5</w:t>
                  </w:r>
                </w:p>
              </w:tc>
              <w:tc>
                <w:tcPr>
                  <w:tcW w:w="684" w:type="pct"/>
                  <w:shd w:val="clear" w:color="auto" w:fill="auto"/>
                  <w:vAlign w:val="center"/>
                </w:tcPr>
                <w:p>
                  <w:pPr>
                    <w:pStyle w:val="63"/>
                    <w:rPr>
                      <w:color w:val="auto"/>
                    </w:rPr>
                  </w:pPr>
                  <w:r>
                    <w:rPr>
                      <w:color w:val="auto"/>
                      <w:lang w:val="en-US"/>
                    </w:rPr>
                    <w:t>9.408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38" w:type="pct"/>
                  <w:shd w:val="clear" w:color="auto" w:fill="auto"/>
                  <w:vAlign w:val="center"/>
                </w:tcPr>
                <w:p>
                  <w:pPr>
                    <w:pStyle w:val="63"/>
                    <w:rPr>
                      <w:color w:val="auto"/>
                    </w:rPr>
                  </w:pPr>
                  <w:r>
                    <w:rPr>
                      <w:rFonts w:hint="eastAsia"/>
                      <w:color w:val="auto"/>
                      <w:lang w:eastAsia="zh-CN"/>
                    </w:rPr>
                    <w:t>变化量</w:t>
                  </w:r>
                </w:p>
              </w:tc>
              <w:tc>
                <w:tcPr>
                  <w:tcW w:w="1" w:type="pct"/>
                  <w:gridSpan w:val="2"/>
                  <w:shd w:val="clear" w:color="auto" w:fill="auto"/>
                  <w:vAlign w:val="center"/>
                </w:tcPr>
                <w:p>
                  <w:pPr>
                    <w:pStyle w:val="63"/>
                    <w:rPr>
                      <w:color w:val="auto"/>
                      <w:lang w:eastAsia="zh-CN"/>
                    </w:rPr>
                  </w:pPr>
                  <w:r>
                    <w:rPr>
                      <w:color w:val="auto"/>
                      <w:lang w:eastAsia="zh-CN"/>
                    </w:rPr>
                    <w:t>-</w:t>
                  </w:r>
                  <w:r>
                    <w:rPr>
                      <w:rFonts w:hint="eastAsia"/>
                      <w:color w:val="auto"/>
                      <w:lang w:eastAsia="zh-CN"/>
                    </w:rPr>
                    <w:t>0</w:t>
                  </w:r>
                  <w:r>
                    <w:rPr>
                      <w:color w:val="auto"/>
                      <w:lang w:eastAsia="zh-CN"/>
                    </w:rPr>
                    <w:t>.08</w:t>
                  </w:r>
                </w:p>
              </w:tc>
              <w:tc>
                <w:tcPr>
                  <w:tcW w:w="1393" w:type="pct"/>
                  <w:gridSpan w:val="2"/>
                  <w:shd w:val="clear" w:color="auto" w:fill="auto"/>
                  <w:vAlign w:val="center"/>
                </w:tcPr>
                <w:p>
                  <w:pPr>
                    <w:pStyle w:val="63"/>
                    <w:rPr>
                      <w:color w:val="auto"/>
                      <w:lang w:eastAsia="zh-CN"/>
                    </w:rPr>
                  </w:pPr>
                  <w:r>
                    <w:rPr>
                      <w:rFonts w:hint="eastAsia"/>
                      <w:color w:val="auto"/>
                      <w:lang w:eastAsia="zh-CN"/>
                    </w:rPr>
                    <w:t>-</w:t>
                  </w:r>
                  <w:r>
                    <w:rPr>
                      <w:color w:val="auto"/>
                      <w:lang w:eastAsia="zh-CN"/>
                    </w:rPr>
                    <w:t>3.316</w:t>
                  </w:r>
                </w:p>
              </w:tc>
              <w:tc>
                <w:tcPr>
                  <w:tcW w:w="1372" w:type="pct"/>
                  <w:gridSpan w:val="2"/>
                  <w:shd w:val="clear" w:color="auto" w:fill="auto"/>
                  <w:vAlign w:val="center"/>
                </w:tcPr>
                <w:p>
                  <w:pPr>
                    <w:pStyle w:val="63"/>
                    <w:rPr>
                      <w:color w:val="auto"/>
                      <w:lang w:eastAsia="zh-CN"/>
                    </w:rPr>
                  </w:pPr>
                  <w:r>
                    <w:rPr>
                      <w:color w:val="auto"/>
                      <w:lang w:eastAsia="zh-CN"/>
                    </w:rPr>
                    <w:t>+1.908</w:t>
                  </w:r>
                </w:p>
              </w:tc>
            </w:tr>
          </w:tbl>
          <w:p>
            <w:pPr>
              <w:ind w:firstLine="480"/>
              <w:rPr>
                <w:color w:val="auto"/>
              </w:rPr>
            </w:pPr>
            <w:r>
              <w:rPr>
                <w:rFonts w:hint="eastAsia"/>
                <w:color w:val="auto"/>
              </w:rPr>
              <w:t>根据本次环评收集到的类比现有项目2</w:t>
            </w:r>
            <w:r>
              <w:rPr>
                <w:color w:val="auto"/>
              </w:rPr>
              <w:t>023</w:t>
            </w:r>
            <w:r>
              <w:rPr>
                <w:rFonts w:hint="eastAsia"/>
                <w:color w:val="auto"/>
              </w:rPr>
              <w:t>各季度自行监测报告，天然气燃烧废气中颗粒物、二氧化硫、氮氧化物排放浓度均小于</w:t>
            </w:r>
            <w:r>
              <w:rPr>
                <w:color w:val="auto"/>
              </w:rPr>
              <w:t>《轧钢工业大气污染物排放标准》（GB28665-2012）</w:t>
            </w:r>
            <w:r>
              <w:rPr>
                <w:rFonts w:hint="eastAsia"/>
                <w:color w:val="auto"/>
              </w:rPr>
              <w:t>及其修改单</w:t>
            </w:r>
            <w:r>
              <w:rPr>
                <w:color w:val="auto"/>
              </w:rPr>
              <w:t>表2中热处理炉排放</w:t>
            </w:r>
            <w:r>
              <w:rPr>
                <w:rFonts w:hint="eastAsia"/>
                <w:color w:val="auto"/>
              </w:rPr>
              <w:t>限值。本项目运营后，各污染物排放速率均低于</w:t>
            </w:r>
            <w:r>
              <w:rPr>
                <w:color w:val="auto"/>
              </w:rPr>
              <w:t>《轧钢工业大气污染物排放标准》（GB28665-2012）</w:t>
            </w:r>
            <w:r>
              <w:rPr>
                <w:rFonts w:hint="eastAsia"/>
                <w:color w:val="auto"/>
              </w:rPr>
              <w:t>及其修改单</w:t>
            </w:r>
            <w:r>
              <w:rPr>
                <w:color w:val="auto"/>
              </w:rPr>
              <w:t>表2中热处理炉排放</w:t>
            </w:r>
            <w:r>
              <w:rPr>
                <w:rFonts w:hint="eastAsia"/>
                <w:color w:val="auto"/>
              </w:rPr>
              <w:t>限值。</w:t>
            </w:r>
          </w:p>
          <w:p>
            <w:pPr>
              <w:pStyle w:val="66"/>
              <w:rPr>
                <w:color w:val="auto"/>
              </w:rPr>
            </w:pPr>
            <w:r>
              <w:rPr>
                <w:rFonts w:hint="eastAsia"/>
                <w:color w:val="auto"/>
              </w:rPr>
              <w:t>表4</w:t>
            </w:r>
            <w:r>
              <w:rPr>
                <w:color w:val="auto"/>
              </w:rPr>
              <w:t xml:space="preserve">.2.1.6-2 </w:t>
            </w:r>
            <w:r>
              <w:rPr>
                <w:rFonts w:hint="eastAsia"/>
                <w:color w:val="auto"/>
              </w:rPr>
              <w:t>本项目废气污染物排放浓度与标准限值对照一览表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974"/>
              <w:gridCol w:w="1975"/>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tcPr>
                <w:p>
                  <w:pPr>
                    <w:pStyle w:val="63"/>
                    <w:rPr>
                      <w:color w:val="auto"/>
                    </w:rPr>
                  </w:pPr>
                  <w:r>
                    <w:rPr>
                      <w:rFonts w:hint="eastAsia"/>
                      <w:color w:val="auto"/>
                      <w:lang w:eastAsia="zh-CN"/>
                    </w:rPr>
                    <w:t>类别</w:t>
                  </w:r>
                </w:p>
              </w:tc>
              <w:tc>
                <w:tcPr>
                  <w:tcW w:w="1974" w:type="dxa"/>
                </w:tcPr>
                <w:p>
                  <w:pPr>
                    <w:pStyle w:val="63"/>
                    <w:rPr>
                      <w:color w:val="auto"/>
                    </w:rPr>
                  </w:pPr>
                  <w:r>
                    <w:rPr>
                      <w:color w:val="auto"/>
                    </w:rPr>
                    <w:t>颗粒物</w:t>
                  </w:r>
                </w:p>
              </w:tc>
              <w:tc>
                <w:tcPr>
                  <w:tcW w:w="1975" w:type="dxa"/>
                </w:tcPr>
                <w:p>
                  <w:pPr>
                    <w:pStyle w:val="63"/>
                    <w:rPr>
                      <w:color w:val="auto"/>
                    </w:rPr>
                  </w:pPr>
                  <w:r>
                    <w:rPr>
                      <w:color w:val="auto"/>
                    </w:rPr>
                    <w:t>SO</w:t>
                  </w:r>
                  <w:r>
                    <w:rPr>
                      <w:color w:val="auto"/>
                      <w:vertAlign w:val="subscript"/>
                    </w:rPr>
                    <w:t>2</w:t>
                  </w:r>
                </w:p>
              </w:tc>
              <w:tc>
                <w:tcPr>
                  <w:tcW w:w="1975" w:type="dxa"/>
                </w:tcPr>
                <w:p>
                  <w:pPr>
                    <w:pStyle w:val="63"/>
                    <w:rPr>
                      <w:color w:val="auto"/>
                    </w:rPr>
                  </w:pPr>
                  <w:r>
                    <w:rPr>
                      <w:color w:val="auto"/>
                    </w:rPr>
                    <w:t>NO</w:t>
                  </w:r>
                  <w:r>
                    <w:rPr>
                      <w:color w:val="auto"/>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tcPr>
                <w:p>
                  <w:pPr>
                    <w:pStyle w:val="63"/>
                    <w:rPr>
                      <w:color w:val="auto"/>
                    </w:rPr>
                  </w:pPr>
                  <w:r>
                    <w:rPr>
                      <w:rFonts w:hint="eastAsia"/>
                      <w:color w:val="auto"/>
                      <w:lang w:eastAsia="zh-CN"/>
                    </w:rPr>
                    <w:t>标准限值</w:t>
                  </w:r>
                </w:p>
              </w:tc>
              <w:tc>
                <w:tcPr>
                  <w:tcW w:w="1974" w:type="dxa"/>
                </w:tcPr>
                <w:p>
                  <w:pPr>
                    <w:pStyle w:val="63"/>
                    <w:rPr>
                      <w:color w:val="auto"/>
                    </w:rPr>
                  </w:pPr>
                  <w:r>
                    <w:rPr>
                      <w:rFonts w:hint="eastAsia"/>
                      <w:color w:val="auto"/>
                      <w:lang w:eastAsia="zh-CN"/>
                    </w:rPr>
                    <w:t>≤</w:t>
                  </w:r>
                  <w:r>
                    <w:rPr>
                      <w:rFonts w:hint="eastAsia"/>
                      <w:color w:val="auto"/>
                    </w:rPr>
                    <w:t>2</w:t>
                  </w:r>
                  <w:r>
                    <w:rPr>
                      <w:color w:val="auto"/>
                    </w:rPr>
                    <w:t>0mg/m</w:t>
                  </w:r>
                  <w:r>
                    <w:rPr>
                      <w:color w:val="auto"/>
                      <w:vertAlign w:val="superscript"/>
                    </w:rPr>
                    <w:t>3</w:t>
                  </w:r>
                </w:p>
              </w:tc>
              <w:tc>
                <w:tcPr>
                  <w:tcW w:w="1975" w:type="dxa"/>
                </w:tcPr>
                <w:p>
                  <w:pPr>
                    <w:pStyle w:val="63"/>
                    <w:rPr>
                      <w:color w:val="auto"/>
                    </w:rPr>
                  </w:pPr>
                  <w:r>
                    <w:rPr>
                      <w:rFonts w:hint="eastAsia"/>
                      <w:color w:val="auto"/>
                      <w:lang w:eastAsia="zh-CN"/>
                    </w:rPr>
                    <w:t>≤</w:t>
                  </w:r>
                  <w:r>
                    <w:rPr>
                      <w:color w:val="auto"/>
                    </w:rPr>
                    <w:t>100mg/m</w:t>
                  </w:r>
                  <w:r>
                    <w:rPr>
                      <w:color w:val="auto"/>
                      <w:vertAlign w:val="superscript"/>
                    </w:rPr>
                    <w:t>3</w:t>
                  </w:r>
                </w:p>
              </w:tc>
              <w:tc>
                <w:tcPr>
                  <w:tcW w:w="1975" w:type="dxa"/>
                </w:tcPr>
                <w:p>
                  <w:pPr>
                    <w:pStyle w:val="63"/>
                    <w:rPr>
                      <w:color w:val="auto"/>
                    </w:rPr>
                  </w:pPr>
                  <w:r>
                    <w:rPr>
                      <w:rFonts w:hint="eastAsia"/>
                      <w:color w:val="auto"/>
                      <w:lang w:eastAsia="zh-CN"/>
                    </w:rPr>
                    <w:t>≤</w:t>
                  </w:r>
                  <w:r>
                    <w:rPr>
                      <w:color w:val="auto"/>
                    </w:rPr>
                    <w:t>200mg/m</w:t>
                  </w:r>
                  <w:r>
                    <w:rPr>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tcPr>
                <w:p>
                  <w:pPr>
                    <w:pStyle w:val="63"/>
                    <w:rPr>
                      <w:color w:val="auto"/>
                    </w:rPr>
                  </w:pPr>
                  <w:r>
                    <w:rPr>
                      <w:rFonts w:hint="eastAsia"/>
                      <w:color w:val="auto"/>
                      <w:lang w:eastAsia="zh-CN"/>
                    </w:rPr>
                    <w:t>排放浓度</w:t>
                  </w:r>
                </w:p>
              </w:tc>
              <w:tc>
                <w:tcPr>
                  <w:tcW w:w="1974" w:type="dxa"/>
                </w:tcPr>
                <w:p>
                  <w:pPr>
                    <w:pStyle w:val="63"/>
                    <w:rPr>
                      <w:color w:val="auto"/>
                      <w:lang w:eastAsia="zh-CN"/>
                    </w:rPr>
                  </w:pPr>
                  <w:r>
                    <w:rPr>
                      <w:color w:val="auto"/>
                      <w:lang w:eastAsia="zh-CN"/>
                    </w:rPr>
                    <w:t>15.58</w:t>
                  </w:r>
                  <w:r>
                    <w:rPr>
                      <w:color w:val="auto"/>
                    </w:rPr>
                    <w:t>mg/m</w:t>
                  </w:r>
                  <w:r>
                    <w:rPr>
                      <w:color w:val="auto"/>
                      <w:vertAlign w:val="superscript"/>
                    </w:rPr>
                    <w:t>3</w:t>
                  </w:r>
                </w:p>
              </w:tc>
              <w:tc>
                <w:tcPr>
                  <w:tcW w:w="1975" w:type="dxa"/>
                </w:tcPr>
                <w:p>
                  <w:pPr>
                    <w:pStyle w:val="63"/>
                    <w:rPr>
                      <w:color w:val="auto"/>
                      <w:lang w:eastAsia="zh-CN"/>
                    </w:rPr>
                  </w:pPr>
                  <w:r>
                    <w:rPr>
                      <w:color w:val="auto"/>
                      <w:lang w:eastAsia="zh-CN"/>
                    </w:rPr>
                    <w:t>21.93</w:t>
                  </w:r>
                  <w:r>
                    <w:rPr>
                      <w:color w:val="auto"/>
                    </w:rPr>
                    <w:t>mg/m</w:t>
                  </w:r>
                  <w:r>
                    <w:rPr>
                      <w:color w:val="auto"/>
                      <w:vertAlign w:val="superscript"/>
                    </w:rPr>
                    <w:t>3</w:t>
                  </w:r>
                </w:p>
              </w:tc>
              <w:tc>
                <w:tcPr>
                  <w:tcW w:w="1975" w:type="dxa"/>
                </w:tcPr>
                <w:p>
                  <w:pPr>
                    <w:pStyle w:val="63"/>
                    <w:rPr>
                      <w:color w:val="auto"/>
                      <w:lang w:eastAsia="zh-CN"/>
                    </w:rPr>
                  </w:pPr>
                  <w:r>
                    <w:rPr>
                      <w:color w:val="auto"/>
                      <w:lang w:eastAsia="zh-CN"/>
                    </w:rPr>
                    <w:t>81.41</w:t>
                  </w:r>
                  <w:r>
                    <w:rPr>
                      <w:color w:val="auto"/>
                    </w:rPr>
                    <w:t>mg/m</w:t>
                  </w:r>
                  <w:r>
                    <w:rPr>
                      <w:color w:val="auto"/>
                      <w:vertAlign w:val="superscript"/>
                    </w:rPr>
                    <w:t>3</w:t>
                  </w:r>
                </w:p>
              </w:tc>
            </w:tr>
          </w:tbl>
          <w:p>
            <w:pPr>
              <w:ind w:firstLine="480"/>
              <w:rPr>
                <w:color w:val="auto"/>
              </w:rPr>
            </w:pPr>
            <w:r>
              <w:rPr>
                <w:rFonts w:hint="eastAsia"/>
                <w:color w:val="auto"/>
              </w:rPr>
              <w:t>建设单位须加强对天然气的检测管控，严格控制吨钢天然气用量。</w:t>
            </w:r>
          </w:p>
          <w:p>
            <w:pPr>
              <w:pStyle w:val="56"/>
              <w:spacing w:before="60" w:after="60"/>
              <w:rPr>
                <w:color w:val="auto"/>
              </w:rPr>
            </w:pPr>
            <w:r>
              <w:rPr>
                <w:rFonts w:hint="eastAsia"/>
                <w:color w:val="auto"/>
              </w:rPr>
              <w:t>4.2.2废水环境影响和保护措施</w:t>
            </w:r>
          </w:p>
          <w:p>
            <w:pPr>
              <w:ind w:firstLine="480"/>
              <w:rPr>
                <w:color w:val="auto"/>
              </w:rPr>
            </w:pPr>
            <w:r>
              <w:rPr>
                <w:rFonts w:hint="eastAsia"/>
                <w:color w:val="auto"/>
              </w:rPr>
              <w:t>本次技改项目将焦炉煤气改为天然气，仅对燃烧系统进行技改，不涉及对年产3</w:t>
            </w:r>
            <w:r>
              <w:rPr>
                <w:color w:val="auto"/>
              </w:rPr>
              <w:t>0</w:t>
            </w:r>
            <w:r>
              <w:rPr>
                <w:rFonts w:hint="eastAsia"/>
                <w:color w:val="auto"/>
              </w:rPr>
              <w:t>万吨热退火酸洗生产线建设项目酸洗工序技改，运营期不新增劳动定员，因此本次技改项目运营后不会新增生产废水和生活污水。本环评不</w:t>
            </w:r>
            <w:r>
              <w:rPr>
                <w:rFonts w:hint="eastAsia"/>
                <w:color w:val="auto"/>
                <w:lang w:eastAsia="zh-CN"/>
              </w:rPr>
              <w:t>再</w:t>
            </w:r>
            <w:r>
              <w:rPr>
                <w:rFonts w:hint="eastAsia"/>
                <w:color w:val="auto"/>
              </w:rPr>
              <w:t>对生产废水、生活污水源强进行核算，根据《年产3</w:t>
            </w:r>
            <w:r>
              <w:rPr>
                <w:color w:val="auto"/>
              </w:rPr>
              <w:t>0</w:t>
            </w:r>
            <w:r>
              <w:rPr>
                <w:rFonts w:hint="eastAsia"/>
                <w:color w:val="auto"/>
              </w:rPr>
              <w:t>万吨热退火酸洗生产线建设项目竣工环境保护验收监测报告表》及其验收意见，结合现有项目实际情况，对现有项目废水产生、排放情况进行简单分析。</w:t>
            </w:r>
          </w:p>
          <w:p>
            <w:pPr>
              <w:ind w:firstLine="480"/>
              <w:rPr>
                <w:color w:val="auto"/>
              </w:rPr>
            </w:pPr>
            <w:r>
              <w:rPr>
                <w:rFonts w:hint="eastAsia"/>
                <w:color w:val="auto"/>
              </w:rPr>
              <w:t>现有项目漂洗段使用的漂洗水来源于除盐水系统，带钢经“硫酸预酸洗+混酸酸洗”后对带钢进行漂洗，产生的漂洗废水一部分进入配酸工段，剩余部分进入酸性废水处理系统。酸性废水处理系统采用氢氧化钙作为中和剂，在中和池中与硝酸、硫酸和氟化氢进行酸碱中和反应后进入混凝反应槽，经PAC/PAM等絮凝剂使废水中的悬浮物质产生絮凝沉淀物质，通过高效反应澄清池进行固液分离，沉淀后的污泥进入污泥浓缩池后通过板框压滤后暂存于污泥暂存间，澄清后的废水通过硫酸调节废水pH，随后通过厌氧、耗氧、过滤等工艺进行</w:t>
            </w:r>
            <w:r>
              <w:rPr>
                <w:rFonts w:hint="eastAsia"/>
                <w:color w:val="auto"/>
                <w:lang w:val="en-US" w:eastAsia="zh-CN"/>
              </w:rPr>
              <w:t>脱硝</w:t>
            </w:r>
            <w:r>
              <w:rPr>
                <w:rFonts w:hint="eastAsia"/>
                <w:color w:val="auto"/>
              </w:rPr>
              <w:t>处理。生产废水经酸性废水处理设施处理达标后，回用于140万吨热轧生产线项目轧钢循环回用补水，不外排。</w:t>
            </w:r>
          </w:p>
          <w:p>
            <w:pPr>
              <w:ind w:firstLine="480"/>
              <w:rPr>
                <w:color w:val="auto"/>
              </w:rPr>
            </w:pPr>
            <w:r>
              <w:rPr>
                <w:rFonts w:hint="eastAsia"/>
                <w:color w:val="auto"/>
              </w:rPr>
              <w:t>现有项目运行过程中酸洗机组、退火炉等设备需进行间接冷却，设备冷却水经净循环水系统冷却后循环使用，不外排。</w:t>
            </w:r>
          </w:p>
          <w:p>
            <w:pPr>
              <w:ind w:firstLine="480"/>
              <w:rPr>
                <w:color w:val="auto"/>
              </w:rPr>
            </w:pPr>
            <w:r>
              <w:rPr>
                <w:rFonts w:hint="eastAsia"/>
                <w:color w:val="auto"/>
              </w:rPr>
              <w:t>生活污水依托云南天高镍业有限公司已经建成1座处理能力为20m</w:t>
            </w:r>
            <w:r>
              <w:rPr>
                <w:rFonts w:hint="eastAsia"/>
                <w:color w:val="auto"/>
                <w:vertAlign w:val="superscript"/>
              </w:rPr>
              <w:t>3</w:t>
            </w:r>
            <w:r>
              <w:rPr>
                <w:rFonts w:hint="eastAsia"/>
                <w:color w:val="auto"/>
              </w:rPr>
              <w:t>/h，480m</w:t>
            </w:r>
            <w:r>
              <w:rPr>
                <w:rFonts w:hint="eastAsia"/>
                <w:color w:val="auto"/>
                <w:vertAlign w:val="superscript"/>
              </w:rPr>
              <w:t>3</w:t>
            </w:r>
            <w:r>
              <w:rPr>
                <w:rFonts w:hint="eastAsia"/>
                <w:color w:val="auto"/>
              </w:rPr>
              <w:t>/d的生活污水处理站处理后回</w:t>
            </w:r>
            <w:r>
              <w:rPr>
                <w:rFonts w:hint="eastAsia"/>
                <w:color w:val="auto"/>
                <w:lang w:eastAsia="zh-CN"/>
              </w:rPr>
              <w:t>用作</w:t>
            </w:r>
            <w:r>
              <w:rPr>
                <w:rFonts w:hint="eastAsia"/>
                <w:color w:val="auto"/>
              </w:rPr>
              <w:t>云南天高镍业有限公司炼钢浊循环补充水，不外排。</w:t>
            </w:r>
          </w:p>
          <w:p>
            <w:pPr>
              <w:ind w:firstLine="480"/>
              <w:rPr>
                <w:color w:val="auto"/>
              </w:rPr>
            </w:pPr>
            <w:r>
              <w:rPr>
                <w:rFonts w:hint="eastAsia"/>
                <w:color w:val="auto"/>
              </w:rPr>
              <w:t>根据《年产3</w:t>
            </w:r>
            <w:r>
              <w:rPr>
                <w:color w:val="auto"/>
              </w:rPr>
              <w:t>0</w:t>
            </w:r>
            <w:r>
              <w:rPr>
                <w:rFonts w:hint="eastAsia"/>
                <w:color w:val="auto"/>
              </w:rPr>
              <w:t>万吨热退火酸洗生产线建设项目竣工环境保护验收监测报告表》及其验收意见，现有项目生产废水和生活污水经处理后全部回用，不外排，酸性废水处理设施和依托的云南天高镍业有限公司污水处理站目前稳定运行，废水处理回用对周边地表水环境影响较小。</w:t>
            </w:r>
          </w:p>
          <w:p>
            <w:pPr>
              <w:pStyle w:val="56"/>
              <w:spacing w:before="60" w:after="60"/>
              <w:rPr>
                <w:color w:val="auto"/>
              </w:rPr>
            </w:pPr>
            <w:r>
              <w:rPr>
                <w:rFonts w:hint="eastAsia"/>
                <w:color w:val="auto"/>
              </w:rPr>
              <w:t>4.2.3噪声环境影响和保护措施</w:t>
            </w:r>
          </w:p>
          <w:p>
            <w:pPr>
              <w:pStyle w:val="70"/>
              <w:rPr>
                <w:color w:val="auto"/>
              </w:rPr>
            </w:pPr>
            <w:r>
              <w:rPr>
                <w:rFonts w:hint="eastAsia"/>
                <w:color w:val="auto"/>
              </w:rPr>
              <w:t>4.2.3.1</w:t>
            </w:r>
            <w:r>
              <w:rPr>
                <w:color w:val="auto"/>
              </w:rPr>
              <w:t>预测模型</w:t>
            </w:r>
          </w:p>
          <w:p>
            <w:pPr>
              <w:ind w:firstLine="480"/>
              <w:rPr>
                <w:color w:val="auto"/>
              </w:rPr>
            </w:pPr>
            <w:r>
              <w:rPr>
                <w:rFonts w:hint="eastAsia"/>
                <w:color w:val="auto"/>
              </w:rPr>
              <w:t>本次</w:t>
            </w:r>
            <w:r>
              <w:rPr>
                <w:color w:val="auto"/>
              </w:rPr>
              <w:t>环评采用的模型为《环境影响评价技术导则 声环境》(HJ2.4.2021)附录A（规范性附录）户外声传播的衰减和附录B（规范性附录）中“B.1工业噪声预测计算模型”。</w:t>
            </w:r>
          </w:p>
          <w:p>
            <w:pPr>
              <w:pStyle w:val="70"/>
              <w:rPr>
                <w:color w:val="auto"/>
              </w:rPr>
            </w:pPr>
            <w:r>
              <w:rPr>
                <w:rFonts w:hint="eastAsia"/>
                <w:color w:val="auto"/>
              </w:rPr>
              <w:t>4.2.3.2</w:t>
            </w:r>
            <w:r>
              <w:rPr>
                <w:color w:val="auto"/>
              </w:rPr>
              <w:t>预测参数</w:t>
            </w:r>
          </w:p>
          <w:p>
            <w:pPr>
              <w:ind w:firstLine="480"/>
              <w:rPr>
                <w:color w:val="auto"/>
              </w:rPr>
            </w:pPr>
            <w:r>
              <w:rPr>
                <w:color w:val="auto"/>
              </w:rPr>
              <w:t>根据工程分析，</w:t>
            </w:r>
            <w:r>
              <w:rPr>
                <w:rFonts w:hint="eastAsia"/>
                <w:color w:val="auto"/>
              </w:rPr>
              <w:t>本次技改项目运营期涉及的噪声设备为热退火炉助燃风机和D</w:t>
            </w:r>
            <w:r>
              <w:rPr>
                <w:color w:val="auto"/>
              </w:rPr>
              <w:t>A003</w:t>
            </w:r>
            <w:r>
              <w:rPr>
                <w:rFonts w:hint="eastAsia"/>
                <w:color w:val="auto"/>
              </w:rPr>
              <w:t>废气排放口风机，以及后续烘干、酸洗等工序涉及的各设备</w:t>
            </w:r>
            <w:r>
              <w:rPr>
                <w:color w:val="auto"/>
              </w:rPr>
              <w:t>，各声源噪声强度、治理措施见下表。</w:t>
            </w:r>
          </w:p>
        </w:tc>
      </w:tr>
    </w:tbl>
    <w:p>
      <w:pPr>
        <w:adjustRightInd w:val="0"/>
        <w:snapToGrid w:val="0"/>
        <w:ind w:firstLine="562"/>
        <w:rPr>
          <w:rFonts w:ascii="宋体" w:cs="宋体"/>
          <w:b/>
          <w:color w:val="auto"/>
          <w:kern w:val="0"/>
          <w:sz w:val="28"/>
          <w:szCs w:val="28"/>
        </w:rPr>
      </w:pPr>
      <w:r>
        <w:rPr>
          <w:rFonts w:ascii="宋体" w:cs="宋体"/>
          <w:b/>
          <w:color w:val="auto"/>
          <w:kern w:val="0"/>
          <w:sz w:val="28"/>
          <w:szCs w:val="28"/>
        </w:rPr>
        <w:br w:type="page"/>
      </w:r>
    </w:p>
    <w:p>
      <w:pPr>
        <w:adjustRightInd w:val="0"/>
        <w:snapToGrid w:val="0"/>
        <w:ind w:firstLine="562"/>
        <w:rPr>
          <w:rFonts w:ascii="宋体" w:cs="宋体"/>
          <w:b/>
          <w:color w:val="auto"/>
          <w:kern w:val="0"/>
          <w:sz w:val="28"/>
          <w:szCs w:val="28"/>
        </w:rPr>
        <w:sectPr>
          <w:pgSz w:w="11907" w:h="16840"/>
          <w:pgMar w:top="1440" w:right="1800" w:bottom="1440" w:left="1800" w:header="850" w:footer="850" w:gutter="0"/>
          <w:cols w:space="720" w:num="1"/>
          <w:docGrid w:linePitch="326" w:charSpace="0"/>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7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 w:type="pct"/>
            <w:vAlign w:val="center"/>
          </w:tcPr>
          <w:p>
            <w:pPr>
              <w:adjustRightInd w:val="0"/>
              <w:snapToGrid w:val="0"/>
              <w:ind w:firstLine="0" w:firstLineChars="0"/>
              <w:jc w:val="center"/>
              <w:rPr>
                <w:rFonts w:ascii="宋体" w:cs="宋体"/>
                <w:color w:val="auto"/>
                <w:kern w:val="0"/>
              </w:rPr>
            </w:pPr>
            <w:r>
              <w:rPr>
                <w:rFonts w:hint="eastAsia" w:ascii="宋体" w:cs="宋体"/>
                <w:color w:val="auto"/>
                <w:kern w:val="0"/>
              </w:rPr>
              <w:t>运营期环境影响和保护措施</w:t>
            </w:r>
          </w:p>
        </w:tc>
        <w:tc>
          <w:tcPr>
            <w:tcW w:w="4920" w:type="pct"/>
          </w:tcPr>
          <w:p>
            <w:pPr>
              <w:pStyle w:val="66"/>
              <w:rPr>
                <w:color w:val="auto"/>
              </w:rPr>
            </w:pPr>
            <w:r>
              <w:rPr>
                <w:rFonts w:hint="eastAsia"/>
                <w:color w:val="auto"/>
              </w:rPr>
              <w:t>表4</w:t>
            </w:r>
            <w:r>
              <w:rPr>
                <w:color w:val="auto"/>
              </w:rPr>
              <w:t xml:space="preserve">.2.3-1 </w:t>
            </w:r>
            <w:r>
              <w:rPr>
                <w:rFonts w:hint="eastAsia"/>
                <w:color w:val="auto"/>
              </w:rPr>
              <w:t>室内声源一览表</w:t>
            </w:r>
          </w:p>
          <w:tbl>
            <w:tblPr>
              <w:tblStyle w:val="26"/>
              <w:tblpPr w:leftFromText="180" w:rightFromText="180" w:vertAnchor="text" w:horzAnchor="page" w:tblpXSpec="center" w:tblpY="323"/>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886"/>
              <w:gridCol w:w="757"/>
              <w:gridCol w:w="834"/>
              <w:gridCol w:w="834"/>
              <w:gridCol w:w="834"/>
              <w:gridCol w:w="691"/>
              <w:gridCol w:w="691"/>
              <w:gridCol w:w="691"/>
              <w:gridCol w:w="691"/>
              <w:gridCol w:w="681"/>
              <w:gridCol w:w="681"/>
              <w:gridCol w:w="681"/>
              <w:gridCol w:w="684"/>
              <w:gridCol w:w="591"/>
              <w:gridCol w:w="657"/>
              <w:gridCol w:w="657"/>
              <w:gridCol w:w="657"/>
              <w:gridCol w:w="660"/>
              <w:gridCol w:w="702"/>
              <w:gridCol w:w="702"/>
              <w:gridCol w:w="702"/>
              <w:gridCol w:w="702"/>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12" w:type="pct"/>
                  <w:vMerge w:val="restart"/>
                  <w:vAlign w:val="center"/>
                </w:tcPr>
                <w:p>
                  <w:pPr>
                    <w:pStyle w:val="63"/>
                    <w:rPr>
                      <w:color w:val="auto"/>
                    </w:rPr>
                  </w:pPr>
                  <w:bookmarkStart w:id="5" w:name="PT_6"/>
                  <w:r>
                    <w:rPr>
                      <w:color w:val="auto"/>
                    </w:rPr>
                    <w:t>声源名称</w:t>
                  </w:r>
                </w:p>
              </w:tc>
              <w:tc>
                <w:tcPr>
                  <w:tcW w:w="255" w:type="pct"/>
                  <w:vAlign w:val="center"/>
                </w:tcPr>
                <w:p>
                  <w:pPr>
                    <w:pStyle w:val="63"/>
                    <w:rPr>
                      <w:color w:val="auto"/>
                    </w:rPr>
                  </w:pPr>
                  <w:r>
                    <w:rPr>
                      <w:color w:val="auto"/>
                    </w:rPr>
                    <w:t>声源源强</w:t>
                  </w:r>
                </w:p>
              </w:tc>
              <w:tc>
                <w:tcPr>
                  <w:tcW w:w="218" w:type="pct"/>
                  <w:vMerge w:val="restart"/>
                  <w:vAlign w:val="center"/>
                </w:tcPr>
                <w:p>
                  <w:pPr>
                    <w:pStyle w:val="63"/>
                    <w:rPr>
                      <w:color w:val="auto"/>
                    </w:rPr>
                  </w:pPr>
                  <w:r>
                    <w:rPr>
                      <w:color w:val="auto"/>
                    </w:rPr>
                    <w:t>声源控制措施</w:t>
                  </w:r>
                </w:p>
              </w:tc>
              <w:tc>
                <w:tcPr>
                  <w:tcW w:w="720" w:type="pct"/>
                  <w:gridSpan w:val="3"/>
                  <w:vAlign w:val="center"/>
                </w:tcPr>
                <w:p>
                  <w:pPr>
                    <w:pStyle w:val="63"/>
                    <w:rPr>
                      <w:color w:val="auto"/>
                    </w:rPr>
                  </w:pPr>
                  <w:r>
                    <w:rPr>
                      <w:color w:val="auto"/>
                    </w:rPr>
                    <w:t>空间相对位置/m</w:t>
                  </w:r>
                </w:p>
              </w:tc>
              <w:tc>
                <w:tcPr>
                  <w:tcW w:w="796" w:type="pct"/>
                  <w:gridSpan w:val="4"/>
                  <w:vAlign w:val="center"/>
                </w:tcPr>
                <w:p>
                  <w:pPr>
                    <w:pStyle w:val="63"/>
                    <w:rPr>
                      <w:color w:val="auto"/>
                    </w:rPr>
                  </w:pPr>
                  <w:r>
                    <w:rPr>
                      <w:color w:val="auto"/>
                    </w:rPr>
                    <w:t>距室内边界距离/m</w:t>
                  </w:r>
                </w:p>
              </w:tc>
              <w:tc>
                <w:tcPr>
                  <w:tcW w:w="785" w:type="pct"/>
                  <w:gridSpan w:val="4"/>
                  <w:vAlign w:val="center"/>
                </w:tcPr>
                <w:p>
                  <w:pPr>
                    <w:pStyle w:val="63"/>
                    <w:rPr>
                      <w:color w:val="auto"/>
                    </w:rPr>
                  </w:pPr>
                  <w:r>
                    <w:rPr>
                      <w:color w:val="auto"/>
                    </w:rPr>
                    <w:t>室内边界声级/dB(A)</w:t>
                  </w:r>
                </w:p>
              </w:tc>
              <w:tc>
                <w:tcPr>
                  <w:tcW w:w="170" w:type="pct"/>
                  <w:vMerge w:val="restart"/>
                  <w:vAlign w:val="center"/>
                </w:tcPr>
                <w:p>
                  <w:pPr>
                    <w:pStyle w:val="63"/>
                    <w:rPr>
                      <w:color w:val="auto"/>
                    </w:rPr>
                  </w:pPr>
                  <w:r>
                    <w:rPr>
                      <w:color w:val="auto"/>
                    </w:rPr>
                    <w:t>运行时段</w:t>
                  </w:r>
                </w:p>
              </w:tc>
              <w:tc>
                <w:tcPr>
                  <w:tcW w:w="757" w:type="pct"/>
                  <w:gridSpan w:val="4"/>
                  <w:vAlign w:val="center"/>
                </w:tcPr>
                <w:p>
                  <w:pPr>
                    <w:pStyle w:val="63"/>
                    <w:rPr>
                      <w:color w:val="auto"/>
                    </w:rPr>
                  </w:pPr>
                  <w:r>
                    <w:rPr>
                      <w:color w:val="auto"/>
                    </w:rPr>
                    <w:t>建筑物插入损失 / dB(A)</w:t>
                  </w:r>
                  <w:bookmarkStart w:id="6" w:name="PT_10"/>
                  <w:bookmarkEnd w:id="6"/>
                </w:p>
              </w:tc>
              <w:tc>
                <w:tcPr>
                  <w:tcW w:w="1087" w:type="pct"/>
                  <w:gridSpan w:val="5"/>
                  <w:vAlign w:val="center"/>
                </w:tcPr>
                <w:p>
                  <w:pPr>
                    <w:pStyle w:val="63"/>
                    <w:rPr>
                      <w:color w:val="auto"/>
                    </w:rPr>
                  </w:pPr>
                  <w:r>
                    <w:rPr>
                      <w:color w:val="auto"/>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212" w:type="pct"/>
                  <w:vMerge w:val="continue"/>
                  <w:shd w:val="clear" w:color="auto" w:fill="FFFFFF"/>
                  <w:tcMar>
                    <w:top w:w="0" w:type="dxa"/>
                    <w:left w:w="0" w:type="dxa"/>
                    <w:bottom w:w="0" w:type="dxa"/>
                    <w:right w:w="0" w:type="dxa"/>
                  </w:tcMar>
                  <w:vAlign w:val="center"/>
                </w:tcPr>
                <w:p>
                  <w:pPr>
                    <w:pStyle w:val="63"/>
                    <w:rPr>
                      <w:color w:val="auto"/>
                    </w:rPr>
                  </w:pPr>
                </w:p>
              </w:tc>
              <w:tc>
                <w:tcPr>
                  <w:tcW w:w="255" w:type="pct"/>
                  <w:shd w:val="clear" w:color="auto" w:fill="FFFFFF"/>
                  <w:tcMar>
                    <w:top w:w="0" w:type="dxa"/>
                    <w:left w:w="0" w:type="dxa"/>
                    <w:bottom w:w="0" w:type="dxa"/>
                    <w:right w:w="0" w:type="dxa"/>
                  </w:tcMar>
                  <w:vAlign w:val="center"/>
                </w:tcPr>
                <w:p>
                  <w:pPr>
                    <w:pStyle w:val="63"/>
                    <w:rPr>
                      <w:color w:val="auto"/>
                    </w:rPr>
                  </w:pPr>
                  <w:r>
                    <w:rPr>
                      <w:color w:val="auto"/>
                    </w:rPr>
                    <w:t>声功率级/dB(A)</w:t>
                  </w:r>
                </w:p>
              </w:tc>
              <w:tc>
                <w:tcPr>
                  <w:tcW w:w="218" w:type="pct"/>
                  <w:vMerge w:val="continue"/>
                  <w:shd w:val="clear" w:color="auto" w:fill="FFFFFF"/>
                  <w:tcMar>
                    <w:top w:w="0" w:type="dxa"/>
                    <w:left w:w="0" w:type="dxa"/>
                    <w:bottom w:w="0" w:type="dxa"/>
                    <w:right w:w="0" w:type="dxa"/>
                  </w:tcMar>
                  <w:vAlign w:val="center"/>
                </w:tcPr>
                <w:p>
                  <w:pPr>
                    <w:pStyle w:val="63"/>
                    <w:rPr>
                      <w:color w:val="auto"/>
                    </w:rPr>
                  </w:pPr>
                </w:p>
              </w:tc>
              <w:tc>
                <w:tcPr>
                  <w:tcW w:w="240" w:type="pct"/>
                  <w:shd w:val="clear" w:color="auto" w:fill="FFFFFF"/>
                  <w:tcMar>
                    <w:top w:w="0" w:type="dxa"/>
                    <w:left w:w="0" w:type="dxa"/>
                    <w:bottom w:w="0" w:type="dxa"/>
                    <w:right w:w="0" w:type="dxa"/>
                  </w:tcMar>
                  <w:vAlign w:val="center"/>
                </w:tcPr>
                <w:p>
                  <w:pPr>
                    <w:pStyle w:val="63"/>
                    <w:rPr>
                      <w:color w:val="auto"/>
                    </w:rPr>
                  </w:pPr>
                  <w:r>
                    <w:rPr>
                      <w:color w:val="auto"/>
                    </w:rPr>
                    <w:t>X</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Y</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Z</w:t>
                  </w:r>
                </w:p>
              </w:tc>
              <w:tc>
                <w:tcPr>
                  <w:tcW w:w="199" w:type="pct"/>
                  <w:shd w:val="clear" w:color="auto" w:fill="FFFFFF"/>
                  <w:tcMar>
                    <w:top w:w="0" w:type="dxa"/>
                    <w:left w:w="0" w:type="dxa"/>
                    <w:bottom w:w="0" w:type="dxa"/>
                    <w:right w:w="0" w:type="dxa"/>
                  </w:tcMar>
                  <w:vAlign w:val="center"/>
                </w:tcPr>
                <w:p>
                  <w:pPr>
                    <w:pStyle w:val="63"/>
                    <w:rPr>
                      <w:color w:val="auto"/>
                    </w:rPr>
                  </w:pPr>
                  <w:r>
                    <w:rPr>
                      <w:rFonts w:hint="eastAsia"/>
                      <w:color w:val="auto"/>
                    </w:rPr>
                    <w:t>东</w:t>
                  </w:r>
                </w:p>
              </w:tc>
              <w:tc>
                <w:tcPr>
                  <w:tcW w:w="199" w:type="pct"/>
                  <w:shd w:val="clear" w:color="auto" w:fill="FFFFFF"/>
                  <w:tcMar>
                    <w:top w:w="0" w:type="dxa"/>
                    <w:left w:w="0" w:type="dxa"/>
                    <w:bottom w:w="0" w:type="dxa"/>
                    <w:right w:w="0" w:type="dxa"/>
                  </w:tcMar>
                  <w:vAlign w:val="center"/>
                </w:tcPr>
                <w:p>
                  <w:pPr>
                    <w:pStyle w:val="63"/>
                    <w:rPr>
                      <w:color w:val="auto"/>
                    </w:rPr>
                  </w:pPr>
                  <w:r>
                    <w:rPr>
                      <w:rFonts w:hint="eastAsia"/>
                      <w:color w:val="auto"/>
                    </w:rPr>
                    <w:t>南</w:t>
                  </w:r>
                </w:p>
              </w:tc>
              <w:tc>
                <w:tcPr>
                  <w:tcW w:w="199" w:type="pct"/>
                  <w:shd w:val="clear" w:color="auto" w:fill="FFFFFF"/>
                  <w:tcMar>
                    <w:top w:w="0" w:type="dxa"/>
                    <w:left w:w="0" w:type="dxa"/>
                    <w:bottom w:w="0" w:type="dxa"/>
                    <w:right w:w="0" w:type="dxa"/>
                  </w:tcMar>
                  <w:vAlign w:val="center"/>
                </w:tcPr>
                <w:p>
                  <w:pPr>
                    <w:pStyle w:val="63"/>
                    <w:rPr>
                      <w:color w:val="auto"/>
                    </w:rPr>
                  </w:pPr>
                  <w:r>
                    <w:rPr>
                      <w:rFonts w:hint="eastAsia"/>
                      <w:color w:val="auto"/>
                    </w:rPr>
                    <w:t>西</w:t>
                  </w:r>
                </w:p>
              </w:tc>
              <w:tc>
                <w:tcPr>
                  <w:tcW w:w="199" w:type="pct"/>
                  <w:shd w:val="clear" w:color="auto" w:fill="FFFFFF"/>
                  <w:tcMar>
                    <w:top w:w="0" w:type="dxa"/>
                    <w:left w:w="0" w:type="dxa"/>
                    <w:bottom w:w="0" w:type="dxa"/>
                    <w:right w:w="0" w:type="dxa"/>
                  </w:tcMar>
                  <w:vAlign w:val="center"/>
                </w:tcPr>
                <w:p>
                  <w:pPr>
                    <w:pStyle w:val="63"/>
                    <w:rPr>
                      <w:color w:val="auto"/>
                    </w:rPr>
                  </w:pPr>
                  <w:r>
                    <w:rPr>
                      <w:rFonts w:hint="eastAsia"/>
                      <w:color w:val="auto"/>
                    </w:rPr>
                    <w:t>北</w:t>
                  </w:r>
                </w:p>
              </w:tc>
              <w:tc>
                <w:tcPr>
                  <w:tcW w:w="196" w:type="pct"/>
                  <w:shd w:val="clear" w:color="auto" w:fill="FFFFFF"/>
                  <w:tcMar>
                    <w:top w:w="0" w:type="dxa"/>
                    <w:left w:w="0" w:type="dxa"/>
                    <w:bottom w:w="0" w:type="dxa"/>
                    <w:right w:w="0" w:type="dxa"/>
                  </w:tcMar>
                  <w:vAlign w:val="center"/>
                </w:tcPr>
                <w:p>
                  <w:pPr>
                    <w:pStyle w:val="63"/>
                    <w:rPr>
                      <w:color w:val="auto"/>
                    </w:rPr>
                  </w:pPr>
                  <w:r>
                    <w:rPr>
                      <w:rFonts w:hint="eastAsia"/>
                      <w:color w:val="auto"/>
                    </w:rPr>
                    <w:t>东</w:t>
                  </w:r>
                </w:p>
              </w:tc>
              <w:tc>
                <w:tcPr>
                  <w:tcW w:w="196" w:type="pct"/>
                  <w:shd w:val="clear" w:color="auto" w:fill="FFFFFF"/>
                  <w:tcMar>
                    <w:top w:w="0" w:type="dxa"/>
                    <w:left w:w="0" w:type="dxa"/>
                    <w:bottom w:w="0" w:type="dxa"/>
                    <w:right w:w="0" w:type="dxa"/>
                  </w:tcMar>
                  <w:vAlign w:val="center"/>
                </w:tcPr>
                <w:p>
                  <w:pPr>
                    <w:pStyle w:val="63"/>
                    <w:rPr>
                      <w:color w:val="auto"/>
                    </w:rPr>
                  </w:pPr>
                  <w:r>
                    <w:rPr>
                      <w:rFonts w:hint="eastAsia"/>
                      <w:color w:val="auto"/>
                    </w:rPr>
                    <w:t>南</w:t>
                  </w:r>
                </w:p>
              </w:tc>
              <w:tc>
                <w:tcPr>
                  <w:tcW w:w="196" w:type="pct"/>
                  <w:shd w:val="clear" w:color="auto" w:fill="FFFFFF"/>
                  <w:tcMar>
                    <w:top w:w="0" w:type="dxa"/>
                    <w:left w:w="0" w:type="dxa"/>
                    <w:bottom w:w="0" w:type="dxa"/>
                    <w:right w:w="0" w:type="dxa"/>
                  </w:tcMar>
                  <w:vAlign w:val="center"/>
                </w:tcPr>
                <w:p>
                  <w:pPr>
                    <w:pStyle w:val="63"/>
                    <w:rPr>
                      <w:color w:val="auto"/>
                    </w:rPr>
                  </w:pPr>
                  <w:r>
                    <w:rPr>
                      <w:rFonts w:hint="eastAsia"/>
                      <w:color w:val="auto"/>
                    </w:rPr>
                    <w:t>西</w:t>
                  </w:r>
                </w:p>
              </w:tc>
              <w:tc>
                <w:tcPr>
                  <w:tcW w:w="197" w:type="pct"/>
                  <w:shd w:val="clear" w:color="auto" w:fill="FFFFFF"/>
                  <w:tcMar>
                    <w:top w:w="0" w:type="dxa"/>
                    <w:left w:w="0" w:type="dxa"/>
                    <w:bottom w:w="0" w:type="dxa"/>
                    <w:right w:w="0" w:type="dxa"/>
                  </w:tcMar>
                  <w:vAlign w:val="center"/>
                </w:tcPr>
                <w:p>
                  <w:pPr>
                    <w:pStyle w:val="63"/>
                    <w:rPr>
                      <w:color w:val="auto"/>
                    </w:rPr>
                  </w:pPr>
                  <w:r>
                    <w:rPr>
                      <w:rFonts w:hint="eastAsia"/>
                      <w:color w:val="auto"/>
                    </w:rPr>
                    <w:t>北</w:t>
                  </w:r>
                </w:p>
              </w:tc>
              <w:tc>
                <w:tcPr>
                  <w:tcW w:w="170" w:type="pct"/>
                  <w:vMerge w:val="continue"/>
                  <w:shd w:val="clear" w:color="auto" w:fill="FFFFFF"/>
                  <w:tcMar>
                    <w:top w:w="0" w:type="dxa"/>
                    <w:left w:w="0" w:type="dxa"/>
                    <w:bottom w:w="0" w:type="dxa"/>
                    <w:right w:w="0" w:type="dxa"/>
                  </w:tcMar>
                  <w:vAlign w:val="center"/>
                </w:tcPr>
                <w:p>
                  <w:pPr>
                    <w:pStyle w:val="63"/>
                    <w:rPr>
                      <w:color w:val="auto"/>
                    </w:rPr>
                  </w:pP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rPr>
                    <w:t>东</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rPr>
                    <w:t>南</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rPr>
                    <w:t>西</w:t>
                  </w:r>
                </w:p>
              </w:tc>
              <w:tc>
                <w:tcPr>
                  <w:tcW w:w="190" w:type="pct"/>
                  <w:shd w:val="clear" w:color="auto" w:fill="FFFFFF"/>
                  <w:tcMar>
                    <w:top w:w="0" w:type="dxa"/>
                    <w:left w:w="0" w:type="dxa"/>
                    <w:bottom w:w="0" w:type="dxa"/>
                    <w:right w:w="0" w:type="dxa"/>
                  </w:tcMar>
                  <w:vAlign w:val="center"/>
                </w:tcPr>
                <w:p>
                  <w:pPr>
                    <w:pStyle w:val="63"/>
                    <w:rPr>
                      <w:color w:val="auto"/>
                    </w:rPr>
                  </w:pPr>
                  <w:r>
                    <w:rPr>
                      <w:rFonts w:hint="eastAsia"/>
                      <w:color w:val="auto"/>
                    </w:rPr>
                    <w:t>北</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东</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南</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西</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北</w:t>
                  </w:r>
                </w:p>
              </w:tc>
              <w:tc>
                <w:tcPr>
                  <w:tcW w:w="279" w:type="pct"/>
                  <w:shd w:val="clear" w:color="auto" w:fill="FFFFFF"/>
                  <w:tcMar>
                    <w:top w:w="0" w:type="dxa"/>
                    <w:left w:w="0" w:type="dxa"/>
                    <w:bottom w:w="0" w:type="dxa"/>
                    <w:right w:w="0" w:type="dxa"/>
                  </w:tcMar>
                  <w:vAlign w:val="center"/>
                </w:tcPr>
                <w:p>
                  <w:pPr>
                    <w:pStyle w:val="63"/>
                    <w:rPr>
                      <w:color w:val="auto"/>
                    </w:rPr>
                  </w:pPr>
                  <w:r>
                    <w:rPr>
                      <w:color w:val="auto"/>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212"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高压</w:t>
                  </w:r>
                  <w:r>
                    <w:rPr>
                      <w:color w:val="auto"/>
                    </w:rPr>
                    <w:t>风机</w:t>
                  </w:r>
                </w:p>
              </w:tc>
              <w:tc>
                <w:tcPr>
                  <w:tcW w:w="255" w:type="pct"/>
                  <w:shd w:val="clear" w:color="auto" w:fill="FFFFFF"/>
                  <w:tcMar>
                    <w:top w:w="0" w:type="dxa"/>
                    <w:left w:w="0" w:type="dxa"/>
                    <w:bottom w:w="0" w:type="dxa"/>
                    <w:right w:w="0" w:type="dxa"/>
                  </w:tcMar>
                  <w:vAlign w:val="center"/>
                </w:tcPr>
                <w:p>
                  <w:pPr>
                    <w:pStyle w:val="63"/>
                    <w:rPr>
                      <w:color w:val="auto"/>
                    </w:rPr>
                  </w:pPr>
                  <w:r>
                    <w:rPr>
                      <w:color w:val="auto"/>
                    </w:rPr>
                    <w:t>95</w:t>
                  </w:r>
                </w:p>
              </w:tc>
              <w:tc>
                <w:tcPr>
                  <w:tcW w:w="218" w:type="pct"/>
                  <w:vMerge w:val="restart"/>
                  <w:shd w:val="clear" w:color="auto" w:fill="FFFFFF"/>
                  <w:tcMar>
                    <w:top w:w="0" w:type="dxa"/>
                    <w:left w:w="0" w:type="dxa"/>
                    <w:bottom w:w="0" w:type="dxa"/>
                    <w:right w:w="0" w:type="dxa"/>
                  </w:tcMar>
                  <w:vAlign w:val="center"/>
                </w:tcPr>
                <w:p>
                  <w:pPr>
                    <w:pStyle w:val="63"/>
                    <w:rPr>
                      <w:color w:val="auto"/>
                      <w:lang w:eastAsia="zh-CN"/>
                    </w:rPr>
                  </w:pPr>
                  <w:r>
                    <w:rPr>
                      <w:rFonts w:hint="eastAsia"/>
                      <w:color w:val="auto"/>
                      <w:lang w:eastAsia="zh-CN"/>
                    </w:rPr>
                    <w:t>消声器</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-105.7</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-269.7</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1.2</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273.1</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19.4</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79.4</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7.0</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74.2</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74.3</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74.2</w:t>
                  </w:r>
                </w:p>
              </w:tc>
              <w:tc>
                <w:tcPr>
                  <w:tcW w:w="197" w:type="pct"/>
                  <w:shd w:val="clear" w:color="auto" w:fill="FFFFFF"/>
                  <w:tcMar>
                    <w:top w:w="0" w:type="dxa"/>
                    <w:left w:w="0" w:type="dxa"/>
                    <w:bottom w:w="0" w:type="dxa"/>
                    <w:right w:w="0" w:type="dxa"/>
                  </w:tcMar>
                  <w:vAlign w:val="center"/>
                </w:tcPr>
                <w:p>
                  <w:pPr>
                    <w:pStyle w:val="63"/>
                    <w:rPr>
                      <w:color w:val="auto"/>
                    </w:rPr>
                  </w:pPr>
                  <w:r>
                    <w:rPr>
                      <w:color w:val="auto"/>
                    </w:rPr>
                    <w:t>75.0</w:t>
                  </w:r>
                </w:p>
              </w:tc>
              <w:tc>
                <w:tcPr>
                  <w:tcW w:w="170" w:type="pct"/>
                  <w:vMerge w:val="restar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全天</w:t>
                  </w:r>
                </w:p>
              </w:tc>
              <w:tc>
                <w:tcPr>
                  <w:tcW w:w="189" w:type="pct"/>
                  <w:shd w:val="clear" w:color="auto" w:fill="FFFFFF"/>
                  <w:tcMar>
                    <w:top w:w="0" w:type="dxa"/>
                    <w:left w:w="0" w:type="dxa"/>
                    <w:bottom w:w="0" w:type="dxa"/>
                    <w:right w:w="0" w:type="dxa"/>
                  </w:tcMar>
                  <w:vAlign w:val="center"/>
                </w:tcPr>
                <w:p>
                  <w:pPr>
                    <w:pStyle w:val="63"/>
                    <w:rPr>
                      <w:color w:val="auto"/>
                      <w:lang w:eastAsia="zh-CN"/>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90"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59.2</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59.3</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59.2</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60</w:t>
                  </w:r>
                </w:p>
              </w:tc>
              <w:tc>
                <w:tcPr>
                  <w:tcW w:w="279" w:type="pct"/>
                  <w:shd w:val="clear" w:color="auto" w:fill="FFFFFF"/>
                  <w:tcMar>
                    <w:top w:w="0" w:type="dxa"/>
                    <w:left w:w="0" w:type="dxa"/>
                    <w:bottom w:w="0" w:type="dxa"/>
                    <w:right w:w="0" w:type="dxa"/>
                  </w:tcMar>
                  <w:vAlign w:val="center"/>
                </w:tcPr>
                <w:p>
                  <w:pPr>
                    <w:pStyle w:val="63"/>
                    <w:rPr>
                      <w:color w:val="auto"/>
                    </w:rPr>
                  </w:pPr>
                  <w:r>
                    <w:rPr>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212" w:type="pct"/>
                  <w:shd w:val="clear" w:color="auto" w:fill="FFFFFF"/>
                  <w:tcMar>
                    <w:top w:w="0" w:type="dxa"/>
                    <w:left w:w="0" w:type="dxa"/>
                    <w:bottom w:w="0" w:type="dxa"/>
                    <w:right w:w="0" w:type="dxa"/>
                  </w:tcMar>
                  <w:vAlign w:val="center"/>
                </w:tcPr>
                <w:p>
                  <w:pPr>
                    <w:pStyle w:val="63"/>
                    <w:rPr>
                      <w:color w:val="auto"/>
                    </w:rPr>
                  </w:pPr>
                  <w:r>
                    <w:rPr>
                      <w:color w:val="auto"/>
                    </w:rPr>
                    <w:t>排放口风机</w:t>
                  </w:r>
                </w:p>
              </w:tc>
              <w:tc>
                <w:tcPr>
                  <w:tcW w:w="255" w:type="pct"/>
                  <w:shd w:val="clear" w:color="auto" w:fill="FFFFFF"/>
                  <w:tcMar>
                    <w:top w:w="0" w:type="dxa"/>
                    <w:left w:w="0" w:type="dxa"/>
                    <w:bottom w:w="0" w:type="dxa"/>
                    <w:right w:w="0" w:type="dxa"/>
                  </w:tcMar>
                  <w:vAlign w:val="center"/>
                </w:tcPr>
                <w:p>
                  <w:pPr>
                    <w:pStyle w:val="63"/>
                    <w:rPr>
                      <w:color w:val="auto"/>
                    </w:rPr>
                  </w:pPr>
                  <w:r>
                    <w:rPr>
                      <w:color w:val="auto"/>
                    </w:rPr>
                    <w:t>100</w:t>
                  </w:r>
                </w:p>
              </w:tc>
              <w:tc>
                <w:tcPr>
                  <w:tcW w:w="218" w:type="pct"/>
                  <w:vMerge w:val="continue"/>
                  <w:shd w:val="clear" w:color="auto" w:fill="FFFFFF"/>
                  <w:tcMar>
                    <w:top w:w="0" w:type="dxa"/>
                    <w:left w:w="0" w:type="dxa"/>
                    <w:bottom w:w="0" w:type="dxa"/>
                    <w:right w:w="0" w:type="dxa"/>
                  </w:tcMar>
                  <w:vAlign w:val="center"/>
                </w:tcPr>
                <w:p>
                  <w:pPr>
                    <w:pStyle w:val="63"/>
                    <w:rPr>
                      <w:color w:val="auto"/>
                    </w:rPr>
                  </w:pP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-103.1</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-264.5</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1.2</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274.5</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25.1</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78.6</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1.3</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79.2</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79.2</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79.2</w:t>
                  </w:r>
                </w:p>
              </w:tc>
              <w:tc>
                <w:tcPr>
                  <w:tcW w:w="197" w:type="pct"/>
                  <w:shd w:val="clear" w:color="auto" w:fill="FFFFFF"/>
                  <w:tcMar>
                    <w:top w:w="0" w:type="dxa"/>
                    <w:left w:w="0" w:type="dxa"/>
                    <w:bottom w:w="0" w:type="dxa"/>
                    <w:right w:w="0" w:type="dxa"/>
                  </w:tcMar>
                  <w:vAlign w:val="center"/>
                </w:tcPr>
                <w:p>
                  <w:pPr>
                    <w:pStyle w:val="63"/>
                    <w:rPr>
                      <w:color w:val="auto"/>
                    </w:rPr>
                  </w:pPr>
                  <w:r>
                    <w:rPr>
                      <w:color w:val="auto"/>
                    </w:rPr>
                    <w:t>87.4</w:t>
                  </w:r>
                </w:p>
              </w:tc>
              <w:tc>
                <w:tcPr>
                  <w:tcW w:w="170" w:type="pct"/>
                  <w:vMerge w:val="continue"/>
                  <w:shd w:val="clear" w:color="auto" w:fill="FFFFFF"/>
                  <w:tcMar>
                    <w:top w:w="0" w:type="dxa"/>
                    <w:left w:w="0" w:type="dxa"/>
                    <w:bottom w:w="0" w:type="dxa"/>
                    <w:right w:w="0" w:type="dxa"/>
                  </w:tcMar>
                  <w:vAlign w:val="center"/>
                </w:tcPr>
                <w:p>
                  <w:pPr>
                    <w:pStyle w:val="63"/>
                    <w:rPr>
                      <w:color w:val="auto"/>
                    </w:rPr>
                  </w:pP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90"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64.2</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64.2</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64.2</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72.4</w:t>
                  </w:r>
                </w:p>
              </w:tc>
              <w:tc>
                <w:tcPr>
                  <w:tcW w:w="279" w:type="pct"/>
                  <w:shd w:val="clear" w:color="auto" w:fill="FFFFFF"/>
                  <w:tcMar>
                    <w:top w:w="0" w:type="dxa"/>
                    <w:left w:w="0" w:type="dxa"/>
                    <w:bottom w:w="0" w:type="dxa"/>
                    <w:right w:w="0" w:type="dxa"/>
                  </w:tcMar>
                  <w:vAlign w:val="center"/>
                </w:tcPr>
                <w:p>
                  <w:pPr>
                    <w:pStyle w:val="63"/>
                    <w:rPr>
                      <w:color w:val="auto"/>
                    </w:rPr>
                  </w:pPr>
                  <w:r>
                    <w:rPr>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212" w:type="pct"/>
                  <w:shd w:val="clear" w:color="auto" w:fill="FFFFFF"/>
                  <w:tcMar>
                    <w:top w:w="0" w:type="dxa"/>
                    <w:left w:w="0" w:type="dxa"/>
                    <w:bottom w:w="0" w:type="dxa"/>
                    <w:right w:w="0" w:type="dxa"/>
                  </w:tcMar>
                  <w:vAlign w:val="center"/>
                </w:tcPr>
                <w:p>
                  <w:pPr>
                    <w:pStyle w:val="63"/>
                    <w:rPr>
                      <w:color w:val="auto"/>
                    </w:rPr>
                  </w:pPr>
                  <w:r>
                    <w:rPr>
                      <w:color w:val="auto"/>
                      <w:lang w:val="en-US"/>
                    </w:rPr>
                    <w:t>抛丸机</w:t>
                  </w:r>
                </w:p>
              </w:tc>
              <w:tc>
                <w:tcPr>
                  <w:tcW w:w="255" w:type="pct"/>
                  <w:shd w:val="clear" w:color="auto" w:fill="FFFFFF"/>
                  <w:tcMar>
                    <w:top w:w="0" w:type="dxa"/>
                    <w:left w:w="0" w:type="dxa"/>
                    <w:bottom w:w="0" w:type="dxa"/>
                    <w:right w:w="0" w:type="dxa"/>
                  </w:tcMar>
                  <w:vAlign w:val="center"/>
                </w:tcPr>
                <w:p>
                  <w:pPr>
                    <w:pStyle w:val="63"/>
                    <w:rPr>
                      <w:color w:val="auto"/>
                      <w:lang w:eastAsia="zh-CN"/>
                    </w:rPr>
                  </w:pPr>
                  <w:r>
                    <w:rPr>
                      <w:color w:val="auto"/>
                      <w:lang w:eastAsia="zh-CN"/>
                    </w:rPr>
                    <w:t>95</w:t>
                  </w:r>
                </w:p>
              </w:tc>
              <w:tc>
                <w:tcPr>
                  <w:tcW w:w="218" w:type="pct"/>
                  <w:vMerge w:val="restar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厂房隔声</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-112.7</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-133.7</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1.2</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264.5</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29.0</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78.6</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7.2</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74.2</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74.2</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74.2</w:t>
                  </w:r>
                </w:p>
              </w:tc>
              <w:tc>
                <w:tcPr>
                  <w:tcW w:w="197" w:type="pct"/>
                  <w:shd w:val="clear" w:color="auto" w:fill="FFFFFF"/>
                  <w:tcMar>
                    <w:top w:w="0" w:type="dxa"/>
                    <w:left w:w="0" w:type="dxa"/>
                    <w:bottom w:w="0" w:type="dxa"/>
                    <w:right w:w="0" w:type="dxa"/>
                  </w:tcMar>
                  <w:vAlign w:val="center"/>
                </w:tcPr>
                <w:p>
                  <w:pPr>
                    <w:pStyle w:val="63"/>
                    <w:rPr>
                      <w:color w:val="auto"/>
                    </w:rPr>
                  </w:pPr>
                  <w:r>
                    <w:rPr>
                      <w:color w:val="auto"/>
                    </w:rPr>
                    <w:t>75.0</w:t>
                  </w:r>
                </w:p>
              </w:tc>
              <w:tc>
                <w:tcPr>
                  <w:tcW w:w="170" w:type="pct"/>
                  <w:vMerge w:val="continue"/>
                  <w:shd w:val="clear" w:color="auto" w:fill="FFFFFF"/>
                  <w:tcMar>
                    <w:top w:w="0" w:type="dxa"/>
                    <w:left w:w="0" w:type="dxa"/>
                    <w:bottom w:w="0" w:type="dxa"/>
                    <w:right w:w="0" w:type="dxa"/>
                  </w:tcMar>
                  <w:vAlign w:val="center"/>
                </w:tcPr>
                <w:p>
                  <w:pPr>
                    <w:pStyle w:val="63"/>
                    <w:rPr>
                      <w:color w:val="auto"/>
                    </w:rPr>
                  </w:pP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90"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59.2</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59.2</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59.2</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60</w:t>
                  </w:r>
                </w:p>
              </w:tc>
              <w:tc>
                <w:tcPr>
                  <w:tcW w:w="279" w:type="pct"/>
                  <w:shd w:val="clear" w:color="auto" w:fill="FFFFFF"/>
                  <w:tcMar>
                    <w:top w:w="0" w:type="dxa"/>
                    <w:left w:w="0" w:type="dxa"/>
                    <w:bottom w:w="0" w:type="dxa"/>
                    <w:right w:w="0" w:type="dxa"/>
                  </w:tcMar>
                  <w:vAlign w:val="center"/>
                </w:tcPr>
                <w:p>
                  <w:pPr>
                    <w:pStyle w:val="63"/>
                    <w:rPr>
                      <w:color w:val="auto"/>
                      <w:lang w:eastAsia="zh-CN"/>
                    </w:rPr>
                  </w:pPr>
                  <w:r>
                    <w:rPr>
                      <w:rFonts w:hint="eastAsia"/>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212" w:type="pct"/>
                  <w:shd w:val="clear" w:color="auto" w:fill="FFFFFF"/>
                  <w:tcMar>
                    <w:top w:w="0" w:type="dxa"/>
                    <w:left w:w="0" w:type="dxa"/>
                    <w:bottom w:w="0" w:type="dxa"/>
                    <w:right w:w="0" w:type="dxa"/>
                  </w:tcMar>
                  <w:vAlign w:val="center"/>
                </w:tcPr>
                <w:p>
                  <w:pPr>
                    <w:pStyle w:val="63"/>
                    <w:rPr>
                      <w:color w:val="auto"/>
                    </w:rPr>
                  </w:pPr>
                  <w:r>
                    <w:rPr>
                      <w:color w:val="auto"/>
                    </w:rPr>
                    <w:t>开卷机</w:t>
                  </w:r>
                </w:p>
              </w:tc>
              <w:tc>
                <w:tcPr>
                  <w:tcW w:w="255" w:type="pct"/>
                  <w:shd w:val="clear" w:color="auto" w:fill="FFFFFF"/>
                  <w:tcMar>
                    <w:top w:w="0" w:type="dxa"/>
                    <w:left w:w="0" w:type="dxa"/>
                    <w:bottom w:w="0" w:type="dxa"/>
                    <w:right w:w="0" w:type="dxa"/>
                  </w:tcMar>
                  <w:vAlign w:val="center"/>
                </w:tcPr>
                <w:p>
                  <w:pPr>
                    <w:pStyle w:val="63"/>
                    <w:rPr>
                      <w:color w:val="auto"/>
                    </w:rPr>
                  </w:pPr>
                  <w:r>
                    <w:rPr>
                      <w:color w:val="auto"/>
                    </w:rPr>
                    <w:t>95</w:t>
                  </w:r>
                </w:p>
              </w:tc>
              <w:tc>
                <w:tcPr>
                  <w:tcW w:w="218" w:type="pct"/>
                  <w:vMerge w:val="continue"/>
                  <w:shd w:val="clear" w:color="auto" w:fill="FFFFFF"/>
                  <w:tcMar>
                    <w:top w:w="0" w:type="dxa"/>
                    <w:left w:w="0" w:type="dxa"/>
                    <w:bottom w:w="0" w:type="dxa"/>
                    <w:right w:w="0" w:type="dxa"/>
                  </w:tcMar>
                  <w:vAlign w:val="center"/>
                </w:tcPr>
                <w:p>
                  <w:pPr>
                    <w:pStyle w:val="63"/>
                    <w:rPr>
                      <w:color w:val="auto"/>
                    </w:rPr>
                  </w:pPr>
                </w:p>
              </w:tc>
              <w:tc>
                <w:tcPr>
                  <w:tcW w:w="240" w:type="pct"/>
                  <w:shd w:val="clear" w:color="auto" w:fill="FFFFFF"/>
                  <w:tcMar>
                    <w:top w:w="0" w:type="dxa"/>
                    <w:left w:w="0" w:type="dxa"/>
                    <w:bottom w:w="0" w:type="dxa"/>
                    <w:right w:w="0" w:type="dxa"/>
                  </w:tcMar>
                  <w:vAlign w:val="center"/>
                </w:tcPr>
                <w:p>
                  <w:pPr>
                    <w:pStyle w:val="63"/>
                    <w:rPr>
                      <w:color w:val="auto"/>
                    </w:rPr>
                  </w:pPr>
                  <w:r>
                    <w:rPr>
                      <w:color w:val="auto"/>
                    </w:rPr>
                    <w:t>-93.3</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-214.3</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1.2</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274.5</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24.2</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77.8</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6.3</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74.1</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74.0</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74.1</w:t>
                  </w:r>
                </w:p>
              </w:tc>
              <w:tc>
                <w:tcPr>
                  <w:tcW w:w="197" w:type="pct"/>
                  <w:shd w:val="clear" w:color="auto" w:fill="FFFFFF"/>
                  <w:tcMar>
                    <w:top w:w="0" w:type="dxa"/>
                    <w:left w:w="0" w:type="dxa"/>
                    <w:bottom w:w="0" w:type="dxa"/>
                    <w:right w:w="0" w:type="dxa"/>
                  </w:tcMar>
                  <w:vAlign w:val="center"/>
                </w:tcPr>
                <w:p>
                  <w:pPr>
                    <w:pStyle w:val="63"/>
                    <w:rPr>
                      <w:color w:val="auto"/>
                    </w:rPr>
                  </w:pPr>
                  <w:r>
                    <w:rPr>
                      <w:color w:val="auto"/>
                    </w:rPr>
                    <w:t>75.0</w:t>
                  </w:r>
                </w:p>
              </w:tc>
              <w:tc>
                <w:tcPr>
                  <w:tcW w:w="170" w:type="pct"/>
                  <w:vMerge w:val="continue"/>
                  <w:shd w:val="clear" w:color="auto" w:fill="FFFFFF"/>
                  <w:tcMar>
                    <w:top w:w="0" w:type="dxa"/>
                    <w:left w:w="0" w:type="dxa"/>
                    <w:bottom w:w="0" w:type="dxa"/>
                    <w:right w:w="0" w:type="dxa"/>
                  </w:tcMar>
                  <w:vAlign w:val="center"/>
                </w:tcPr>
                <w:p>
                  <w:pPr>
                    <w:pStyle w:val="63"/>
                    <w:rPr>
                      <w:color w:val="auto"/>
                    </w:rPr>
                  </w:pP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90"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59.1</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59.1</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60</w:t>
                  </w:r>
                </w:p>
              </w:tc>
              <w:tc>
                <w:tcPr>
                  <w:tcW w:w="279" w:type="pct"/>
                  <w:shd w:val="clear" w:color="auto" w:fill="FFFFFF"/>
                  <w:tcMar>
                    <w:top w:w="0" w:type="dxa"/>
                    <w:left w:w="0" w:type="dxa"/>
                    <w:bottom w:w="0" w:type="dxa"/>
                    <w:right w:w="0" w:type="dxa"/>
                  </w:tcMar>
                  <w:vAlign w:val="center"/>
                </w:tcPr>
                <w:p>
                  <w:pPr>
                    <w:pStyle w:val="63"/>
                    <w:rPr>
                      <w:color w:val="auto"/>
                      <w:lang w:eastAsia="zh-CN"/>
                    </w:rPr>
                  </w:pPr>
                  <w:r>
                    <w:rPr>
                      <w:rFonts w:hint="eastAsia"/>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212" w:type="pct"/>
                  <w:shd w:val="clear" w:color="auto" w:fill="FFFFFF"/>
                  <w:tcMar>
                    <w:top w:w="0" w:type="dxa"/>
                    <w:left w:w="0" w:type="dxa"/>
                    <w:bottom w:w="0" w:type="dxa"/>
                    <w:right w:w="0" w:type="dxa"/>
                  </w:tcMar>
                  <w:vAlign w:val="center"/>
                </w:tcPr>
                <w:p>
                  <w:pPr>
                    <w:pStyle w:val="63"/>
                    <w:rPr>
                      <w:color w:val="auto"/>
                    </w:rPr>
                  </w:pPr>
                  <w:r>
                    <w:rPr>
                      <w:color w:val="auto"/>
                    </w:rPr>
                    <w:t>矫直机</w:t>
                  </w:r>
                </w:p>
              </w:tc>
              <w:tc>
                <w:tcPr>
                  <w:tcW w:w="255" w:type="pct"/>
                  <w:shd w:val="clear" w:color="auto" w:fill="FFFFFF"/>
                  <w:tcMar>
                    <w:top w:w="0" w:type="dxa"/>
                    <w:left w:w="0" w:type="dxa"/>
                    <w:bottom w:w="0" w:type="dxa"/>
                    <w:right w:w="0" w:type="dxa"/>
                  </w:tcMar>
                  <w:vAlign w:val="center"/>
                </w:tcPr>
                <w:p>
                  <w:pPr>
                    <w:pStyle w:val="63"/>
                    <w:rPr>
                      <w:color w:val="auto"/>
                    </w:rPr>
                  </w:pPr>
                  <w:r>
                    <w:rPr>
                      <w:color w:val="auto"/>
                    </w:rPr>
                    <w:t>95</w:t>
                  </w:r>
                </w:p>
              </w:tc>
              <w:tc>
                <w:tcPr>
                  <w:tcW w:w="218" w:type="pct"/>
                  <w:vMerge w:val="continue"/>
                  <w:shd w:val="clear" w:color="auto" w:fill="FFFFFF"/>
                  <w:tcMar>
                    <w:top w:w="0" w:type="dxa"/>
                    <w:left w:w="0" w:type="dxa"/>
                    <w:bottom w:w="0" w:type="dxa"/>
                    <w:right w:w="0" w:type="dxa"/>
                  </w:tcMar>
                  <w:vAlign w:val="center"/>
                </w:tcPr>
                <w:p>
                  <w:pPr>
                    <w:pStyle w:val="63"/>
                    <w:rPr>
                      <w:color w:val="auto"/>
                    </w:rPr>
                  </w:pP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-115.3</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-210.7</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1.2</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273.1</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18.4</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79.4</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6.8</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74.0</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74.1</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74.2</w:t>
                  </w:r>
                </w:p>
              </w:tc>
              <w:tc>
                <w:tcPr>
                  <w:tcW w:w="197" w:type="pct"/>
                  <w:shd w:val="clear" w:color="auto" w:fill="FFFFFF"/>
                  <w:tcMar>
                    <w:top w:w="0" w:type="dxa"/>
                    <w:left w:w="0" w:type="dxa"/>
                    <w:bottom w:w="0" w:type="dxa"/>
                    <w:right w:w="0" w:type="dxa"/>
                  </w:tcMar>
                  <w:vAlign w:val="center"/>
                </w:tcPr>
                <w:p>
                  <w:pPr>
                    <w:pStyle w:val="63"/>
                    <w:rPr>
                      <w:color w:val="auto"/>
                    </w:rPr>
                  </w:pPr>
                  <w:r>
                    <w:rPr>
                      <w:color w:val="auto"/>
                    </w:rPr>
                    <w:t>75.0</w:t>
                  </w:r>
                </w:p>
              </w:tc>
              <w:tc>
                <w:tcPr>
                  <w:tcW w:w="170" w:type="pct"/>
                  <w:vMerge w:val="continue"/>
                  <w:shd w:val="clear" w:color="auto" w:fill="FFFFFF"/>
                  <w:tcMar>
                    <w:top w:w="0" w:type="dxa"/>
                    <w:left w:w="0" w:type="dxa"/>
                    <w:bottom w:w="0" w:type="dxa"/>
                    <w:right w:w="0" w:type="dxa"/>
                  </w:tcMar>
                  <w:vAlign w:val="center"/>
                </w:tcPr>
                <w:p>
                  <w:pPr>
                    <w:pStyle w:val="63"/>
                    <w:rPr>
                      <w:color w:val="auto"/>
                    </w:rPr>
                  </w:pP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90"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59.1</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59.2</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60</w:t>
                  </w:r>
                </w:p>
              </w:tc>
              <w:tc>
                <w:tcPr>
                  <w:tcW w:w="279" w:type="pct"/>
                  <w:shd w:val="clear" w:color="auto" w:fill="FFFFFF"/>
                  <w:tcMar>
                    <w:top w:w="0" w:type="dxa"/>
                    <w:left w:w="0" w:type="dxa"/>
                    <w:bottom w:w="0" w:type="dxa"/>
                    <w:right w:w="0" w:type="dxa"/>
                  </w:tcMar>
                  <w:vAlign w:val="center"/>
                </w:tcPr>
                <w:p>
                  <w:pPr>
                    <w:pStyle w:val="63"/>
                    <w:rPr>
                      <w:color w:val="auto"/>
                      <w:lang w:eastAsia="zh-CN"/>
                    </w:rPr>
                  </w:pPr>
                  <w:r>
                    <w:rPr>
                      <w:rFonts w:hint="eastAsia"/>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212" w:type="pct"/>
                  <w:shd w:val="clear" w:color="auto" w:fill="FFFFFF"/>
                  <w:tcMar>
                    <w:top w:w="0" w:type="dxa"/>
                    <w:left w:w="0" w:type="dxa"/>
                    <w:bottom w:w="0" w:type="dxa"/>
                    <w:right w:w="0" w:type="dxa"/>
                  </w:tcMar>
                  <w:vAlign w:val="center"/>
                </w:tcPr>
                <w:p>
                  <w:pPr>
                    <w:pStyle w:val="63"/>
                    <w:rPr>
                      <w:color w:val="auto"/>
                    </w:rPr>
                  </w:pPr>
                  <w:r>
                    <w:rPr>
                      <w:color w:val="auto"/>
                    </w:rPr>
                    <w:t>剪切机</w:t>
                  </w:r>
                </w:p>
              </w:tc>
              <w:tc>
                <w:tcPr>
                  <w:tcW w:w="255" w:type="pct"/>
                  <w:shd w:val="clear" w:color="auto" w:fill="FFFFFF"/>
                  <w:tcMar>
                    <w:top w:w="0" w:type="dxa"/>
                    <w:left w:w="0" w:type="dxa"/>
                    <w:bottom w:w="0" w:type="dxa"/>
                    <w:right w:w="0" w:type="dxa"/>
                  </w:tcMar>
                  <w:vAlign w:val="center"/>
                </w:tcPr>
                <w:p>
                  <w:pPr>
                    <w:pStyle w:val="63"/>
                    <w:rPr>
                      <w:color w:val="auto"/>
                    </w:rPr>
                  </w:pPr>
                  <w:r>
                    <w:rPr>
                      <w:color w:val="auto"/>
                    </w:rPr>
                    <w:t>95</w:t>
                  </w:r>
                </w:p>
              </w:tc>
              <w:tc>
                <w:tcPr>
                  <w:tcW w:w="218" w:type="pct"/>
                  <w:vMerge w:val="continue"/>
                  <w:shd w:val="clear" w:color="auto" w:fill="FFFFFF"/>
                  <w:tcMar>
                    <w:top w:w="0" w:type="dxa"/>
                    <w:left w:w="0" w:type="dxa"/>
                    <w:bottom w:w="0" w:type="dxa"/>
                    <w:right w:w="0" w:type="dxa"/>
                  </w:tcMar>
                  <w:vAlign w:val="center"/>
                </w:tcPr>
                <w:p>
                  <w:pPr>
                    <w:pStyle w:val="63"/>
                    <w:rPr>
                      <w:color w:val="auto"/>
                    </w:rPr>
                  </w:pP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-107.2</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-204.3</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1.2</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278.5</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26.3</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78.9</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3.4</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74.3</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74.5</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74.0</w:t>
                  </w:r>
                </w:p>
              </w:tc>
              <w:tc>
                <w:tcPr>
                  <w:tcW w:w="197" w:type="pct"/>
                  <w:shd w:val="clear" w:color="auto" w:fill="FFFFFF"/>
                  <w:tcMar>
                    <w:top w:w="0" w:type="dxa"/>
                    <w:left w:w="0" w:type="dxa"/>
                    <w:bottom w:w="0" w:type="dxa"/>
                    <w:right w:w="0" w:type="dxa"/>
                  </w:tcMar>
                  <w:vAlign w:val="center"/>
                </w:tcPr>
                <w:p>
                  <w:pPr>
                    <w:pStyle w:val="63"/>
                    <w:rPr>
                      <w:color w:val="auto"/>
                    </w:rPr>
                  </w:pPr>
                  <w:r>
                    <w:rPr>
                      <w:color w:val="auto"/>
                    </w:rPr>
                    <w:t>75.0</w:t>
                  </w:r>
                </w:p>
              </w:tc>
              <w:tc>
                <w:tcPr>
                  <w:tcW w:w="170" w:type="pct"/>
                  <w:vMerge w:val="continue"/>
                  <w:shd w:val="clear" w:color="auto" w:fill="FFFFFF"/>
                  <w:tcMar>
                    <w:top w:w="0" w:type="dxa"/>
                    <w:left w:w="0" w:type="dxa"/>
                    <w:bottom w:w="0" w:type="dxa"/>
                    <w:right w:w="0" w:type="dxa"/>
                  </w:tcMar>
                  <w:vAlign w:val="center"/>
                </w:tcPr>
                <w:p>
                  <w:pPr>
                    <w:pStyle w:val="63"/>
                    <w:rPr>
                      <w:color w:val="auto"/>
                    </w:rPr>
                  </w:pP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90"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59.3</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59.5</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60</w:t>
                  </w:r>
                </w:p>
              </w:tc>
              <w:tc>
                <w:tcPr>
                  <w:tcW w:w="279" w:type="pct"/>
                  <w:shd w:val="clear" w:color="auto" w:fill="FFFFFF"/>
                  <w:tcMar>
                    <w:top w:w="0" w:type="dxa"/>
                    <w:left w:w="0" w:type="dxa"/>
                    <w:bottom w:w="0" w:type="dxa"/>
                    <w:right w:w="0" w:type="dxa"/>
                  </w:tcMar>
                  <w:vAlign w:val="center"/>
                </w:tcPr>
                <w:p>
                  <w:pPr>
                    <w:pStyle w:val="63"/>
                    <w:rPr>
                      <w:color w:val="auto"/>
                      <w:lang w:eastAsia="zh-CN"/>
                    </w:rPr>
                  </w:pPr>
                  <w:r>
                    <w:rPr>
                      <w:rFonts w:hint="eastAsia"/>
                      <w:color w:val="auto"/>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212" w:type="pct"/>
                  <w:shd w:val="clear" w:color="auto" w:fill="FFFFFF"/>
                  <w:tcMar>
                    <w:top w:w="0" w:type="dxa"/>
                    <w:left w:w="0" w:type="dxa"/>
                    <w:bottom w:w="0" w:type="dxa"/>
                    <w:right w:w="0" w:type="dxa"/>
                  </w:tcMar>
                  <w:vAlign w:val="center"/>
                </w:tcPr>
                <w:p>
                  <w:pPr>
                    <w:pStyle w:val="63"/>
                    <w:rPr>
                      <w:color w:val="auto"/>
                    </w:rPr>
                  </w:pPr>
                  <w:r>
                    <w:rPr>
                      <w:color w:val="auto"/>
                    </w:rPr>
                    <w:t>卷取机</w:t>
                  </w:r>
                </w:p>
              </w:tc>
              <w:tc>
                <w:tcPr>
                  <w:tcW w:w="255" w:type="pct"/>
                  <w:shd w:val="clear" w:color="auto" w:fill="FFFFFF"/>
                  <w:tcMar>
                    <w:top w:w="0" w:type="dxa"/>
                    <w:left w:w="0" w:type="dxa"/>
                    <w:bottom w:w="0" w:type="dxa"/>
                    <w:right w:w="0" w:type="dxa"/>
                  </w:tcMar>
                  <w:vAlign w:val="center"/>
                </w:tcPr>
                <w:p>
                  <w:pPr>
                    <w:pStyle w:val="63"/>
                    <w:rPr>
                      <w:color w:val="auto"/>
                    </w:rPr>
                  </w:pPr>
                  <w:r>
                    <w:rPr>
                      <w:color w:val="auto"/>
                    </w:rPr>
                    <w:t>95</w:t>
                  </w:r>
                </w:p>
              </w:tc>
              <w:tc>
                <w:tcPr>
                  <w:tcW w:w="218" w:type="pct"/>
                  <w:vMerge w:val="continue"/>
                  <w:shd w:val="clear" w:color="auto" w:fill="FFFFFF"/>
                  <w:tcMar>
                    <w:top w:w="0" w:type="dxa"/>
                    <w:left w:w="0" w:type="dxa"/>
                    <w:bottom w:w="0" w:type="dxa"/>
                    <w:right w:w="0" w:type="dxa"/>
                  </w:tcMar>
                  <w:vAlign w:val="center"/>
                </w:tcPr>
                <w:p>
                  <w:pPr>
                    <w:pStyle w:val="63"/>
                    <w:rPr>
                      <w:color w:val="auto"/>
                    </w:rPr>
                  </w:pP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-104.9</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-211.2</w:t>
                  </w:r>
                </w:p>
              </w:tc>
              <w:tc>
                <w:tcPr>
                  <w:tcW w:w="240" w:type="pct"/>
                  <w:shd w:val="clear" w:color="auto" w:fill="FFFFFF"/>
                  <w:tcMar>
                    <w:top w:w="0" w:type="dxa"/>
                    <w:left w:w="0" w:type="dxa"/>
                    <w:bottom w:w="0" w:type="dxa"/>
                    <w:right w:w="0" w:type="dxa"/>
                  </w:tcMar>
                  <w:vAlign w:val="center"/>
                </w:tcPr>
                <w:p>
                  <w:pPr>
                    <w:pStyle w:val="63"/>
                    <w:rPr>
                      <w:color w:val="auto"/>
                    </w:rPr>
                  </w:pPr>
                  <w:r>
                    <w:rPr>
                      <w:color w:val="auto"/>
                    </w:rPr>
                    <w:t>1.2</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251.4</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24.2</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78.7</w:t>
                  </w:r>
                </w:p>
              </w:tc>
              <w:tc>
                <w:tcPr>
                  <w:tcW w:w="199" w:type="pct"/>
                  <w:shd w:val="clear" w:color="auto" w:fill="FFFFFF"/>
                  <w:tcMar>
                    <w:top w:w="0" w:type="dxa"/>
                    <w:left w:w="0" w:type="dxa"/>
                    <w:bottom w:w="0" w:type="dxa"/>
                    <w:right w:w="0" w:type="dxa"/>
                  </w:tcMar>
                  <w:vAlign w:val="center"/>
                </w:tcPr>
                <w:p>
                  <w:pPr>
                    <w:pStyle w:val="63"/>
                    <w:rPr>
                      <w:color w:val="auto"/>
                    </w:rPr>
                  </w:pPr>
                  <w:r>
                    <w:rPr>
                      <w:color w:val="auto"/>
                    </w:rPr>
                    <w:t>5.5</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74.5</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74.0</w:t>
                  </w:r>
                </w:p>
              </w:tc>
              <w:tc>
                <w:tcPr>
                  <w:tcW w:w="196" w:type="pct"/>
                  <w:shd w:val="clear" w:color="auto" w:fill="FFFFFF"/>
                  <w:tcMar>
                    <w:top w:w="0" w:type="dxa"/>
                    <w:left w:w="0" w:type="dxa"/>
                    <w:bottom w:w="0" w:type="dxa"/>
                    <w:right w:w="0" w:type="dxa"/>
                  </w:tcMar>
                  <w:vAlign w:val="center"/>
                </w:tcPr>
                <w:p>
                  <w:pPr>
                    <w:pStyle w:val="63"/>
                    <w:rPr>
                      <w:color w:val="auto"/>
                    </w:rPr>
                  </w:pPr>
                  <w:r>
                    <w:rPr>
                      <w:color w:val="auto"/>
                    </w:rPr>
                    <w:t>74.2</w:t>
                  </w:r>
                </w:p>
              </w:tc>
              <w:tc>
                <w:tcPr>
                  <w:tcW w:w="197" w:type="pct"/>
                  <w:shd w:val="clear" w:color="auto" w:fill="FFFFFF"/>
                  <w:tcMar>
                    <w:top w:w="0" w:type="dxa"/>
                    <w:left w:w="0" w:type="dxa"/>
                    <w:bottom w:w="0" w:type="dxa"/>
                    <w:right w:w="0" w:type="dxa"/>
                  </w:tcMar>
                  <w:vAlign w:val="center"/>
                </w:tcPr>
                <w:p>
                  <w:pPr>
                    <w:pStyle w:val="63"/>
                    <w:rPr>
                      <w:color w:val="auto"/>
                    </w:rPr>
                  </w:pPr>
                  <w:r>
                    <w:rPr>
                      <w:color w:val="auto"/>
                    </w:rPr>
                    <w:t>75.0</w:t>
                  </w:r>
                </w:p>
              </w:tc>
              <w:tc>
                <w:tcPr>
                  <w:tcW w:w="170" w:type="pct"/>
                  <w:vMerge w:val="continue"/>
                  <w:shd w:val="clear" w:color="auto" w:fill="FFFFFF"/>
                  <w:tcMar>
                    <w:top w:w="0" w:type="dxa"/>
                    <w:left w:w="0" w:type="dxa"/>
                    <w:bottom w:w="0" w:type="dxa"/>
                    <w:right w:w="0" w:type="dxa"/>
                  </w:tcMar>
                  <w:vAlign w:val="center"/>
                </w:tcPr>
                <w:p>
                  <w:pPr>
                    <w:pStyle w:val="63"/>
                    <w:rPr>
                      <w:color w:val="auto"/>
                    </w:rPr>
                  </w:pP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89"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190" w:type="pct"/>
                  <w:shd w:val="clear" w:color="auto" w:fill="FFFFFF"/>
                  <w:tcMar>
                    <w:top w:w="0" w:type="dxa"/>
                    <w:left w:w="0" w:type="dxa"/>
                    <w:bottom w:w="0" w:type="dxa"/>
                    <w:right w:w="0" w:type="dxa"/>
                  </w:tcMar>
                  <w:vAlign w:val="center"/>
                </w:tcPr>
                <w:p>
                  <w:pPr>
                    <w:pStyle w:val="63"/>
                    <w:rPr>
                      <w:color w:val="auto"/>
                    </w:rPr>
                  </w:pPr>
                  <w:r>
                    <w:rPr>
                      <w:rFonts w:hint="eastAsia"/>
                      <w:color w:val="auto"/>
                      <w:lang w:eastAsia="zh-CN"/>
                    </w:rPr>
                    <w:t>1</w:t>
                  </w:r>
                  <w:r>
                    <w:rPr>
                      <w:color w:val="auto"/>
                      <w:lang w:eastAsia="zh-CN"/>
                    </w:rPr>
                    <w:t>5.0</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59.5</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59.2</w:t>
                  </w:r>
                </w:p>
              </w:tc>
              <w:tc>
                <w:tcPr>
                  <w:tcW w:w="202" w:type="pct"/>
                  <w:shd w:val="clear" w:color="auto" w:fill="FFFFFF"/>
                  <w:tcMar>
                    <w:top w:w="0" w:type="dxa"/>
                    <w:left w:w="0" w:type="dxa"/>
                    <w:bottom w:w="0" w:type="dxa"/>
                    <w:right w:w="0" w:type="dxa"/>
                  </w:tcMar>
                  <w:vAlign w:val="center"/>
                </w:tcPr>
                <w:p>
                  <w:pPr>
                    <w:pStyle w:val="63"/>
                    <w:rPr>
                      <w:color w:val="auto"/>
                    </w:rPr>
                  </w:pPr>
                  <w:r>
                    <w:rPr>
                      <w:rFonts w:hint="eastAsia"/>
                      <w:color w:val="auto"/>
                    </w:rPr>
                    <w:t>60</w:t>
                  </w:r>
                </w:p>
              </w:tc>
              <w:tc>
                <w:tcPr>
                  <w:tcW w:w="279" w:type="pct"/>
                  <w:shd w:val="clear" w:color="auto" w:fill="FFFFFF"/>
                  <w:tcMar>
                    <w:top w:w="0" w:type="dxa"/>
                    <w:left w:w="0" w:type="dxa"/>
                    <w:bottom w:w="0" w:type="dxa"/>
                    <w:right w:w="0" w:type="dxa"/>
                  </w:tcMar>
                  <w:vAlign w:val="center"/>
                </w:tcPr>
                <w:p>
                  <w:pPr>
                    <w:pStyle w:val="63"/>
                    <w:rPr>
                      <w:color w:val="auto"/>
                      <w:lang w:eastAsia="zh-CN"/>
                    </w:rPr>
                  </w:pPr>
                  <w:r>
                    <w:rPr>
                      <w:rFonts w:hint="eastAsia"/>
                      <w:color w:val="auto"/>
                      <w:lang w:eastAsia="zh-CN"/>
                    </w:rPr>
                    <w:t>1</w:t>
                  </w:r>
                </w:p>
              </w:tc>
            </w:tr>
            <w:bookmarkEnd w:id="5"/>
          </w:tbl>
          <w:p>
            <w:pPr>
              <w:ind w:firstLine="480"/>
              <w:rPr>
                <w:color w:val="auto"/>
              </w:rPr>
            </w:pPr>
            <w:r>
              <w:rPr>
                <w:color w:val="auto"/>
              </w:rPr>
              <w:t>表中坐标以厂界中心（</w:t>
            </w:r>
            <w:bookmarkStart w:id="7" w:name="PO_7"/>
            <w:r>
              <w:rPr>
                <w:color w:val="auto"/>
              </w:rPr>
              <w:t>104.0622631</w:t>
            </w:r>
            <w:r>
              <w:rPr>
                <w:rFonts w:hint="eastAsia"/>
                <w:color w:val="auto"/>
              </w:rPr>
              <w:t>，</w:t>
            </w:r>
            <w:r>
              <w:rPr>
                <w:color w:val="auto"/>
              </w:rPr>
              <w:t>24.801448</w:t>
            </w:r>
            <w:bookmarkEnd w:id="7"/>
            <w:r>
              <w:rPr>
                <w:color w:val="auto"/>
              </w:rPr>
              <w:t>）为坐标原点，正东向为X轴正方向，正北向为Y轴正方向</w:t>
            </w:r>
            <w:r>
              <w:rPr>
                <w:rFonts w:hint="eastAsia"/>
                <w:color w:val="auto"/>
              </w:rPr>
              <w:t>。</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r>
              <w:rPr>
                <w:rFonts w:hint="eastAsia"/>
                <w:color w:val="auto"/>
              </w:rPr>
              <w:t xml:space="preserve"> </w:t>
            </w:r>
            <w:r>
              <w:rPr>
                <w:color w:val="auto"/>
              </w:rPr>
              <w:t xml:space="preserve"> </w:t>
            </w:r>
          </w:p>
        </w:tc>
      </w:tr>
    </w:tbl>
    <w:p>
      <w:pPr>
        <w:adjustRightInd w:val="0"/>
        <w:snapToGrid w:val="0"/>
        <w:ind w:firstLine="562"/>
        <w:rPr>
          <w:rFonts w:ascii="宋体" w:cs="宋体"/>
          <w:b/>
          <w:color w:val="auto"/>
          <w:kern w:val="0"/>
          <w:sz w:val="28"/>
          <w:szCs w:val="28"/>
        </w:rPr>
        <w:sectPr>
          <w:pgSz w:w="19278" w:h="13211" w:orient="landscape"/>
          <w:pgMar w:top="720" w:right="720" w:bottom="720" w:left="720" w:header="851" w:footer="851" w:gutter="0"/>
          <w:cols w:space="720" w:num="1"/>
          <w:docGrid w:linePitch="326" w:charSpace="0"/>
        </w:sectPr>
      </w:pPr>
      <w:r>
        <w:rPr>
          <w:rFonts w:ascii="宋体" w:cs="宋体"/>
          <w:b/>
          <w:color w:val="auto"/>
          <w:kern w:val="0"/>
          <w:sz w:val="28"/>
          <w:szCs w:val="28"/>
        </w:rPr>
        <w:br w:type="page"/>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adjustRightInd w:val="0"/>
              <w:snapToGrid w:val="0"/>
              <w:ind w:firstLine="0" w:firstLineChars="0"/>
              <w:jc w:val="center"/>
              <w:rPr>
                <w:rFonts w:ascii="宋体" w:cs="宋体"/>
                <w:b/>
                <w:color w:val="auto"/>
                <w:kern w:val="0"/>
                <w:sz w:val="28"/>
                <w:szCs w:val="28"/>
              </w:rPr>
            </w:pPr>
            <w:r>
              <w:rPr>
                <w:rFonts w:hint="eastAsia" w:ascii="宋体" w:cs="宋体"/>
                <w:color w:val="auto"/>
                <w:kern w:val="0"/>
              </w:rPr>
              <w:t>运营期环境影响和保护措施</w:t>
            </w:r>
          </w:p>
        </w:tc>
        <w:tc>
          <w:tcPr>
            <w:tcW w:w="8067" w:type="dxa"/>
          </w:tcPr>
          <w:p>
            <w:pPr>
              <w:ind w:firstLine="480"/>
              <w:rPr>
                <w:color w:val="auto"/>
              </w:rPr>
            </w:pPr>
            <w:r>
              <w:rPr>
                <w:color w:val="auto"/>
              </w:rPr>
              <w:t>噪声环境影响预测基础数据见表4.2.3-2。</w:t>
            </w:r>
          </w:p>
          <w:p>
            <w:pPr>
              <w:pStyle w:val="66"/>
              <w:rPr>
                <w:color w:val="auto"/>
              </w:rPr>
            </w:pPr>
            <w:r>
              <w:rPr>
                <w:color w:val="auto"/>
              </w:rPr>
              <w:t>表4.2.3-2 项目噪声环境影响预测基础数据表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2045"/>
              <w:gridCol w:w="1569"/>
              <w:gridCol w:w="156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1" w:type="dxa"/>
                  <w:vAlign w:val="center"/>
                </w:tcPr>
                <w:p>
                  <w:pPr>
                    <w:pStyle w:val="63"/>
                    <w:rPr>
                      <w:color w:val="auto"/>
                    </w:rPr>
                  </w:pPr>
                  <w:bookmarkStart w:id="8" w:name="PT_4"/>
                  <w:r>
                    <w:rPr>
                      <w:color w:val="auto"/>
                    </w:rPr>
                    <w:t>序号</w:t>
                  </w:r>
                </w:p>
              </w:tc>
              <w:tc>
                <w:tcPr>
                  <w:tcW w:w="2045" w:type="dxa"/>
                  <w:vAlign w:val="center"/>
                </w:tcPr>
                <w:p>
                  <w:pPr>
                    <w:pStyle w:val="63"/>
                    <w:rPr>
                      <w:color w:val="auto"/>
                    </w:rPr>
                  </w:pPr>
                  <w:r>
                    <w:rPr>
                      <w:color w:val="auto"/>
                    </w:rPr>
                    <w:t>名称</w:t>
                  </w:r>
                </w:p>
              </w:tc>
              <w:tc>
                <w:tcPr>
                  <w:tcW w:w="1569" w:type="dxa"/>
                  <w:vAlign w:val="center"/>
                </w:tcPr>
                <w:p>
                  <w:pPr>
                    <w:pStyle w:val="63"/>
                    <w:rPr>
                      <w:color w:val="auto"/>
                    </w:rPr>
                  </w:pPr>
                  <w:r>
                    <w:rPr>
                      <w:color w:val="auto"/>
                    </w:rPr>
                    <w:t>单位</w:t>
                  </w:r>
                </w:p>
              </w:tc>
              <w:tc>
                <w:tcPr>
                  <w:tcW w:w="1568" w:type="dxa"/>
                  <w:vAlign w:val="center"/>
                </w:tcPr>
                <w:p>
                  <w:pPr>
                    <w:pStyle w:val="63"/>
                    <w:rPr>
                      <w:color w:val="auto"/>
                    </w:rPr>
                  </w:pPr>
                  <w:r>
                    <w:rPr>
                      <w:color w:val="auto"/>
                    </w:rPr>
                    <w:t>数据</w:t>
                  </w:r>
                </w:p>
              </w:tc>
              <w:tc>
                <w:tcPr>
                  <w:tcW w:w="1568" w:type="dxa"/>
                  <w:vAlign w:val="center"/>
                </w:tcPr>
                <w:p>
                  <w:pPr>
                    <w:pStyle w:val="63"/>
                    <w:rPr>
                      <w:color w:val="auto"/>
                    </w:rPr>
                  </w:pPr>
                  <w:r>
                    <w:rPr>
                      <w:color w:val="auto"/>
                    </w:rPr>
                    <w:t>备注</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jc w:val="center"/>
              </w:trPr>
              <w:tc>
                <w:tcPr>
                  <w:tcW w:w="1091" w:type="dxa"/>
                  <w:shd w:val="clear" w:color="auto" w:fill="FFFFFF"/>
                  <w:vAlign w:val="center"/>
                </w:tcPr>
                <w:p>
                  <w:pPr>
                    <w:pStyle w:val="63"/>
                    <w:rPr>
                      <w:color w:val="auto"/>
                    </w:rPr>
                  </w:pPr>
                  <w:r>
                    <w:rPr>
                      <w:color w:val="auto"/>
                    </w:rPr>
                    <w:t>1</w:t>
                  </w:r>
                </w:p>
              </w:tc>
              <w:tc>
                <w:tcPr>
                  <w:tcW w:w="2045" w:type="dxa"/>
                  <w:shd w:val="clear" w:color="auto" w:fill="FFFFFF"/>
                  <w:vAlign w:val="center"/>
                </w:tcPr>
                <w:p>
                  <w:pPr>
                    <w:pStyle w:val="63"/>
                    <w:rPr>
                      <w:color w:val="auto"/>
                    </w:rPr>
                  </w:pPr>
                  <w:r>
                    <w:rPr>
                      <w:color w:val="auto"/>
                    </w:rPr>
                    <w:t>年平均风速</w:t>
                  </w:r>
                </w:p>
              </w:tc>
              <w:tc>
                <w:tcPr>
                  <w:tcW w:w="1569" w:type="dxa"/>
                  <w:shd w:val="clear" w:color="auto" w:fill="FFFFFF"/>
                  <w:vAlign w:val="center"/>
                </w:tcPr>
                <w:p>
                  <w:pPr>
                    <w:pStyle w:val="63"/>
                    <w:rPr>
                      <w:color w:val="auto"/>
                    </w:rPr>
                  </w:pPr>
                  <w:r>
                    <w:rPr>
                      <w:color w:val="auto"/>
                    </w:rPr>
                    <w:t>m/s</w:t>
                  </w:r>
                </w:p>
              </w:tc>
              <w:tc>
                <w:tcPr>
                  <w:tcW w:w="1568" w:type="dxa"/>
                  <w:shd w:val="clear" w:color="auto" w:fill="FFFFFF"/>
                  <w:vAlign w:val="center"/>
                </w:tcPr>
                <w:p>
                  <w:pPr>
                    <w:pStyle w:val="63"/>
                    <w:rPr>
                      <w:color w:val="auto"/>
                    </w:rPr>
                  </w:pPr>
                  <w:r>
                    <w:rPr>
                      <w:color w:val="auto"/>
                      <w:lang w:val="en-US"/>
                    </w:rPr>
                    <w:t>2.9</w:t>
                  </w:r>
                </w:p>
              </w:tc>
              <w:tc>
                <w:tcPr>
                  <w:tcW w:w="1568" w:type="dxa"/>
                  <w:shd w:val="clear" w:color="auto" w:fill="FFFFFF"/>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jc w:val="center"/>
              </w:trPr>
              <w:tc>
                <w:tcPr>
                  <w:tcW w:w="1091" w:type="dxa"/>
                  <w:shd w:val="clear" w:color="auto" w:fill="FFFFFF"/>
                  <w:vAlign w:val="center"/>
                </w:tcPr>
                <w:p>
                  <w:pPr>
                    <w:pStyle w:val="63"/>
                    <w:rPr>
                      <w:color w:val="auto"/>
                    </w:rPr>
                  </w:pPr>
                  <w:r>
                    <w:rPr>
                      <w:color w:val="auto"/>
                    </w:rPr>
                    <w:t>2</w:t>
                  </w:r>
                </w:p>
              </w:tc>
              <w:tc>
                <w:tcPr>
                  <w:tcW w:w="2045" w:type="dxa"/>
                  <w:shd w:val="clear" w:color="auto" w:fill="FFFFFF"/>
                  <w:vAlign w:val="center"/>
                </w:tcPr>
                <w:p>
                  <w:pPr>
                    <w:pStyle w:val="63"/>
                    <w:rPr>
                      <w:color w:val="auto"/>
                    </w:rPr>
                  </w:pPr>
                  <w:r>
                    <w:rPr>
                      <w:color w:val="auto"/>
                    </w:rPr>
                    <w:t>主导风向</w:t>
                  </w:r>
                </w:p>
              </w:tc>
              <w:tc>
                <w:tcPr>
                  <w:tcW w:w="1569" w:type="dxa"/>
                  <w:shd w:val="clear" w:color="auto" w:fill="FFFFFF"/>
                  <w:vAlign w:val="center"/>
                </w:tcPr>
                <w:p>
                  <w:pPr>
                    <w:pStyle w:val="63"/>
                    <w:rPr>
                      <w:color w:val="auto"/>
                    </w:rPr>
                  </w:pPr>
                  <w:r>
                    <w:rPr>
                      <w:color w:val="auto"/>
                    </w:rPr>
                    <w:t>/</w:t>
                  </w:r>
                </w:p>
              </w:tc>
              <w:tc>
                <w:tcPr>
                  <w:tcW w:w="1568" w:type="dxa"/>
                  <w:shd w:val="clear" w:color="auto" w:fill="FFFFFF"/>
                  <w:vAlign w:val="center"/>
                </w:tcPr>
                <w:p>
                  <w:pPr>
                    <w:pStyle w:val="63"/>
                    <w:rPr>
                      <w:color w:val="auto"/>
                    </w:rPr>
                  </w:pPr>
                  <w:r>
                    <w:rPr>
                      <w:rFonts w:hint="eastAsia"/>
                      <w:color w:val="auto"/>
                      <w:lang w:eastAsia="zh-CN"/>
                    </w:rPr>
                    <w:t>西南风</w:t>
                  </w:r>
                </w:p>
              </w:tc>
              <w:tc>
                <w:tcPr>
                  <w:tcW w:w="1568" w:type="dxa"/>
                  <w:shd w:val="clear" w:color="auto" w:fill="FFFFFF"/>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jc w:val="center"/>
              </w:trPr>
              <w:tc>
                <w:tcPr>
                  <w:tcW w:w="1091" w:type="dxa"/>
                  <w:shd w:val="clear" w:color="auto" w:fill="FFFFFF"/>
                  <w:vAlign w:val="center"/>
                </w:tcPr>
                <w:p>
                  <w:pPr>
                    <w:pStyle w:val="63"/>
                    <w:rPr>
                      <w:color w:val="auto"/>
                    </w:rPr>
                  </w:pPr>
                  <w:r>
                    <w:rPr>
                      <w:color w:val="auto"/>
                    </w:rPr>
                    <w:t>3</w:t>
                  </w:r>
                </w:p>
              </w:tc>
              <w:tc>
                <w:tcPr>
                  <w:tcW w:w="2045" w:type="dxa"/>
                  <w:shd w:val="clear" w:color="auto" w:fill="FFFFFF"/>
                  <w:vAlign w:val="center"/>
                </w:tcPr>
                <w:p>
                  <w:pPr>
                    <w:pStyle w:val="63"/>
                    <w:rPr>
                      <w:color w:val="auto"/>
                    </w:rPr>
                  </w:pPr>
                  <w:r>
                    <w:rPr>
                      <w:color w:val="auto"/>
                    </w:rPr>
                    <w:t>年平均气温</w:t>
                  </w:r>
                </w:p>
              </w:tc>
              <w:tc>
                <w:tcPr>
                  <w:tcW w:w="1569" w:type="dxa"/>
                  <w:shd w:val="clear" w:color="auto" w:fill="FFFFFF"/>
                  <w:vAlign w:val="center"/>
                </w:tcPr>
                <w:p>
                  <w:pPr>
                    <w:pStyle w:val="63"/>
                    <w:rPr>
                      <w:color w:val="auto"/>
                    </w:rPr>
                  </w:pPr>
                  <w:r>
                    <w:rPr>
                      <w:color w:val="auto"/>
                    </w:rPr>
                    <w:t>℃</w:t>
                  </w:r>
                </w:p>
              </w:tc>
              <w:tc>
                <w:tcPr>
                  <w:tcW w:w="1568" w:type="dxa"/>
                  <w:shd w:val="clear" w:color="auto" w:fill="FFFFFF"/>
                  <w:vAlign w:val="center"/>
                </w:tcPr>
                <w:p>
                  <w:pPr>
                    <w:pStyle w:val="63"/>
                    <w:rPr>
                      <w:color w:val="auto"/>
                    </w:rPr>
                  </w:pPr>
                  <w:r>
                    <w:rPr>
                      <w:color w:val="auto"/>
                      <w:lang w:val="en-US"/>
                    </w:rPr>
                    <w:t>14.5</w:t>
                  </w:r>
                </w:p>
              </w:tc>
              <w:tc>
                <w:tcPr>
                  <w:tcW w:w="1568" w:type="dxa"/>
                  <w:shd w:val="clear" w:color="auto" w:fill="FFFFFF"/>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jc w:val="center"/>
              </w:trPr>
              <w:tc>
                <w:tcPr>
                  <w:tcW w:w="1091" w:type="dxa"/>
                  <w:shd w:val="clear" w:color="auto" w:fill="FFFFFF"/>
                  <w:vAlign w:val="center"/>
                </w:tcPr>
                <w:p>
                  <w:pPr>
                    <w:pStyle w:val="63"/>
                    <w:rPr>
                      <w:color w:val="auto"/>
                    </w:rPr>
                  </w:pPr>
                  <w:r>
                    <w:rPr>
                      <w:color w:val="auto"/>
                    </w:rPr>
                    <w:t>4</w:t>
                  </w:r>
                </w:p>
              </w:tc>
              <w:tc>
                <w:tcPr>
                  <w:tcW w:w="2045" w:type="dxa"/>
                  <w:shd w:val="clear" w:color="auto" w:fill="FFFFFF"/>
                  <w:vAlign w:val="center"/>
                </w:tcPr>
                <w:p>
                  <w:pPr>
                    <w:pStyle w:val="63"/>
                    <w:rPr>
                      <w:color w:val="auto"/>
                    </w:rPr>
                  </w:pPr>
                  <w:r>
                    <w:rPr>
                      <w:color w:val="auto"/>
                    </w:rPr>
                    <w:t>年平均相对湿度</w:t>
                  </w:r>
                </w:p>
              </w:tc>
              <w:tc>
                <w:tcPr>
                  <w:tcW w:w="1569" w:type="dxa"/>
                  <w:shd w:val="clear" w:color="auto" w:fill="FFFFFF"/>
                  <w:vAlign w:val="center"/>
                </w:tcPr>
                <w:p>
                  <w:pPr>
                    <w:pStyle w:val="63"/>
                    <w:rPr>
                      <w:color w:val="auto"/>
                    </w:rPr>
                  </w:pPr>
                  <w:r>
                    <w:rPr>
                      <w:color w:val="auto"/>
                    </w:rPr>
                    <w:t>%</w:t>
                  </w:r>
                </w:p>
              </w:tc>
              <w:tc>
                <w:tcPr>
                  <w:tcW w:w="1568" w:type="dxa"/>
                  <w:shd w:val="clear" w:color="auto" w:fill="FFFFFF"/>
                  <w:vAlign w:val="center"/>
                </w:tcPr>
                <w:p>
                  <w:pPr>
                    <w:pStyle w:val="63"/>
                    <w:rPr>
                      <w:color w:val="auto"/>
                    </w:rPr>
                  </w:pPr>
                  <w:r>
                    <w:rPr>
                      <w:color w:val="auto"/>
                    </w:rPr>
                    <w:t>75</w:t>
                  </w:r>
                </w:p>
              </w:tc>
              <w:tc>
                <w:tcPr>
                  <w:tcW w:w="1568" w:type="dxa"/>
                  <w:shd w:val="clear" w:color="auto" w:fill="FFFFFF"/>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jc w:val="center"/>
              </w:trPr>
              <w:tc>
                <w:tcPr>
                  <w:tcW w:w="1091" w:type="dxa"/>
                  <w:shd w:val="clear" w:color="auto" w:fill="FFFFFF"/>
                  <w:vAlign w:val="center"/>
                </w:tcPr>
                <w:p>
                  <w:pPr>
                    <w:pStyle w:val="63"/>
                    <w:rPr>
                      <w:color w:val="auto"/>
                    </w:rPr>
                  </w:pPr>
                  <w:r>
                    <w:rPr>
                      <w:color w:val="auto"/>
                    </w:rPr>
                    <w:t>5</w:t>
                  </w:r>
                </w:p>
              </w:tc>
              <w:tc>
                <w:tcPr>
                  <w:tcW w:w="2045" w:type="dxa"/>
                  <w:shd w:val="clear" w:color="auto" w:fill="FFFFFF"/>
                  <w:vAlign w:val="center"/>
                </w:tcPr>
                <w:p>
                  <w:pPr>
                    <w:pStyle w:val="63"/>
                    <w:rPr>
                      <w:color w:val="auto"/>
                    </w:rPr>
                  </w:pPr>
                  <w:r>
                    <w:rPr>
                      <w:color w:val="auto"/>
                    </w:rPr>
                    <w:t>大气压强</w:t>
                  </w:r>
                </w:p>
              </w:tc>
              <w:tc>
                <w:tcPr>
                  <w:tcW w:w="1569" w:type="dxa"/>
                  <w:shd w:val="clear" w:color="auto" w:fill="FFFFFF"/>
                  <w:vAlign w:val="center"/>
                </w:tcPr>
                <w:p>
                  <w:pPr>
                    <w:pStyle w:val="63"/>
                    <w:rPr>
                      <w:color w:val="auto"/>
                    </w:rPr>
                  </w:pPr>
                  <w:r>
                    <w:rPr>
                      <w:color w:val="auto"/>
                    </w:rPr>
                    <w:t>atm</w:t>
                  </w:r>
                </w:p>
              </w:tc>
              <w:tc>
                <w:tcPr>
                  <w:tcW w:w="1568" w:type="dxa"/>
                  <w:shd w:val="clear" w:color="auto" w:fill="FFFFFF"/>
                  <w:vAlign w:val="center"/>
                </w:tcPr>
                <w:p>
                  <w:pPr>
                    <w:pStyle w:val="63"/>
                    <w:rPr>
                      <w:color w:val="auto"/>
                    </w:rPr>
                  </w:pPr>
                  <w:r>
                    <w:rPr>
                      <w:color w:val="auto"/>
                    </w:rPr>
                    <w:t>1</w:t>
                  </w:r>
                </w:p>
              </w:tc>
              <w:tc>
                <w:tcPr>
                  <w:tcW w:w="1568" w:type="dxa"/>
                  <w:shd w:val="clear" w:color="auto" w:fill="FFFFFF"/>
                  <w:vAlign w:val="center"/>
                </w:tcPr>
                <w:p>
                  <w:pPr>
                    <w:pStyle w:val="63"/>
                    <w:rPr>
                      <w:color w:val="auto"/>
                    </w:rPr>
                  </w:pPr>
                </w:p>
              </w:tc>
            </w:tr>
          </w:tbl>
          <w:p>
            <w:pPr>
              <w:ind w:firstLine="480"/>
              <w:rPr>
                <w:color w:val="auto"/>
              </w:rPr>
            </w:pPr>
            <w:r>
              <w:rPr>
                <w:color w:val="auto"/>
              </w:rPr>
              <w:t>声源和预测点间的地形、高差、障碍物、树林、灌木等的分布情况以及地面覆盖情况（如草地、水面、水泥地面、土质地面等）根据现场踏勘、项目</w:t>
            </w:r>
            <w:r>
              <w:rPr>
                <w:rFonts w:hint="eastAsia"/>
                <w:color w:val="auto"/>
                <w:lang w:eastAsia="zh-CN"/>
              </w:rPr>
              <w:t>总平面图</w:t>
            </w:r>
            <w:r>
              <w:rPr>
                <w:color w:val="auto"/>
              </w:rPr>
              <w:t>等，并结合卫星图片地理信息数据确定，数据精度为10m。</w:t>
            </w:r>
          </w:p>
          <w:p>
            <w:pPr>
              <w:pStyle w:val="70"/>
              <w:rPr>
                <w:color w:val="auto"/>
              </w:rPr>
            </w:pPr>
            <w:r>
              <w:rPr>
                <w:rFonts w:hint="eastAsia"/>
                <w:color w:val="auto"/>
              </w:rPr>
              <w:t>4</w:t>
            </w:r>
            <w:r>
              <w:rPr>
                <w:color w:val="auto"/>
              </w:rPr>
              <w:t>.2.3.3预测结果</w:t>
            </w:r>
          </w:p>
          <w:p>
            <w:pPr>
              <w:ind w:firstLine="480"/>
              <w:rPr>
                <w:color w:val="auto"/>
              </w:rPr>
            </w:pPr>
            <w:r>
              <w:rPr>
                <w:color w:val="auto"/>
              </w:rPr>
              <w:t>通过预测模型计算</w:t>
            </w:r>
            <w:r>
              <w:rPr>
                <w:rFonts w:hint="eastAsia"/>
                <w:color w:val="auto"/>
              </w:rPr>
              <w:t>，本项目厂界步长设置为1</w:t>
            </w:r>
            <w:r>
              <w:rPr>
                <w:color w:val="auto"/>
              </w:rPr>
              <w:t>0</w:t>
            </w:r>
            <w:r>
              <w:rPr>
                <w:rFonts w:hint="eastAsia"/>
                <w:color w:val="auto"/>
              </w:rPr>
              <w:t>m，厂界共设置</w:t>
            </w:r>
            <w:r>
              <w:rPr>
                <w:color w:val="auto"/>
              </w:rPr>
              <w:t>75</w:t>
            </w:r>
            <w:r>
              <w:rPr>
                <w:rFonts w:hint="eastAsia"/>
                <w:color w:val="auto"/>
              </w:rPr>
              <w:t>个预测点，根据预测结果，选取厂界预测点预测最大值进行评价</w:t>
            </w:r>
            <w:r>
              <w:rPr>
                <w:color w:val="auto"/>
              </w:rPr>
              <w:t>，</w:t>
            </w:r>
            <w:r>
              <w:rPr>
                <w:rFonts w:hint="eastAsia"/>
                <w:color w:val="auto"/>
              </w:rPr>
              <w:t>通过叠加现有项目2</w:t>
            </w:r>
            <w:r>
              <w:rPr>
                <w:color w:val="auto"/>
              </w:rPr>
              <w:t>024</w:t>
            </w:r>
            <w:r>
              <w:rPr>
                <w:rFonts w:hint="eastAsia"/>
                <w:color w:val="auto"/>
              </w:rPr>
              <w:t>年第一季度厂界噪声监测背景值，运营期</w:t>
            </w:r>
            <w:r>
              <w:rPr>
                <w:color w:val="auto"/>
              </w:rPr>
              <w:t>厂界噪声预测结果与达标分析见表4.2.3-3</w:t>
            </w:r>
            <w:r>
              <w:rPr>
                <w:rFonts w:hint="eastAsia"/>
                <w:color w:val="auto"/>
              </w:rPr>
              <w:t>。</w:t>
            </w:r>
          </w:p>
          <w:p>
            <w:pPr>
              <w:pStyle w:val="66"/>
              <w:rPr>
                <w:color w:val="auto"/>
              </w:rPr>
            </w:pPr>
            <w:r>
              <w:rPr>
                <w:color w:val="auto"/>
              </w:rPr>
              <w:t>表4.2.3-3 厂界昼间</w:t>
            </w:r>
            <w:r>
              <w:rPr>
                <w:rFonts w:hint="eastAsia"/>
                <w:color w:val="auto"/>
              </w:rPr>
              <w:t>、夜间</w:t>
            </w:r>
            <w:r>
              <w:rPr>
                <w:color w:val="auto"/>
              </w:rPr>
              <w:t>预测结果</w:t>
            </w:r>
            <w:r>
              <w:rPr>
                <w:rFonts w:hint="eastAsia"/>
                <w:color w:val="auto"/>
              </w:rPr>
              <w:t>（最大值）</w:t>
            </w:r>
            <w:r>
              <w:rPr>
                <w:color w:val="auto"/>
              </w:rPr>
              <w:t>一览表    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554"/>
              <w:gridCol w:w="554"/>
              <w:gridCol w:w="555"/>
              <w:gridCol w:w="686"/>
              <w:gridCol w:w="979"/>
              <w:gridCol w:w="979"/>
              <w:gridCol w:w="979"/>
              <w:gridCol w:w="979"/>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3" w:type="pct"/>
                  <w:vMerge w:val="restart"/>
                  <w:vAlign w:val="center"/>
                </w:tcPr>
                <w:p>
                  <w:pPr>
                    <w:pStyle w:val="63"/>
                    <w:rPr>
                      <w:color w:val="auto"/>
                    </w:rPr>
                  </w:pPr>
                  <w:r>
                    <w:rPr>
                      <w:color w:val="auto"/>
                    </w:rPr>
                    <w:t>预测方位</w:t>
                  </w:r>
                </w:p>
              </w:tc>
              <w:tc>
                <w:tcPr>
                  <w:tcW w:w="1060" w:type="pct"/>
                  <w:gridSpan w:val="3"/>
                  <w:vAlign w:val="center"/>
                </w:tcPr>
                <w:p>
                  <w:pPr>
                    <w:pStyle w:val="63"/>
                    <w:rPr>
                      <w:color w:val="auto"/>
                    </w:rPr>
                  </w:pPr>
                  <w:r>
                    <w:rPr>
                      <w:rFonts w:hint="eastAsia"/>
                      <w:color w:val="auto"/>
                    </w:rPr>
                    <w:t>最大值点</w:t>
                  </w:r>
                  <w:r>
                    <w:rPr>
                      <w:color w:val="auto"/>
                    </w:rPr>
                    <w:t>空间相对位置/m</w:t>
                  </w:r>
                </w:p>
              </w:tc>
              <w:tc>
                <w:tcPr>
                  <w:tcW w:w="437" w:type="pct"/>
                  <w:vMerge w:val="restart"/>
                  <w:vAlign w:val="center"/>
                </w:tcPr>
                <w:p>
                  <w:pPr>
                    <w:pStyle w:val="63"/>
                    <w:rPr>
                      <w:color w:val="auto"/>
                    </w:rPr>
                  </w:pPr>
                  <w:r>
                    <w:rPr>
                      <w:color w:val="auto"/>
                    </w:rPr>
                    <w:t>时段</w:t>
                  </w:r>
                </w:p>
              </w:tc>
              <w:tc>
                <w:tcPr>
                  <w:tcW w:w="624" w:type="pct"/>
                  <w:vMerge w:val="restart"/>
                  <w:vAlign w:val="center"/>
                </w:tcPr>
                <w:p>
                  <w:pPr>
                    <w:pStyle w:val="63"/>
                    <w:rPr>
                      <w:color w:val="auto"/>
                    </w:rPr>
                  </w:pPr>
                  <w:r>
                    <w:rPr>
                      <w:rFonts w:hint="eastAsia"/>
                      <w:bCs/>
                      <w:color w:val="auto"/>
                    </w:rPr>
                    <w:t>贡献值</w:t>
                  </w:r>
                  <w:r>
                    <w:rPr>
                      <w:color w:val="auto"/>
                    </w:rPr>
                    <w:t>（dB(A)）</w:t>
                  </w:r>
                </w:p>
              </w:tc>
              <w:tc>
                <w:tcPr>
                  <w:tcW w:w="624" w:type="pct"/>
                  <w:vMerge w:val="restart"/>
                  <w:vAlign w:val="center"/>
                </w:tcPr>
                <w:p>
                  <w:pPr>
                    <w:pStyle w:val="63"/>
                    <w:rPr>
                      <w:color w:val="auto"/>
                    </w:rPr>
                  </w:pPr>
                  <w:r>
                    <w:rPr>
                      <w:rFonts w:hint="eastAsia"/>
                      <w:bCs/>
                      <w:color w:val="auto"/>
                    </w:rPr>
                    <w:t>背景值</w:t>
                  </w:r>
                  <w:r>
                    <w:rPr>
                      <w:color w:val="auto"/>
                    </w:rPr>
                    <w:t>（dB(A)）</w:t>
                  </w:r>
                </w:p>
              </w:tc>
              <w:tc>
                <w:tcPr>
                  <w:tcW w:w="624" w:type="pct"/>
                  <w:vMerge w:val="restart"/>
                  <w:vAlign w:val="center"/>
                </w:tcPr>
                <w:p>
                  <w:pPr>
                    <w:pStyle w:val="63"/>
                    <w:rPr>
                      <w:color w:val="auto"/>
                    </w:rPr>
                  </w:pPr>
                  <w:r>
                    <w:rPr>
                      <w:color w:val="auto"/>
                    </w:rPr>
                    <w:t>预测值（dB(A)）</w:t>
                  </w:r>
                </w:p>
              </w:tc>
              <w:tc>
                <w:tcPr>
                  <w:tcW w:w="624" w:type="pct"/>
                  <w:vMerge w:val="restart"/>
                  <w:vAlign w:val="center"/>
                </w:tcPr>
                <w:p>
                  <w:pPr>
                    <w:pStyle w:val="63"/>
                    <w:rPr>
                      <w:color w:val="auto"/>
                    </w:rPr>
                  </w:pPr>
                  <w:r>
                    <w:rPr>
                      <w:color w:val="auto"/>
                    </w:rPr>
                    <w:t>标准限值（dB(A)）</w:t>
                  </w:r>
                </w:p>
              </w:tc>
              <w:tc>
                <w:tcPr>
                  <w:tcW w:w="522" w:type="pct"/>
                  <w:vMerge w:val="restart"/>
                  <w:vAlign w:val="center"/>
                </w:tcPr>
                <w:p>
                  <w:pPr>
                    <w:pStyle w:val="63"/>
                    <w:rPr>
                      <w:color w:val="auto"/>
                    </w:rPr>
                  </w:pPr>
                  <w:r>
                    <w:rPr>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3" w:type="pct"/>
                  <w:vMerge w:val="continue"/>
                  <w:shd w:val="clear" w:color="auto" w:fill="FFFFFF"/>
                  <w:vAlign w:val="center"/>
                </w:tcPr>
                <w:p>
                  <w:pPr>
                    <w:pStyle w:val="63"/>
                    <w:rPr>
                      <w:color w:val="auto"/>
                    </w:rPr>
                  </w:pPr>
                </w:p>
              </w:tc>
              <w:tc>
                <w:tcPr>
                  <w:tcW w:w="353" w:type="pct"/>
                  <w:shd w:val="clear" w:color="auto" w:fill="FFFFFF"/>
                  <w:vAlign w:val="center"/>
                </w:tcPr>
                <w:p>
                  <w:pPr>
                    <w:pStyle w:val="63"/>
                    <w:rPr>
                      <w:color w:val="auto"/>
                    </w:rPr>
                  </w:pPr>
                  <w:r>
                    <w:rPr>
                      <w:color w:val="auto"/>
                    </w:rPr>
                    <w:t>X</w:t>
                  </w:r>
                </w:p>
              </w:tc>
              <w:tc>
                <w:tcPr>
                  <w:tcW w:w="353" w:type="pct"/>
                  <w:shd w:val="clear" w:color="auto" w:fill="FFFFFF"/>
                  <w:vAlign w:val="center"/>
                </w:tcPr>
                <w:p>
                  <w:pPr>
                    <w:pStyle w:val="63"/>
                    <w:rPr>
                      <w:color w:val="auto"/>
                    </w:rPr>
                  </w:pPr>
                  <w:r>
                    <w:rPr>
                      <w:color w:val="auto"/>
                    </w:rPr>
                    <w:t>Y</w:t>
                  </w:r>
                </w:p>
              </w:tc>
              <w:tc>
                <w:tcPr>
                  <w:tcW w:w="354" w:type="pct"/>
                  <w:shd w:val="clear" w:color="auto" w:fill="FFFFFF"/>
                  <w:vAlign w:val="center"/>
                </w:tcPr>
                <w:p>
                  <w:pPr>
                    <w:pStyle w:val="63"/>
                    <w:rPr>
                      <w:color w:val="auto"/>
                    </w:rPr>
                  </w:pPr>
                  <w:r>
                    <w:rPr>
                      <w:color w:val="auto"/>
                    </w:rPr>
                    <w:t>Z</w:t>
                  </w:r>
                </w:p>
              </w:tc>
              <w:tc>
                <w:tcPr>
                  <w:tcW w:w="437" w:type="pct"/>
                  <w:vMerge w:val="continue"/>
                  <w:shd w:val="clear" w:color="auto" w:fill="FFFFFF"/>
                  <w:vAlign w:val="center"/>
                </w:tcPr>
                <w:p>
                  <w:pPr>
                    <w:pStyle w:val="63"/>
                    <w:rPr>
                      <w:color w:val="auto"/>
                    </w:rPr>
                  </w:pPr>
                </w:p>
              </w:tc>
              <w:tc>
                <w:tcPr>
                  <w:tcW w:w="624" w:type="pct"/>
                  <w:vMerge w:val="continue"/>
                  <w:shd w:val="clear" w:color="auto" w:fill="FFFFFF"/>
                  <w:vAlign w:val="center"/>
                </w:tcPr>
                <w:p>
                  <w:pPr>
                    <w:pStyle w:val="63"/>
                    <w:rPr>
                      <w:color w:val="auto"/>
                    </w:rPr>
                  </w:pPr>
                </w:p>
              </w:tc>
              <w:tc>
                <w:tcPr>
                  <w:tcW w:w="624" w:type="pct"/>
                  <w:vMerge w:val="continue"/>
                  <w:shd w:val="clear" w:color="auto" w:fill="FFFFFF"/>
                  <w:vAlign w:val="center"/>
                </w:tcPr>
                <w:p>
                  <w:pPr>
                    <w:pStyle w:val="63"/>
                    <w:rPr>
                      <w:color w:val="auto"/>
                    </w:rPr>
                  </w:pPr>
                </w:p>
              </w:tc>
              <w:tc>
                <w:tcPr>
                  <w:tcW w:w="624" w:type="pct"/>
                  <w:vMerge w:val="continue"/>
                  <w:shd w:val="clear" w:color="auto" w:fill="FFFFFF"/>
                  <w:vAlign w:val="center"/>
                </w:tcPr>
                <w:p>
                  <w:pPr>
                    <w:pStyle w:val="63"/>
                    <w:rPr>
                      <w:color w:val="auto"/>
                    </w:rPr>
                  </w:pPr>
                </w:p>
              </w:tc>
              <w:tc>
                <w:tcPr>
                  <w:tcW w:w="624" w:type="pct"/>
                  <w:vMerge w:val="continue"/>
                  <w:shd w:val="clear" w:color="auto" w:fill="FFFFFF"/>
                  <w:vAlign w:val="center"/>
                </w:tcPr>
                <w:p>
                  <w:pPr>
                    <w:pStyle w:val="63"/>
                    <w:rPr>
                      <w:color w:val="auto"/>
                    </w:rPr>
                  </w:pPr>
                </w:p>
              </w:tc>
              <w:tc>
                <w:tcPr>
                  <w:tcW w:w="522" w:type="pct"/>
                  <w:vMerge w:val="continue"/>
                  <w:shd w:val="clear" w:color="auto" w:fill="FFFFFF"/>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70" w:hRule="atLeast"/>
                <w:jc w:val="center"/>
              </w:trPr>
              <w:tc>
                <w:tcPr>
                  <w:tcW w:w="483" w:type="pct"/>
                  <w:vMerge w:val="restart"/>
                  <w:shd w:val="clear" w:color="auto" w:fill="FFFFFF"/>
                  <w:vAlign w:val="center"/>
                </w:tcPr>
                <w:p>
                  <w:pPr>
                    <w:pStyle w:val="63"/>
                    <w:rPr>
                      <w:color w:val="auto"/>
                    </w:rPr>
                  </w:pPr>
                  <w:r>
                    <w:rPr>
                      <w:rFonts w:hint="eastAsia"/>
                      <w:color w:val="auto"/>
                      <w:lang w:eastAsia="zh-CN"/>
                    </w:rPr>
                    <w:t>厂界最大值</w:t>
                  </w:r>
                </w:p>
              </w:tc>
              <w:tc>
                <w:tcPr>
                  <w:tcW w:w="353" w:type="pct"/>
                  <w:shd w:val="clear" w:color="auto" w:fill="FFFFFF"/>
                  <w:vAlign w:val="center"/>
                </w:tcPr>
                <w:p>
                  <w:pPr>
                    <w:pStyle w:val="63"/>
                    <w:rPr>
                      <w:color w:val="auto"/>
                    </w:rPr>
                  </w:pPr>
                  <w:r>
                    <w:rPr>
                      <w:color w:val="auto"/>
                    </w:rPr>
                    <w:t>-143.5</w:t>
                  </w:r>
                </w:p>
              </w:tc>
              <w:tc>
                <w:tcPr>
                  <w:tcW w:w="353" w:type="pct"/>
                  <w:shd w:val="clear" w:color="auto" w:fill="FFFFFF"/>
                  <w:vAlign w:val="center"/>
                </w:tcPr>
                <w:p>
                  <w:pPr>
                    <w:pStyle w:val="63"/>
                    <w:rPr>
                      <w:color w:val="auto"/>
                    </w:rPr>
                  </w:pPr>
                  <w:r>
                    <w:rPr>
                      <w:color w:val="auto"/>
                    </w:rPr>
                    <w:t>-390.6</w:t>
                  </w:r>
                </w:p>
              </w:tc>
              <w:tc>
                <w:tcPr>
                  <w:tcW w:w="354" w:type="pct"/>
                  <w:shd w:val="clear" w:color="auto" w:fill="FFFFFF"/>
                  <w:vAlign w:val="center"/>
                </w:tcPr>
                <w:p>
                  <w:pPr>
                    <w:pStyle w:val="63"/>
                    <w:rPr>
                      <w:color w:val="auto"/>
                    </w:rPr>
                  </w:pPr>
                  <w:r>
                    <w:rPr>
                      <w:color w:val="auto"/>
                    </w:rPr>
                    <w:t>1.2</w:t>
                  </w:r>
                </w:p>
              </w:tc>
              <w:tc>
                <w:tcPr>
                  <w:tcW w:w="437" w:type="pct"/>
                  <w:shd w:val="clear" w:color="auto" w:fill="FFFFFF"/>
                  <w:vAlign w:val="center"/>
                </w:tcPr>
                <w:p>
                  <w:pPr>
                    <w:pStyle w:val="63"/>
                    <w:rPr>
                      <w:color w:val="auto"/>
                    </w:rPr>
                  </w:pPr>
                  <w:r>
                    <w:rPr>
                      <w:color w:val="auto"/>
                    </w:rPr>
                    <w:t>昼间</w:t>
                  </w:r>
                </w:p>
              </w:tc>
              <w:tc>
                <w:tcPr>
                  <w:tcW w:w="624" w:type="pct"/>
                  <w:shd w:val="clear" w:color="auto" w:fill="FFFFFF"/>
                  <w:vAlign w:val="center"/>
                </w:tcPr>
                <w:p>
                  <w:pPr>
                    <w:pStyle w:val="63"/>
                    <w:rPr>
                      <w:color w:val="auto"/>
                    </w:rPr>
                  </w:pPr>
                  <w:r>
                    <w:rPr>
                      <w:color w:val="auto"/>
                    </w:rPr>
                    <w:t>40.9</w:t>
                  </w:r>
                </w:p>
              </w:tc>
              <w:tc>
                <w:tcPr>
                  <w:tcW w:w="624" w:type="pct"/>
                  <w:shd w:val="clear" w:color="auto" w:fill="FFFFFF"/>
                  <w:vAlign w:val="center"/>
                </w:tcPr>
                <w:p>
                  <w:pPr>
                    <w:pStyle w:val="63"/>
                    <w:rPr>
                      <w:color w:val="auto"/>
                    </w:rPr>
                  </w:pPr>
                  <w:r>
                    <w:rPr>
                      <w:color w:val="auto"/>
                    </w:rPr>
                    <w:t>57.7</w:t>
                  </w:r>
                </w:p>
              </w:tc>
              <w:tc>
                <w:tcPr>
                  <w:tcW w:w="624" w:type="pct"/>
                  <w:shd w:val="clear" w:color="auto" w:fill="FFFFFF"/>
                  <w:vAlign w:val="center"/>
                </w:tcPr>
                <w:p>
                  <w:pPr>
                    <w:pStyle w:val="63"/>
                    <w:rPr>
                      <w:color w:val="auto"/>
                    </w:rPr>
                  </w:pPr>
                  <w:r>
                    <w:rPr>
                      <w:color w:val="auto"/>
                    </w:rPr>
                    <w:t>57.8</w:t>
                  </w:r>
                </w:p>
              </w:tc>
              <w:tc>
                <w:tcPr>
                  <w:tcW w:w="624" w:type="pct"/>
                  <w:shd w:val="clear" w:color="auto" w:fill="FFFFFF"/>
                  <w:vAlign w:val="center"/>
                </w:tcPr>
                <w:p>
                  <w:pPr>
                    <w:pStyle w:val="63"/>
                    <w:rPr>
                      <w:color w:val="auto"/>
                    </w:rPr>
                  </w:pPr>
                  <w:r>
                    <w:rPr>
                      <w:color w:val="auto"/>
                    </w:rPr>
                    <w:t>65</w:t>
                  </w:r>
                </w:p>
              </w:tc>
              <w:tc>
                <w:tcPr>
                  <w:tcW w:w="522" w:type="pct"/>
                  <w:shd w:val="clear" w:color="auto" w:fill="FFFFFF"/>
                  <w:vAlign w:val="center"/>
                </w:tcPr>
                <w:p>
                  <w:pPr>
                    <w:pStyle w:val="63"/>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70" w:hRule="atLeast"/>
                <w:jc w:val="center"/>
              </w:trPr>
              <w:tc>
                <w:tcPr>
                  <w:tcW w:w="483" w:type="pct"/>
                  <w:vMerge w:val="continue"/>
                  <w:shd w:val="clear" w:color="auto" w:fill="FFFFFF"/>
                  <w:vAlign w:val="center"/>
                </w:tcPr>
                <w:p>
                  <w:pPr>
                    <w:pStyle w:val="63"/>
                    <w:rPr>
                      <w:color w:val="auto"/>
                    </w:rPr>
                  </w:pPr>
                </w:p>
              </w:tc>
              <w:tc>
                <w:tcPr>
                  <w:tcW w:w="353" w:type="pct"/>
                  <w:shd w:val="clear" w:color="auto" w:fill="FFFFFF"/>
                  <w:vAlign w:val="center"/>
                </w:tcPr>
                <w:p>
                  <w:pPr>
                    <w:pStyle w:val="63"/>
                    <w:rPr>
                      <w:color w:val="auto"/>
                    </w:rPr>
                  </w:pPr>
                  <w:r>
                    <w:rPr>
                      <w:color w:val="auto"/>
                    </w:rPr>
                    <w:t>-143.5</w:t>
                  </w:r>
                </w:p>
              </w:tc>
              <w:tc>
                <w:tcPr>
                  <w:tcW w:w="353" w:type="pct"/>
                  <w:shd w:val="clear" w:color="auto" w:fill="FFFFFF"/>
                  <w:vAlign w:val="center"/>
                </w:tcPr>
                <w:p>
                  <w:pPr>
                    <w:pStyle w:val="63"/>
                    <w:rPr>
                      <w:color w:val="auto"/>
                    </w:rPr>
                  </w:pPr>
                  <w:r>
                    <w:rPr>
                      <w:color w:val="auto"/>
                    </w:rPr>
                    <w:t>-390.6</w:t>
                  </w:r>
                </w:p>
              </w:tc>
              <w:tc>
                <w:tcPr>
                  <w:tcW w:w="354" w:type="pct"/>
                  <w:shd w:val="clear" w:color="auto" w:fill="FFFFFF"/>
                  <w:vAlign w:val="center"/>
                </w:tcPr>
                <w:p>
                  <w:pPr>
                    <w:pStyle w:val="63"/>
                    <w:rPr>
                      <w:color w:val="auto"/>
                    </w:rPr>
                  </w:pPr>
                  <w:r>
                    <w:rPr>
                      <w:color w:val="auto"/>
                    </w:rPr>
                    <w:t>1.2</w:t>
                  </w:r>
                </w:p>
              </w:tc>
              <w:tc>
                <w:tcPr>
                  <w:tcW w:w="437" w:type="pct"/>
                  <w:shd w:val="clear" w:color="auto" w:fill="FFFFFF"/>
                  <w:vAlign w:val="center"/>
                </w:tcPr>
                <w:p>
                  <w:pPr>
                    <w:pStyle w:val="63"/>
                    <w:rPr>
                      <w:color w:val="auto"/>
                    </w:rPr>
                  </w:pPr>
                  <w:r>
                    <w:rPr>
                      <w:color w:val="auto"/>
                    </w:rPr>
                    <w:t>夜间</w:t>
                  </w:r>
                </w:p>
              </w:tc>
              <w:tc>
                <w:tcPr>
                  <w:tcW w:w="624" w:type="pct"/>
                  <w:shd w:val="clear" w:color="auto" w:fill="FFFFFF"/>
                  <w:vAlign w:val="center"/>
                </w:tcPr>
                <w:p>
                  <w:pPr>
                    <w:pStyle w:val="63"/>
                    <w:rPr>
                      <w:color w:val="auto"/>
                    </w:rPr>
                  </w:pPr>
                  <w:r>
                    <w:rPr>
                      <w:color w:val="auto"/>
                    </w:rPr>
                    <w:t>40.9</w:t>
                  </w:r>
                </w:p>
              </w:tc>
              <w:tc>
                <w:tcPr>
                  <w:tcW w:w="624" w:type="pct"/>
                  <w:shd w:val="clear" w:color="auto" w:fill="FFFFFF"/>
                  <w:vAlign w:val="center"/>
                </w:tcPr>
                <w:p>
                  <w:pPr>
                    <w:pStyle w:val="63"/>
                    <w:rPr>
                      <w:color w:val="auto"/>
                    </w:rPr>
                  </w:pPr>
                  <w:r>
                    <w:rPr>
                      <w:color w:val="auto"/>
                    </w:rPr>
                    <w:t>47.7</w:t>
                  </w:r>
                </w:p>
              </w:tc>
              <w:tc>
                <w:tcPr>
                  <w:tcW w:w="624" w:type="pct"/>
                  <w:shd w:val="clear" w:color="auto" w:fill="FFFFFF"/>
                  <w:vAlign w:val="center"/>
                </w:tcPr>
                <w:p>
                  <w:pPr>
                    <w:pStyle w:val="63"/>
                    <w:rPr>
                      <w:color w:val="auto"/>
                    </w:rPr>
                  </w:pPr>
                  <w:r>
                    <w:rPr>
                      <w:color w:val="auto"/>
                    </w:rPr>
                    <w:t>48.5</w:t>
                  </w:r>
                </w:p>
              </w:tc>
              <w:tc>
                <w:tcPr>
                  <w:tcW w:w="624" w:type="pct"/>
                  <w:shd w:val="clear" w:color="auto" w:fill="FFFFFF"/>
                  <w:vAlign w:val="center"/>
                </w:tcPr>
                <w:p>
                  <w:pPr>
                    <w:pStyle w:val="63"/>
                    <w:rPr>
                      <w:color w:val="auto"/>
                    </w:rPr>
                  </w:pPr>
                  <w:r>
                    <w:rPr>
                      <w:color w:val="auto"/>
                    </w:rPr>
                    <w:t>55</w:t>
                  </w:r>
                </w:p>
              </w:tc>
              <w:tc>
                <w:tcPr>
                  <w:tcW w:w="522" w:type="pct"/>
                  <w:shd w:val="clear" w:color="auto" w:fill="FFFFFF"/>
                  <w:vAlign w:val="center"/>
                </w:tcPr>
                <w:p>
                  <w:pPr>
                    <w:pStyle w:val="63"/>
                    <w:rPr>
                      <w:color w:val="auto"/>
                    </w:rPr>
                  </w:pPr>
                  <w:r>
                    <w:rPr>
                      <w:color w:val="auto"/>
                    </w:rPr>
                    <w:t>达标</w:t>
                  </w:r>
                </w:p>
              </w:tc>
            </w:tr>
          </w:tbl>
          <w:p>
            <w:pPr>
              <w:ind w:firstLine="480"/>
              <w:rPr>
                <w:color w:val="auto"/>
              </w:rPr>
            </w:pPr>
            <w:r>
              <w:rPr>
                <w:rFonts w:hint="eastAsia"/>
                <w:color w:val="auto"/>
              </w:rPr>
              <w:t>由计算结果可知，经叠加现状背景值后，本项目运营期东、南、西、北厂界昼间、夜间噪声贡献值最大值可以满足《工业企业厂界环境噪声排放标准》（G12348-2008）中</w:t>
            </w:r>
            <w:r>
              <w:rPr>
                <w:color w:val="auto"/>
              </w:rPr>
              <w:t>3</w:t>
            </w:r>
            <w:r>
              <w:rPr>
                <w:rFonts w:hint="eastAsia"/>
                <w:color w:val="auto"/>
              </w:rPr>
              <w:t>类标准的限值要求。可见，本项目噪声可达标排放，对外环境影响较小，对周围环境影响较小。</w:t>
            </w:r>
          </w:p>
          <w:p>
            <w:pPr>
              <w:pStyle w:val="63"/>
              <w:rPr>
                <w:color w:val="auto"/>
              </w:rPr>
            </w:pPr>
            <w:r>
              <w:rPr>
                <w:color w:val="auto"/>
                <w:lang w:val="en-US" w:eastAsia="zh-CN"/>
              </w:rPr>
              <w:drawing>
                <wp:inline distT="0" distB="0" distL="0" distR="0">
                  <wp:extent cx="4653915" cy="35788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660406" cy="3583806"/>
                          </a:xfrm>
                          <a:prstGeom prst="rect">
                            <a:avLst/>
                          </a:prstGeom>
                        </pic:spPr>
                      </pic:pic>
                    </a:graphicData>
                  </a:graphic>
                </wp:inline>
              </w:drawing>
            </w:r>
          </w:p>
          <w:p>
            <w:pPr>
              <w:pStyle w:val="66"/>
              <w:rPr>
                <w:color w:val="auto"/>
              </w:rPr>
            </w:pPr>
            <w:r>
              <w:rPr>
                <w:rFonts w:hint="eastAsia"/>
                <w:color w:val="auto"/>
              </w:rPr>
              <w:t>图4</w:t>
            </w:r>
            <w:r>
              <w:rPr>
                <w:color w:val="auto"/>
              </w:rPr>
              <w:t xml:space="preserve">.2.3-1 </w:t>
            </w:r>
            <w:r>
              <w:rPr>
                <w:rFonts w:hint="eastAsia"/>
                <w:color w:val="auto"/>
              </w:rPr>
              <w:t>昼间等声级线图</w:t>
            </w:r>
          </w:p>
          <w:p>
            <w:pPr>
              <w:pStyle w:val="66"/>
              <w:rPr>
                <w:color w:val="auto"/>
              </w:rPr>
            </w:pPr>
            <w:r>
              <w:rPr>
                <w:color w:val="auto"/>
              </w:rPr>
              <w:drawing>
                <wp:inline distT="0" distB="0" distL="0" distR="0">
                  <wp:extent cx="4672330" cy="35775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4685347" cy="3587756"/>
                          </a:xfrm>
                          <a:prstGeom prst="rect">
                            <a:avLst/>
                          </a:prstGeom>
                        </pic:spPr>
                      </pic:pic>
                    </a:graphicData>
                  </a:graphic>
                </wp:inline>
              </w:drawing>
            </w:r>
          </w:p>
          <w:p>
            <w:pPr>
              <w:pStyle w:val="66"/>
              <w:rPr>
                <w:color w:val="auto"/>
              </w:rPr>
            </w:pPr>
            <w:r>
              <w:rPr>
                <w:rFonts w:hint="eastAsia"/>
                <w:color w:val="auto"/>
              </w:rPr>
              <w:t>图4</w:t>
            </w:r>
            <w:r>
              <w:rPr>
                <w:color w:val="auto"/>
              </w:rPr>
              <w:t xml:space="preserve">.2.3-2 </w:t>
            </w:r>
            <w:r>
              <w:rPr>
                <w:rFonts w:hint="eastAsia"/>
                <w:color w:val="auto"/>
              </w:rPr>
              <w:t>夜间等声级线图</w:t>
            </w:r>
          </w:p>
          <w:p>
            <w:pPr>
              <w:ind w:firstLine="480"/>
              <w:rPr>
                <w:rFonts w:eastAsiaTheme="minorEastAsia"/>
                <w:color w:val="auto"/>
              </w:rPr>
            </w:pPr>
            <w:r>
              <w:rPr>
                <w:rFonts w:hint="eastAsia"/>
                <w:color w:val="auto"/>
              </w:rPr>
              <w:t>为了确保厂界声环境质量达标，建设单位对现有项目已经采取了以下措施：</w:t>
            </w:r>
          </w:p>
          <w:p>
            <w:pPr>
              <w:ind w:firstLine="482"/>
              <w:rPr>
                <w:color w:val="auto"/>
              </w:rPr>
            </w:pPr>
            <w:r>
              <w:rPr>
                <w:b/>
                <w:bCs/>
                <w:color w:val="auto"/>
              </w:rPr>
              <w:t>声源降噪：</w:t>
            </w:r>
            <w:r>
              <w:rPr>
                <w:color w:val="auto"/>
              </w:rPr>
              <w:t>选用先进的低噪声设备，各产噪设备均进行减振处理</w:t>
            </w:r>
            <w:r>
              <w:rPr>
                <w:rFonts w:hint="eastAsia"/>
                <w:color w:val="auto"/>
              </w:rPr>
              <w:t>。</w:t>
            </w:r>
          </w:p>
          <w:p>
            <w:pPr>
              <w:ind w:firstLine="482"/>
              <w:rPr>
                <w:color w:val="auto"/>
              </w:rPr>
            </w:pPr>
            <w:r>
              <w:rPr>
                <w:rFonts w:hint="eastAsia"/>
                <w:b/>
                <w:bCs/>
                <w:color w:val="auto"/>
              </w:rPr>
              <w:t>传播降噪：</w:t>
            </w:r>
            <w:r>
              <w:rPr>
                <w:color w:val="auto"/>
              </w:rPr>
              <w:t>产噪设备安装在室内，有效利用噪声距离衰减作用</w:t>
            </w:r>
            <w:r>
              <w:rPr>
                <w:rFonts w:hint="eastAsia"/>
                <w:color w:val="auto"/>
              </w:rPr>
              <w:t>。</w:t>
            </w:r>
          </w:p>
          <w:p>
            <w:pPr>
              <w:ind w:firstLine="482"/>
              <w:rPr>
                <w:color w:val="auto"/>
              </w:rPr>
            </w:pPr>
            <w:r>
              <w:rPr>
                <w:b/>
                <w:bCs/>
                <w:color w:val="auto"/>
              </w:rPr>
              <w:t>车间隔声：</w:t>
            </w:r>
            <w:r>
              <w:rPr>
                <w:color w:val="auto"/>
              </w:rPr>
              <w:t>对声源设备所在车间安装隔声门窗，进行车间隔声</w:t>
            </w:r>
            <w:r>
              <w:rPr>
                <w:rFonts w:hint="eastAsia"/>
                <w:color w:val="auto"/>
              </w:rPr>
              <w:t>。</w:t>
            </w:r>
          </w:p>
          <w:p>
            <w:pPr>
              <w:pStyle w:val="70"/>
              <w:rPr>
                <w:color w:val="auto"/>
              </w:rPr>
            </w:pPr>
            <w:r>
              <w:rPr>
                <w:rFonts w:hint="eastAsia"/>
                <w:color w:val="auto"/>
              </w:rPr>
              <w:t>4.2.3.</w:t>
            </w:r>
            <w:r>
              <w:rPr>
                <w:color w:val="auto"/>
              </w:rPr>
              <w:t>4</w:t>
            </w:r>
            <w:r>
              <w:rPr>
                <w:rFonts w:hint="eastAsia"/>
                <w:color w:val="auto"/>
              </w:rPr>
              <w:t>噪声监测要求</w:t>
            </w:r>
          </w:p>
          <w:p>
            <w:pPr>
              <w:ind w:firstLine="480"/>
              <w:rPr>
                <w:color w:val="auto"/>
              </w:rPr>
            </w:pPr>
            <w:r>
              <w:rPr>
                <w:rFonts w:hint="eastAsia"/>
                <w:color w:val="auto"/>
              </w:rPr>
              <w:t>师宗县沃莱迪金属材料有限公司排污许可证（排污许可证编号</w:t>
            </w:r>
            <w:r>
              <w:rPr>
                <w:color w:val="auto"/>
              </w:rPr>
              <w:t>91530323MA6N0YP27F001R</w:t>
            </w:r>
            <w:r>
              <w:rPr>
                <w:rFonts w:hint="eastAsia"/>
                <w:color w:val="auto"/>
              </w:rPr>
              <w:t>）已经制定了现有项目厂界噪声自行监测计划，本项目运营后按照排污许可证自行监测计划要求，不改变已制定的监测点位，按季度对厂界噪声开展自行监测，监测计划见下表。</w:t>
            </w:r>
          </w:p>
          <w:p>
            <w:pPr>
              <w:pStyle w:val="66"/>
              <w:rPr>
                <w:color w:val="auto"/>
              </w:rPr>
            </w:pPr>
            <w:r>
              <w:rPr>
                <w:rFonts w:hint="eastAsia"/>
                <w:color w:val="auto"/>
              </w:rPr>
              <w:t>表4</w:t>
            </w:r>
            <w:r>
              <w:rPr>
                <w:color w:val="auto"/>
              </w:rPr>
              <w:t xml:space="preserve">.2.3.4-1 </w:t>
            </w:r>
            <w:r>
              <w:rPr>
                <w:rFonts w:hint="eastAsia"/>
                <w:color w:val="auto"/>
              </w:rPr>
              <w:t>运营期噪声监测计划一览表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621"/>
              <w:gridCol w:w="775"/>
              <w:gridCol w:w="975"/>
              <w:gridCol w:w="1349"/>
              <w:gridCol w:w="1551"/>
              <w:gridCol w:w="257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396" w:type="pct"/>
                  <w:tcBorders>
                    <w:tl2br w:val="nil"/>
                    <w:tr2bl w:val="nil"/>
                  </w:tcBorders>
                  <w:vAlign w:val="center"/>
                </w:tcPr>
                <w:p>
                  <w:pPr>
                    <w:pStyle w:val="63"/>
                    <w:rPr>
                      <w:color w:val="auto"/>
                    </w:rPr>
                  </w:pPr>
                  <w:r>
                    <w:rPr>
                      <w:color w:val="auto"/>
                    </w:rPr>
                    <w:t>监测点位</w:t>
                  </w:r>
                </w:p>
              </w:tc>
              <w:tc>
                <w:tcPr>
                  <w:tcW w:w="494" w:type="pct"/>
                  <w:tcBorders>
                    <w:tl2br w:val="nil"/>
                    <w:tr2bl w:val="nil"/>
                  </w:tcBorders>
                  <w:vAlign w:val="center"/>
                </w:tcPr>
                <w:p>
                  <w:pPr>
                    <w:pStyle w:val="63"/>
                    <w:rPr>
                      <w:color w:val="auto"/>
                    </w:rPr>
                  </w:pPr>
                  <w:r>
                    <w:rPr>
                      <w:color w:val="auto"/>
                    </w:rPr>
                    <w:t>污染源</w:t>
                  </w:r>
                </w:p>
              </w:tc>
              <w:tc>
                <w:tcPr>
                  <w:tcW w:w="622" w:type="pct"/>
                  <w:tcBorders>
                    <w:tl2br w:val="nil"/>
                    <w:tr2bl w:val="nil"/>
                  </w:tcBorders>
                  <w:vAlign w:val="center"/>
                </w:tcPr>
                <w:p>
                  <w:pPr>
                    <w:pStyle w:val="63"/>
                    <w:rPr>
                      <w:color w:val="auto"/>
                    </w:rPr>
                  </w:pPr>
                  <w:r>
                    <w:rPr>
                      <w:color w:val="auto"/>
                    </w:rPr>
                    <w:t>监测因子</w:t>
                  </w:r>
                </w:p>
              </w:tc>
              <w:tc>
                <w:tcPr>
                  <w:tcW w:w="860" w:type="pct"/>
                  <w:tcBorders>
                    <w:tl2br w:val="nil"/>
                    <w:tr2bl w:val="nil"/>
                  </w:tcBorders>
                  <w:vAlign w:val="center"/>
                </w:tcPr>
                <w:p>
                  <w:pPr>
                    <w:pStyle w:val="63"/>
                    <w:rPr>
                      <w:color w:val="auto"/>
                    </w:rPr>
                  </w:pPr>
                  <w:r>
                    <w:rPr>
                      <w:color w:val="auto"/>
                    </w:rPr>
                    <w:t>监测频率</w:t>
                  </w:r>
                </w:p>
              </w:tc>
              <w:tc>
                <w:tcPr>
                  <w:tcW w:w="989" w:type="pct"/>
                  <w:tcBorders>
                    <w:tl2br w:val="nil"/>
                    <w:tr2bl w:val="nil"/>
                  </w:tcBorders>
                  <w:vAlign w:val="center"/>
                </w:tcPr>
                <w:p>
                  <w:pPr>
                    <w:pStyle w:val="63"/>
                    <w:rPr>
                      <w:color w:val="auto"/>
                    </w:rPr>
                  </w:pPr>
                  <w:r>
                    <w:rPr>
                      <w:color w:val="auto"/>
                    </w:rPr>
                    <w:t>类型</w:t>
                  </w:r>
                </w:p>
              </w:tc>
              <w:tc>
                <w:tcPr>
                  <w:tcW w:w="1639" w:type="pct"/>
                  <w:tcBorders>
                    <w:tl2br w:val="nil"/>
                    <w:tr2bl w:val="nil"/>
                  </w:tcBorders>
                  <w:vAlign w:val="center"/>
                </w:tcPr>
                <w:p>
                  <w:pPr>
                    <w:pStyle w:val="63"/>
                    <w:rPr>
                      <w:color w:val="auto"/>
                    </w:rPr>
                  </w:pPr>
                  <w:r>
                    <w:rPr>
                      <w:rFonts w:hint="eastAsia"/>
                      <w:color w:val="auto"/>
                    </w:rPr>
                    <w:t>执行标准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890" w:type="pct"/>
                  <w:gridSpan w:val="2"/>
                  <w:tcBorders>
                    <w:tl2br w:val="nil"/>
                    <w:tr2bl w:val="nil"/>
                  </w:tcBorders>
                  <w:vAlign w:val="center"/>
                </w:tcPr>
                <w:p>
                  <w:pPr>
                    <w:pStyle w:val="63"/>
                    <w:rPr>
                      <w:color w:val="auto"/>
                    </w:rPr>
                  </w:pPr>
                  <w:r>
                    <w:rPr>
                      <w:rFonts w:hint="eastAsia"/>
                      <w:color w:val="auto"/>
                      <w:lang w:eastAsia="zh-CN"/>
                    </w:rPr>
                    <w:t>厂界</w:t>
                  </w:r>
                </w:p>
              </w:tc>
              <w:tc>
                <w:tcPr>
                  <w:tcW w:w="622" w:type="pct"/>
                  <w:tcBorders>
                    <w:tl2br w:val="nil"/>
                    <w:tr2bl w:val="nil"/>
                  </w:tcBorders>
                  <w:vAlign w:val="center"/>
                </w:tcPr>
                <w:p>
                  <w:pPr>
                    <w:pStyle w:val="63"/>
                    <w:rPr>
                      <w:color w:val="auto"/>
                    </w:rPr>
                  </w:pPr>
                  <w:r>
                    <w:rPr>
                      <w:rFonts w:hint="eastAsia"/>
                      <w:color w:val="auto"/>
                      <w:kern w:val="2"/>
                    </w:rPr>
                    <w:t>昼间</w:t>
                  </w:r>
                  <w:r>
                    <w:rPr>
                      <w:rFonts w:hint="eastAsia"/>
                      <w:color w:val="auto"/>
                      <w:kern w:val="2"/>
                      <w:lang w:eastAsia="zh-CN"/>
                    </w:rPr>
                    <w:t>、夜间</w:t>
                  </w:r>
                  <w:r>
                    <w:rPr>
                      <w:rFonts w:hint="eastAsia"/>
                      <w:color w:val="auto"/>
                      <w:kern w:val="2"/>
                      <w:lang w:val="en-US"/>
                    </w:rPr>
                    <w:t>等效A声级、最大声级</w:t>
                  </w:r>
                </w:p>
              </w:tc>
              <w:tc>
                <w:tcPr>
                  <w:tcW w:w="860" w:type="pct"/>
                  <w:tcBorders>
                    <w:tl2br w:val="nil"/>
                    <w:tr2bl w:val="nil"/>
                  </w:tcBorders>
                  <w:vAlign w:val="center"/>
                </w:tcPr>
                <w:p>
                  <w:pPr>
                    <w:pStyle w:val="63"/>
                    <w:rPr>
                      <w:color w:val="auto"/>
                    </w:rPr>
                  </w:pPr>
                  <w:r>
                    <w:rPr>
                      <w:rFonts w:hint="eastAsia"/>
                      <w:color w:val="auto"/>
                      <w:lang w:eastAsia="zh-CN"/>
                    </w:rPr>
                    <w:t>1次/</w:t>
                  </w:r>
                  <w:r>
                    <w:rPr>
                      <w:rFonts w:hint="eastAsia"/>
                      <w:color w:val="auto"/>
                    </w:rPr>
                    <w:t>季度</w:t>
                  </w:r>
                </w:p>
              </w:tc>
              <w:tc>
                <w:tcPr>
                  <w:tcW w:w="989" w:type="pct"/>
                  <w:tcBorders>
                    <w:tl2br w:val="nil"/>
                    <w:tr2bl w:val="nil"/>
                  </w:tcBorders>
                  <w:vAlign w:val="center"/>
                </w:tcPr>
                <w:p>
                  <w:pPr>
                    <w:pStyle w:val="63"/>
                    <w:rPr>
                      <w:color w:val="auto"/>
                    </w:rPr>
                  </w:pPr>
                  <w:r>
                    <w:rPr>
                      <w:color w:val="auto"/>
                    </w:rPr>
                    <w:sym w:font="Wingdings 2" w:char="00A3"/>
                  </w:r>
                  <w:r>
                    <w:rPr>
                      <w:color w:val="auto"/>
                    </w:rPr>
                    <w:t>自动</w:t>
                  </w:r>
                  <w:r>
                    <w:rPr>
                      <w:color w:val="auto"/>
                    </w:rPr>
                    <w:sym w:font="Wingdings 2" w:char="0052"/>
                  </w:r>
                  <w:r>
                    <w:rPr>
                      <w:color w:val="auto"/>
                    </w:rPr>
                    <w:t>手工</w:t>
                  </w:r>
                </w:p>
              </w:tc>
              <w:tc>
                <w:tcPr>
                  <w:tcW w:w="1639" w:type="pct"/>
                  <w:tcBorders>
                    <w:tl2br w:val="nil"/>
                    <w:tr2bl w:val="nil"/>
                  </w:tcBorders>
                  <w:vAlign w:val="center"/>
                </w:tcPr>
                <w:p>
                  <w:pPr>
                    <w:pStyle w:val="63"/>
                    <w:rPr>
                      <w:bCs/>
                      <w:color w:val="auto"/>
                      <w:lang w:val="en-US"/>
                    </w:rPr>
                  </w:pPr>
                  <w:r>
                    <w:rPr>
                      <w:rFonts w:hint="eastAsia"/>
                      <w:color w:val="auto"/>
                      <w:lang w:eastAsia="zh-CN"/>
                    </w:rPr>
                    <w:t>《工业企业厂界</w:t>
                  </w:r>
                  <w:r>
                    <w:rPr>
                      <w:color w:val="auto"/>
                    </w:rPr>
                    <w:t>环境噪声排放标准》</w:t>
                  </w:r>
                  <w:r>
                    <w:rPr>
                      <w:rFonts w:hint="eastAsia"/>
                      <w:color w:val="auto"/>
                    </w:rPr>
                    <w:t>（</w:t>
                  </w:r>
                  <w:r>
                    <w:rPr>
                      <w:color w:val="auto"/>
                    </w:rPr>
                    <w:t>GB12348-2008</w:t>
                  </w:r>
                  <w:r>
                    <w:rPr>
                      <w:rFonts w:hint="eastAsia"/>
                      <w:color w:val="auto"/>
                    </w:rPr>
                    <w:t>）</w:t>
                  </w:r>
                  <w:r>
                    <w:rPr>
                      <w:color w:val="auto"/>
                      <w:lang w:eastAsia="zh-CN"/>
                    </w:rPr>
                    <w:t>3</w:t>
                  </w:r>
                  <w:r>
                    <w:rPr>
                      <w:rFonts w:hint="eastAsia"/>
                      <w:color w:val="auto"/>
                    </w:rPr>
                    <w:t>类</w:t>
                  </w:r>
                </w:p>
              </w:tc>
            </w:tr>
          </w:tbl>
          <w:p>
            <w:pPr>
              <w:pStyle w:val="63"/>
              <w:rPr>
                <w:color w:val="auto"/>
              </w:rPr>
            </w:pPr>
          </w:p>
          <w:p>
            <w:pPr>
              <w:pStyle w:val="56"/>
              <w:spacing w:before="60" w:after="60"/>
              <w:rPr>
                <w:color w:val="auto"/>
              </w:rPr>
            </w:pPr>
            <w:r>
              <w:rPr>
                <w:rFonts w:hint="eastAsia"/>
                <w:color w:val="auto"/>
              </w:rPr>
              <w:t>4.2.4固废环境影响和保护措施</w:t>
            </w:r>
          </w:p>
          <w:p>
            <w:pPr>
              <w:ind w:firstLine="480"/>
              <w:rPr>
                <w:color w:val="auto"/>
              </w:rPr>
            </w:pPr>
            <w:r>
              <w:rPr>
                <w:rFonts w:hint="eastAsia"/>
                <w:color w:val="auto"/>
              </w:rPr>
              <w:t>本次技改项目将焦炉煤气改为天然气，仅对燃烧系统进行技改，不涉及对年产3</w:t>
            </w:r>
            <w:r>
              <w:rPr>
                <w:color w:val="auto"/>
              </w:rPr>
              <w:t>0</w:t>
            </w:r>
            <w:r>
              <w:rPr>
                <w:rFonts w:hint="eastAsia"/>
                <w:color w:val="auto"/>
              </w:rPr>
              <w:t>万吨热退火酸洗生产线建设项目其他工序技改，运营期不新增劳动定员，因此本次技改项目运营后不会新增生活垃圾，本次技改项目运营期无其他一般固废产生。</w:t>
            </w:r>
          </w:p>
          <w:p>
            <w:pPr>
              <w:ind w:firstLine="480"/>
              <w:rPr>
                <w:color w:val="auto"/>
              </w:rPr>
            </w:pPr>
            <w:r>
              <w:rPr>
                <w:rFonts w:hint="eastAsia"/>
                <w:color w:val="auto"/>
              </w:rPr>
              <w:t>现有项目产生的固体废物主要为废钢及边角料、氧化铁皮、湿式除尘污泥、收尘灰、酸性废水处理污泥、废矿物油。根据《年产3</w:t>
            </w:r>
            <w:r>
              <w:rPr>
                <w:color w:val="auto"/>
              </w:rPr>
              <w:t>0</w:t>
            </w:r>
            <w:r>
              <w:rPr>
                <w:rFonts w:hint="eastAsia"/>
                <w:color w:val="auto"/>
              </w:rPr>
              <w:t>万吨热退火酸洗生产线建设项目竣工环境保护验收监测报告表》及其验收意见，结合现有项目实际情况，对现有项目一般工业固废、危险废物等产生、处置情况进行简单分析。</w:t>
            </w:r>
          </w:p>
          <w:p>
            <w:pPr>
              <w:ind w:firstLine="480"/>
              <w:rPr>
                <w:color w:val="auto"/>
              </w:rPr>
            </w:pPr>
            <w:r>
              <w:rPr>
                <w:rFonts w:hint="eastAsia"/>
                <w:color w:val="auto"/>
              </w:rPr>
              <w:t>现有项目废钢及边角料经集中收集后返回云南天高镍业有限公司炼钢工段，湿式除尘污泥排入就近的平流沉淀池经压滤干化处理后返回云南天高镍业有限公司炼钢工段，氧化铁皮、除尘灰收集后返回云南天高镍业有限公司炼钢工段，酸性废水处理污泥经浓缩、压滤后收集于污泥暂存间（25m</w:t>
            </w:r>
            <w:r>
              <w:rPr>
                <w:rFonts w:hint="eastAsia"/>
                <w:color w:val="auto"/>
                <w:vertAlign w:val="superscript"/>
              </w:rPr>
              <w:t>2</w:t>
            </w:r>
            <w:r>
              <w:rPr>
                <w:rFonts w:hint="eastAsia"/>
                <w:color w:val="auto"/>
              </w:rPr>
              <w:t>）内，待一定量后转运到现有项目危废暂存间（850m</w:t>
            </w:r>
            <w:r>
              <w:rPr>
                <w:rFonts w:hint="eastAsia"/>
                <w:color w:val="auto"/>
                <w:vertAlign w:val="superscript"/>
              </w:rPr>
              <w:t>2</w:t>
            </w:r>
            <w:r>
              <w:rPr>
                <w:rFonts w:hint="eastAsia"/>
                <w:color w:val="auto"/>
              </w:rPr>
              <w:t>），委托汉源金炉科技有限公司定期清运处置，废矿物油用专门的储油桶收集，暂存于云南天高镍业有限公司废机油危废暂存间（400m</w:t>
            </w:r>
            <w:r>
              <w:rPr>
                <w:rFonts w:hint="eastAsia"/>
                <w:color w:val="auto"/>
                <w:vertAlign w:val="superscript"/>
              </w:rPr>
              <w:t>2</w:t>
            </w:r>
            <w:r>
              <w:rPr>
                <w:rFonts w:hint="eastAsia"/>
                <w:color w:val="auto"/>
              </w:rPr>
              <w:t>），委托云南新昊环保科技有限公司处置。</w:t>
            </w:r>
          </w:p>
          <w:p>
            <w:pPr>
              <w:ind w:firstLine="480"/>
              <w:rPr>
                <w:color w:val="auto"/>
              </w:rPr>
            </w:pPr>
            <w:r>
              <w:rPr>
                <w:rFonts w:hint="eastAsia"/>
                <w:color w:val="auto"/>
              </w:rPr>
              <w:t>根据《年产3</w:t>
            </w:r>
            <w:r>
              <w:rPr>
                <w:color w:val="auto"/>
              </w:rPr>
              <w:t>0</w:t>
            </w:r>
            <w:r>
              <w:rPr>
                <w:rFonts w:hint="eastAsia"/>
                <w:color w:val="auto"/>
              </w:rPr>
              <w:t>万吨热退火酸洗生产线建设项目竣工环境保护验收监测报告表》及其验收意见，以及现场实际调查情况，现有</w:t>
            </w:r>
            <w:r>
              <w:rPr>
                <w:color w:val="auto"/>
              </w:rPr>
              <w:t>项目</w:t>
            </w:r>
            <w:r>
              <w:rPr>
                <w:rFonts w:hint="eastAsia"/>
                <w:color w:val="auto"/>
              </w:rPr>
              <w:t>产生的</w:t>
            </w:r>
            <w:r>
              <w:rPr>
                <w:color w:val="auto"/>
              </w:rPr>
              <w:t>一般固废</w:t>
            </w:r>
            <w:r>
              <w:rPr>
                <w:rFonts w:hint="eastAsia"/>
                <w:color w:val="auto"/>
              </w:rPr>
              <w:t>暂存场所满足</w:t>
            </w:r>
            <w:r>
              <w:rPr>
                <w:color w:val="auto"/>
              </w:rPr>
              <w:t>《一般工业固体废物贮存</w:t>
            </w:r>
            <w:r>
              <w:rPr>
                <w:rFonts w:hint="eastAsia"/>
                <w:color w:val="auto"/>
              </w:rPr>
              <w:t>和填埋</w:t>
            </w:r>
            <w:r>
              <w:rPr>
                <w:color w:val="auto"/>
              </w:rPr>
              <w:t>污染控制标准》（GB18599-2</w:t>
            </w:r>
            <w:r>
              <w:rPr>
                <w:rFonts w:hint="eastAsia"/>
                <w:color w:val="auto"/>
              </w:rPr>
              <w:t>020</w:t>
            </w:r>
            <w:r>
              <w:rPr>
                <w:color w:val="auto"/>
              </w:rPr>
              <w:t>）</w:t>
            </w:r>
            <w:r>
              <w:rPr>
                <w:rFonts w:hint="eastAsia"/>
                <w:color w:val="auto"/>
              </w:rPr>
              <w:t>要求，危废暂存间满足《危险废物贮存污染控制标准》（</w:t>
            </w:r>
            <w:r>
              <w:rPr>
                <w:color w:val="auto"/>
              </w:rPr>
              <w:t>GB18597-2023</w:t>
            </w:r>
            <w:r>
              <w:rPr>
                <w:rFonts w:hint="eastAsia"/>
                <w:color w:val="auto"/>
              </w:rPr>
              <w:t>）</w:t>
            </w:r>
            <w:r>
              <w:rPr>
                <w:color w:val="auto"/>
              </w:rPr>
              <w:t>要求，</w:t>
            </w:r>
            <w:r>
              <w:rPr>
                <w:rFonts w:hint="eastAsia"/>
                <w:color w:val="auto"/>
              </w:rPr>
              <w:t>盛装容器按照《危险废物识别标志设置技术规范》（</w:t>
            </w:r>
            <w:r>
              <w:rPr>
                <w:color w:val="auto"/>
              </w:rPr>
              <w:t>HJ1276-2022</w:t>
            </w:r>
            <w:r>
              <w:rPr>
                <w:rFonts w:hint="eastAsia"/>
                <w:color w:val="auto"/>
              </w:rPr>
              <w:t>）粘贴标识标牌，危险废物处置均委托有资质单位进行。</w:t>
            </w:r>
          </w:p>
          <w:p>
            <w:pPr>
              <w:ind w:firstLine="480"/>
              <w:rPr>
                <w:color w:val="auto"/>
                <w:lang w:bidi="en-US"/>
              </w:rPr>
            </w:pPr>
            <w:r>
              <w:rPr>
                <w:rFonts w:hint="eastAsia"/>
                <w:color w:val="auto"/>
                <w:lang w:bidi="en-US"/>
              </w:rPr>
              <w:t>综上，本次技改项目运营后，仍按照现有项目固体废物收集、暂存、处置管理制度进行，</w:t>
            </w:r>
            <w:r>
              <w:rPr>
                <w:color w:val="auto"/>
                <w:lang w:bidi="en-US"/>
              </w:rPr>
              <w:t>将可使固体废物收集、贮存对环境的影响减少至最低限度。</w:t>
            </w:r>
          </w:p>
          <w:p>
            <w:pPr>
              <w:pStyle w:val="56"/>
              <w:spacing w:before="60" w:after="60"/>
              <w:rPr>
                <w:color w:val="auto"/>
              </w:rPr>
            </w:pPr>
            <w:r>
              <w:rPr>
                <w:rFonts w:hint="eastAsia"/>
                <w:color w:val="auto"/>
              </w:rPr>
              <w:t>4.2.5地下水、土壤环境影响和保护措施</w:t>
            </w:r>
          </w:p>
          <w:p>
            <w:pPr>
              <w:ind w:firstLine="480"/>
              <w:rPr>
                <w:color w:val="auto"/>
              </w:rPr>
            </w:pPr>
            <w:r>
              <w:rPr>
                <w:rFonts w:hint="eastAsia"/>
                <w:color w:val="auto"/>
              </w:rPr>
              <w:t>本次技改项目对</w:t>
            </w:r>
            <w:r>
              <w:rPr>
                <w:rFonts w:hint="eastAsia"/>
                <w:bCs/>
                <w:color w:val="auto"/>
              </w:rPr>
              <w:t>年产30万吨热退火酸洗生产线</w:t>
            </w:r>
            <w:r>
              <w:rPr>
                <w:rFonts w:hint="eastAsia"/>
                <w:color w:val="auto"/>
              </w:rPr>
              <w:t>焦炉煤气管线进行拆除，从现有热轧生产线预留天然气阀门新建1</w:t>
            </w:r>
            <w:r>
              <w:rPr>
                <w:color w:val="auto"/>
              </w:rPr>
              <w:t>54</w:t>
            </w:r>
            <w:r>
              <w:rPr>
                <w:rFonts w:hint="eastAsia"/>
                <w:color w:val="auto"/>
              </w:rPr>
              <w:t>m</w:t>
            </w:r>
            <w:r>
              <w:rPr>
                <w:color w:val="auto"/>
              </w:rPr>
              <w:t xml:space="preserve"> DN100</w:t>
            </w:r>
            <w:r>
              <w:rPr>
                <w:rFonts w:hint="eastAsia"/>
                <w:color w:val="auto"/>
              </w:rPr>
              <w:t>天然气管线接入退火炉。天然气管线均采用架空敷设进入热退火炉。</w:t>
            </w:r>
          </w:p>
          <w:p>
            <w:pPr>
              <w:ind w:firstLine="480"/>
              <w:rPr>
                <w:color w:val="auto"/>
              </w:rPr>
            </w:pPr>
            <w:r>
              <w:rPr>
                <w:rFonts w:hint="eastAsia"/>
                <w:color w:val="auto"/>
              </w:rPr>
              <w:t>造成地下水、土壤环境影响的主要途径是渗漏、垂直入渗等，由于本项目使用的天然气采用密闭管线输送，正常情况下不会出现泄漏，在事故状态下，天然气发生泄漏，天然气是一种易燃易爆气体，比空气轻，如发生泄漏能迅速四处扩散进入大气环境，不会对地下水、土壤环境造成影响，因此本次环评不</w:t>
            </w:r>
            <w:r>
              <w:rPr>
                <w:rFonts w:hint="eastAsia"/>
                <w:color w:val="auto"/>
                <w:lang w:eastAsia="zh-CN"/>
              </w:rPr>
              <w:t>再</w:t>
            </w:r>
            <w:r>
              <w:rPr>
                <w:rFonts w:hint="eastAsia"/>
                <w:color w:val="auto"/>
              </w:rPr>
              <w:t>分析对地下水、土壤环境的影响。</w:t>
            </w:r>
          </w:p>
          <w:p>
            <w:pPr>
              <w:pStyle w:val="56"/>
              <w:spacing w:before="60" w:after="60"/>
              <w:rPr>
                <w:color w:val="auto"/>
              </w:rPr>
            </w:pPr>
            <w:r>
              <w:rPr>
                <w:rFonts w:hint="eastAsia"/>
                <w:color w:val="auto"/>
              </w:rPr>
              <w:t>4.2.</w:t>
            </w:r>
            <w:r>
              <w:rPr>
                <w:color w:val="auto"/>
              </w:rPr>
              <w:t>6</w:t>
            </w:r>
            <w:r>
              <w:rPr>
                <w:rFonts w:hint="eastAsia"/>
                <w:color w:val="auto"/>
              </w:rPr>
              <w:t>环境风险影响分析</w:t>
            </w:r>
          </w:p>
          <w:p>
            <w:pPr>
              <w:pStyle w:val="70"/>
              <w:rPr>
                <w:color w:val="auto"/>
              </w:rPr>
            </w:pPr>
            <w:r>
              <w:rPr>
                <w:rFonts w:hint="eastAsia"/>
                <w:color w:val="auto"/>
              </w:rPr>
              <w:t>4.2.</w:t>
            </w:r>
            <w:r>
              <w:rPr>
                <w:color w:val="auto"/>
              </w:rPr>
              <w:t>6</w:t>
            </w:r>
            <w:r>
              <w:rPr>
                <w:rFonts w:hint="eastAsia"/>
                <w:color w:val="auto"/>
              </w:rPr>
              <w:t>.1</w:t>
            </w:r>
            <w:r>
              <w:rPr>
                <w:color w:val="auto"/>
              </w:rPr>
              <w:t>风险源调查</w:t>
            </w:r>
          </w:p>
          <w:p>
            <w:pPr>
              <w:ind w:firstLine="480"/>
              <w:rPr>
                <w:color w:val="auto"/>
              </w:rPr>
            </w:pPr>
            <w:r>
              <w:rPr>
                <w:color w:val="auto"/>
              </w:rPr>
              <w:t>根据《建设项目环境风险评价技术导则》（HJ169-2018）附录B进行辨识，本项目生产过程中所涉及的</w:t>
            </w:r>
            <w:r>
              <w:rPr>
                <w:rFonts w:hint="eastAsia"/>
                <w:color w:val="auto"/>
              </w:rPr>
              <w:t>风险源</w:t>
            </w:r>
            <w:r>
              <w:rPr>
                <w:color w:val="auto"/>
              </w:rPr>
              <w:t>主要包括：</w:t>
            </w:r>
          </w:p>
          <w:p>
            <w:pPr>
              <w:ind w:firstLine="480"/>
              <w:rPr>
                <w:color w:val="auto"/>
              </w:rPr>
            </w:pPr>
            <w:r>
              <w:rPr>
                <w:rFonts w:hint="eastAsia"/>
                <w:color w:val="auto"/>
              </w:rPr>
              <w:t>新建燃气管线中的天然气。</w:t>
            </w:r>
          </w:p>
          <w:p>
            <w:pPr>
              <w:pStyle w:val="70"/>
              <w:rPr>
                <w:color w:val="auto"/>
              </w:rPr>
            </w:pPr>
            <w:r>
              <w:rPr>
                <w:rFonts w:hint="eastAsia"/>
                <w:color w:val="auto"/>
              </w:rPr>
              <w:t>4.2.</w:t>
            </w:r>
            <w:r>
              <w:rPr>
                <w:color w:val="auto"/>
              </w:rPr>
              <w:t>6</w:t>
            </w:r>
            <w:r>
              <w:rPr>
                <w:rFonts w:hint="eastAsia"/>
                <w:color w:val="auto"/>
              </w:rPr>
              <w:t>.2</w:t>
            </w:r>
            <w:r>
              <w:rPr>
                <w:color w:val="auto"/>
              </w:rPr>
              <w:t>环境风险物质</w:t>
            </w:r>
          </w:p>
          <w:p>
            <w:pPr>
              <w:pStyle w:val="80"/>
              <w:ind w:firstLine="482"/>
              <w:rPr>
                <w:color w:val="auto"/>
              </w:rPr>
            </w:pPr>
            <w:r>
              <w:rPr>
                <w:rFonts w:hint="eastAsia"/>
                <w:color w:val="auto"/>
              </w:rPr>
              <w:t>1</w:t>
            </w:r>
            <w:r>
              <w:rPr>
                <w:color w:val="auto"/>
              </w:rPr>
              <w:t>.</w:t>
            </w:r>
            <w:r>
              <w:rPr>
                <w:rFonts w:hint="eastAsia"/>
                <w:color w:val="auto"/>
              </w:rPr>
              <w:t>环境风险源辨识</w:t>
            </w:r>
          </w:p>
          <w:p>
            <w:pPr>
              <w:ind w:firstLine="480"/>
              <w:rPr>
                <w:color w:val="auto"/>
              </w:rPr>
            </w:pPr>
            <w:r>
              <w:rPr>
                <w:color w:val="auto"/>
              </w:rPr>
              <w:t>根据企业提供原材料情况，对照《危险化学品目录（2015）版》、《建设项目环境风险评价技术导则》（HJ169-2018）附录B，项目所</w:t>
            </w:r>
            <w:r>
              <w:rPr>
                <w:rFonts w:hint="eastAsia"/>
                <w:color w:val="auto"/>
                <w:lang w:eastAsia="zh-CN"/>
              </w:rPr>
              <w:t>涉及</w:t>
            </w:r>
            <w:r>
              <w:rPr>
                <w:color w:val="auto"/>
              </w:rPr>
              <w:t>的环境风险的物质为</w:t>
            </w:r>
            <w:r>
              <w:rPr>
                <w:rFonts w:hint="eastAsia"/>
                <w:color w:val="auto"/>
              </w:rPr>
              <w:t>天然气。</w:t>
            </w:r>
          </w:p>
          <w:p>
            <w:pPr>
              <w:ind w:firstLine="480"/>
              <w:rPr>
                <w:color w:val="auto"/>
              </w:rPr>
            </w:pPr>
            <w:r>
              <w:rPr>
                <w:bCs/>
                <w:color w:val="auto"/>
              </w:rPr>
              <w:t>根据《建设项目环境风险评价技术导则》</w:t>
            </w:r>
            <w:r>
              <w:rPr>
                <w:rFonts w:hint="eastAsia"/>
                <w:bCs/>
                <w:color w:val="auto"/>
              </w:rPr>
              <w:t>（</w:t>
            </w:r>
            <w:r>
              <w:rPr>
                <w:bCs/>
                <w:color w:val="auto"/>
              </w:rPr>
              <w:t>HJ</w:t>
            </w:r>
            <w:r>
              <w:rPr>
                <w:rFonts w:hint="eastAsia"/>
                <w:bCs/>
                <w:color w:val="auto"/>
              </w:rPr>
              <w:t xml:space="preserve"> </w:t>
            </w:r>
            <w:r>
              <w:rPr>
                <w:bCs/>
                <w:color w:val="auto"/>
              </w:rPr>
              <w:t>169-2018</w:t>
            </w:r>
            <w:r>
              <w:rPr>
                <w:rFonts w:hint="eastAsia"/>
                <w:bCs/>
                <w:color w:val="auto"/>
              </w:rPr>
              <w:t>）</w:t>
            </w:r>
            <w:r>
              <w:rPr>
                <w:bCs/>
                <w:color w:val="auto"/>
              </w:rPr>
              <w:t>附录</w:t>
            </w:r>
            <w:r>
              <w:rPr>
                <w:rFonts w:hint="eastAsia"/>
                <w:bCs/>
                <w:color w:val="auto"/>
              </w:rPr>
              <w:t>C</w:t>
            </w:r>
            <w:r>
              <w:rPr>
                <w:bCs/>
                <w:color w:val="auto"/>
              </w:rPr>
              <w:t>，</w:t>
            </w:r>
            <w:r>
              <w:rPr>
                <w:rFonts w:hint="eastAsia"/>
                <w:color w:val="auto"/>
              </w:rPr>
              <w:t>单元内存在的危险物质为单一品种，则该物质的数量即为单元内危险物质的总量，若等于或超过相应的临界量，则定为重大危险源。</w:t>
            </w:r>
          </w:p>
          <w:p>
            <w:pPr>
              <w:ind w:firstLine="480"/>
              <w:rPr>
                <w:color w:val="auto"/>
              </w:rPr>
            </w:pPr>
            <w:r>
              <w:rPr>
                <w:rFonts w:hint="eastAsia"/>
                <w:color w:val="auto"/>
              </w:rPr>
              <w:t>单元存在的危险物质为多品种时按下式计算，若满足下式，则定为重大危险源。</w:t>
            </w:r>
          </w:p>
          <w:p>
            <w:pPr>
              <w:ind w:firstLine="480"/>
              <w:jc w:val="center"/>
              <w:rPr>
                <w:color w:val="auto"/>
              </w:rPr>
            </w:pPr>
            <w:r>
              <w:rPr>
                <w:rFonts w:hint="eastAsia"/>
                <w:color w:val="auto"/>
              </w:rPr>
              <w:t>q1/Q1+q2/Q2+q3/Q3+</w:t>
            </w:r>
            <w:r>
              <w:rPr>
                <w:rFonts w:hint="eastAsia"/>
                <w:color w:val="auto"/>
                <w:lang w:eastAsia="zh-CN"/>
              </w:rPr>
              <w:t>……</w:t>
            </w:r>
            <w:r>
              <w:rPr>
                <w:rFonts w:hint="eastAsia"/>
                <w:color w:val="auto"/>
              </w:rPr>
              <w:t>+qn/Qn≥1</w:t>
            </w:r>
          </w:p>
          <w:p>
            <w:pPr>
              <w:ind w:firstLine="480"/>
              <w:rPr>
                <w:color w:val="auto"/>
              </w:rPr>
            </w:pPr>
            <w:r>
              <w:rPr>
                <w:rFonts w:hint="eastAsia"/>
                <w:color w:val="auto"/>
              </w:rPr>
              <w:t>式中，</w:t>
            </w:r>
          </w:p>
          <w:p>
            <w:pPr>
              <w:ind w:firstLine="480"/>
              <w:rPr>
                <w:color w:val="auto"/>
              </w:rPr>
            </w:pPr>
            <w:r>
              <w:rPr>
                <w:rFonts w:hint="eastAsia"/>
                <w:color w:val="auto"/>
              </w:rPr>
              <w:t>q1，q2，q3.</w:t>
            </w:r>
            <w:r>
              <w:rPr>
                <w:color w:val="auto"/>
              </w:rPr>
              <w:t>.....</w:t>
            </w:r>
            <w:r>
              <w:rPr>
                <w:rFonts w:hint="eastAsia"/>
                <w:color w:val="auto"/>
              </w:rPr>
              <w:t>，qn：每种危险物质实际存在量，t；</w:t>
            </w:r>
          </w:p>
          <w:p>
            <w:pPr>
              <w:ind w:firstLine="480"/>
              <w:rPr>
                <w:color w:val="auto"/>
              </w:rPr>
            </w:pPr>
            <w:r>
              <w:rPr>
                <w:rFonts w:hint="eastAsia"/>
                <w:color w:val="auto"/>
              </w:rPr>
              <w:t>Q1，Q2，Q3.</w:t>
            </w:r>
            <w:r>
              <w:rPr>
                <w:color w:val="auto"/>
              </w:rPr>
              <w:t>.....</w:t>
            </w:r>
            <w:r>
              <w:rPr>
                <w:rFonts w:hint="eastAsia"/>
                <w:color w:val="auto"/>
              </w:rPr>
              <w:t>，Qn：与各危险物质对应的生产场所或贮存区的临界量，t。</w:t>
            </w:r>
          </w:p>
          <w:p>
            <w:pPr>
              <w:ind w:firstLine="480"/>
              <w:rPr>
                <w:color w:val="auto"/>
              </w:rPr>
            </w:pPr>
            <w:r>
              <w:rPr>
                <w:rFonts w:hint="eastAsia"/>
                <w:color w:val="auto"/>
              </w:rPr>
              <w:t>根据前文分析，本项目新建1</w:t>
            </w:r>
            <w:r>
              <w:rPr>
                <w:color w:val="auto"/>
              </w:rPr>
              <w:t>54</w:t>
            </w:r>
            <w:r>
              <w:rPr>
                <w:rFonts w:hint="eastAsia"/>
                <w:color w:val="auto"/>
              </w:rPr>
              <w:t>m</w:t>
            </w:r>
            <w:r>
              <w:rPr>
                <w:color w:val="auto"/>
              </w:rPr>
              <w:t xml:space="preserve"> DN100</w:t>
            </w:r>
            <w:r>
              <w:rPr>
                <w:rFonts w:hint="eastAsia"/>
                <w:color w:val="auto"/>
              </w:rPr>
              <w:t>天然气管线，考虑天然气管线内存在的气体属于危险物质，且本项目新增天然气管道与现有管道联通，暂存量应考虑现有项目，现有天然气管线约4</w:t>
            </w:r>
            <w:r>
              <w:rPr>
                <w:color w:val="auto"/>
              </w:rPr>
              <w:t>80</w:t>
            </w:r>
            <w:r>
              <w:rPr>
                <w:rFonts w:hint="eastAsia"/>
                <w:color w:val="auto"/>
              </w:rPr>
              <w:t>m，合计6</w:t>
            </w:r>
            <w:r>
              <w:rPr>
                <w:color w:val="auto"/>
              </w:rPr>
              <w:t>34</w:t>
            </w:r>
            <w:r>
              <w:rPr>
                <w:rFonts w:hint="eastAsia"/>
                <w:color w:val="auto"/>
              </w:rPr>
              <w:t>m。按照管道天然气密度</w:t>
            </w:r>
            <w:r>
              <w:rPr>
                <w:color w:val="auto"/>
              </w:rPr>
              <w:t>77.72kg/m</w:t>
            </w:r>
            <w:r>
              <w:rPr>
                <w:color w:val="auto"/>
                <w:vertAlign w:val="superscript"/>
              </w:rPr>
              <w:t>3</w:t>
            </w:r>
            <w:r>
              <w:rPr>
                <w:color w:val="auto"/>
              </w:rPr>
              <w:t>，</w:t>
            </w:r>
            <w:r>
              <w:rPr>
                <w:rFonts w:hint="eastAsia"/>
                <w:color w:val="auto"/>
              </w:rPr>
              <w:t>经计算，本项目天然气最大暂存量为0</w:t>
            </w:r>
            <w:r>
              <w:rPr>
                <w:color w:val="auto"/>
              </w:rPr>
              <w:t>.298</w:t>
            </w:r>
            <w:r>
              <w:rPr>
                <w:rFonts w:hint="eastAsia"/>
                <w:color w:val="auto"/>
              </w:rPr>
              <w:t>t</w:t>
            </w:r>
            <w:r>
              <w:rPr>
                <w:color w:val="auto"/>
              </w:rPr>
              <w:t>。</w:t>
            </w:r>
          </w:p>
          <w:p>
            <w:pPr>
              <w:ind w:firstLine="480"/>
              <w:rPr>
                <w:color w:val="auto"/>
              </w:rPr>
            </w:pPr>
            <w:r>
              <w:rPr>
                <w:rFonts w:hint="eastAsia"/>
                <w:color w:val="auto"/>
              </w:rPr>
              <w:t>年产1</w:t>
            </w:r>
            <w:r>
              <w:rPr>
                <w:color w:val="auto"/>
              </w:rPr>
              <w:t>40</w:t>
            </w:r>
            <w:r>
              <w:rPr>
                <w:rFonts w:hint="eastAsia"/>
                <w:color w:val="auto"/>
              </w:rPr>
              <w:t>万吨热轧生产线建设项目设置的天然气站及天然气管线等风险已经在年产1</w:t>
            </w:r>
            <w:r>
              <w:rPr>
                <w:color w:val="auto"/>
              </w:rPr>
              <w:t>40</w:t>
            </w:r>
            <w:r>
              <w:rPr>
                <w:rFonts w:hint="eastAsia"/>
                <w:color w:val="auto"/>
              </w:rPr>
              <w:t>万吨热轧生产线建设项目环评中论证分析，根据该环评环境风险评价结论，天然气站设置了泄漏报警装置，采取现有各项环境风险防范措施后天然气站的环境风险是可控的。本项目酸洗工序涉及的各酸液等风险物质已在原项目环评中论证分析，本次风险影响评价不考虑厂区现有的环境风险物质，仅对本次改造工程内容进行分析。</w:t>
            </w:r>
          </w:p>
          <w:p>
            <w:pPr>
              <w:pStyle w:val="66"/>
              <w:rPr>
                <w:color w:val="auto"/>
              </w:rPr>
            </w:pPr>
            <w:r>
              <w:rPr>
                <w:rFonts w:hint="eastAsia"/>
                <w:color w:val="auto"/>
              </w:rPr>
              <w:t>表</w:t>
            </w:r>
            <w:r>
              <w:rPr>
                <w:color w:val="auto"/>
              </w:rPr>
              <w:t>4.2.6-1</w:t>
            </w:r>
            <w:r>
              <w:rPr>
                <w:rFonts w:hint="eastAsia"/>
                <w:color w:val="auto"/>
              </w:rPr>
              <w:t xml:space="preserve"> 项目Q值计算一览表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367"/>
              <w:gridCol w:w="2130"/>
              <w:gridCol w:w="1208"/>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shd w:val="clear" w:color="auto" w:fill="auto"/>
                  <w:vAlign w:val="center"/>
                </w:tcPr>
                <w:p>
                  <w:pPr>
                    <w:pStyle w:val="63"/>
                    <w:rPr>
                      <w:color w:val="auto"/>
                    </w:rPr>
                  </w:pPr>
                  <w:r>
                    <w:rPr>
                      <w:rFonts w:hint="eastAsia"/>
                      <w:color w:val="auto"/>
                    </w:rPr>
                    <w:t>项目</w:t>
                  </w:r>
                </w:p>
              </w:tc>
              <w:tc>
                <w:tcPr>
                  <w:tcW w:w="872" w:type="pct"/>
                  <w:shd w:val="clear" w:color="auto" w:fill="auto"/>
                  <w:vAlign w:val="center"/>
                </w:tcPr>
                <w:p>
                  <w:pPr>
                    <w:pStyle w:val="63"/>
                    <w:rPr>
                      <w:color w:val="auto"/>
                    </w:rPr>
                  </w:pPr>
                  <w:r>
                    <w:rPr>
                      <w:color w:val="auto"/>
                    </w:rPr>
                    <w:t>临界量</w:t>
                  </w:r>
                </w:p>
              </w:tc>
              <w:tc>
                <w:tcPr>
                  <w:tcW w:w="1358" w:type="pct"/>
                  <w:shd w:val="clear" w:color="auto" w:fill="auto"/>
                  <w:vAlign w:val="center"/>
                </w:tcPr>
                <w:p>
                  <w:pPr>
                    <w:pStyle w:val="63"/>
                    <w:rPr>
                      <w:color w:val="auto"/>
                    </w:rPr>
                  </w:pPr>
                  <w:r>
                    <w:rPr>
                      <w:rFonts w:hint="eastAsia"/>
                      <w:color w:val="auto"/>
                    </w:rPr>
                    <w:t>本项目最大储存量</w:t>
                  </w:r>
                </w:p>
              </w:tc>
              <w:tc>
                <w:tcPr>
                  <w:tcW w:w="770" w:type="pct"/>
                  <w:shd w:val="clear" w:color="auto" w:fill="auto"/>
                  <w:vAlign w:val="center"/>
                </w:tcPr>
                <w:p>
                  <w:pPr>
                    <w:pStyle w:val="63"/>
                    <w:rPr>
                      <w:color w:val="auto"/>
                    </w:rPr>
                  </w:pPr>
                  <w:r>
                    <w:rPr>
                      <w:rFonts w:hint="eastAsia"/>
                      <w:color w:val="auto"/>
                    </w:rPr>
                    <w:t>Q值</w:t>
                  </w:r>
                </w:p>
              </w:tc>
              <w:tc>
                <w:tcPr>
                  <w:tcW w:w="999" w:type="pct"/>
                  <w:shd w:val="clear" w:color="auto" w:fill="auto"/>
                  <w:vAlign w:val="center"/>
                </w:tcPr>
                <w:p>
                  <w:pPr>
                    <w:pStyle w:val="63"/>
                    <w:rPr>
                      <w:color w:val="auto"/>
                    </w:rPr>
                  </w:pPr>
                  <w:r>
                    <w:rPr>
                      <w:rFonts w:hint="eastAsia"/>
                      <w:color w:val="auto"/>
                    </w:rPr>
                    <w:t>CAS号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shd w:val="clear" w:color="auto" w:fill="auto"/>
                  <w:vAlign w:val="center"/>
                </w:tcPr>
                <w:p>
                  <w:pPr>
                    <w:pStyle w:val="63"/>
                    <w:rPr>
                      <w:color w:val="auto"/>
                    </w:rPr>
                  </w:pPr>
                  <w:r>
                    <w:rPr>
                      <w:rFonts w:hint="eastAsia"/>
                      <w:color w:val="auto"/>
                    </w:rPr>
                    <w:t>天然气</w:t>
                  </w:r>
                </w:p>
              </w:tc>
              <w:tc>
                <w:tcPr>
                  <w:tcW w:w="872" w:type="pct"/>
                  <w:shd w:val="clear" w:color="auto" w:fill="auto"/>
                  <w:vAlign w:val="center"/>
                </w:tcPr>
                <w:p>
                  <w:pPr>
                    <w:pStyle w:val="63"/>
                    <w:rPr>
                      <w:color w:val="auto"/>
                    </w:rPr>
                  </w:pPr>
                  <w:r>
                    <w:rPr>
                      <w:color w:val="auto"/>
                    </w:rPr>
                    <w:t>50</w:t>
                  </w:r>
                  <w:r>
                    <w:rPr>
                      <w:rFonts w:hint="eastAsia"/>
                      <w:color w:val="auto"/>
                    </w:rPr>
                    <w:t>t</w:t>
                  </w:r>
                </w:p>
              </w:tc>
              <w:tc>
                <w:tcPr>
                  <w:tcW w:w="1358" w:type="pct"/>
                  <w:shd w:val="clear" w:color="auto" w:fill="auto"/>
                  <w:vAlign w:val="center"/>
                </w:tcPr>
                <w:p>
                  <w:pPr>
                    <w:pStyle w:val="63"/>
                    <w:rPr>
                      <w:color w:val="auto"/>
                    </w:rPr>
                  </w:pPr>
                  <w:r>
                    <w:rPr>
                      <w:color w:val="auto"/>
                    </w:rPr>
                    <w:t>0.298</w:t>
                  </w:r>
                  <w:r>
                    <w:rPr>
                      <w:rFonts w:hint="eastAsia"/>
                      <w:color w:val="auto"/>
                    </w:rPr>
                    <w:t>t</w:t>
                  </w:r>
                </w:p>
              </w:tc>
              <w:tc>
                <w:tcPr>
                  <w:tcW w:w="770" w:type="pct"/>
                  <w:shd w:val="clear" w:color="auto" w:fill="auto"/>
                  <w:vAlign w:val="center"/>
                </w:tcPr>
                <w:p>
                  <w:pPr>
                    <w:pStyle w:val="63"/>
                    <w:rPr>
                      <w:color w:val="auto"/>
                    </w:rPr>
                  </w:pPr>
                  <w:r>
                    <w:rPr>
                      <w:color w:val="auto"/>
                    </w:rPr>
                    <w:t>0.00596</w:t>
                  </w:r>
                </w:p>
              </w:tc>
              <w:tc>
                <w:tcPr>
                  <w:tcW w:w="999" w:type="pct"/>
                  <w:shd w:val="clear" w:color="auto" w:fill="auto"/>
                  <w:vAlign w:val="center"/>
                </w:tcPr>
                <w:p>
                  <w:pPr>
                    <w:pStyle w:val="63"/>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0" w:type="pct"/>
                  <w:gridSpan w:val="3"/>
                  <w:shd w:val="clear" w:color="auto" w:fill="auto"/>
                  <w:vAlign w:val="center"/>
                </w:tcPr>
                <w:p>
                  <w:pPr>
                    <w:pStyle w:val="63"/>
                    <w:rPr>
                      <w:color w:val="auto"/>
                      <w:lang w:val="en-US"/>
                    </w:rPr>
                  </w:pPr>
                  <w:r>
                    <w:rPr>
                      <w:rFonts w:hint="eastAsia"/>
                      <w:color w:val="auto"/>
                      <w:lang w:val="en-US"/>
                    </w:rPr>
                    <w:t>合计</w:t>
                  </w:r>
                </w:p>
              </w:tc>
              <w:tc>
                <w:tcPr>
                  <w:tcW w:w="770" w:type="pct"/>
                  <w:shd w:val="clear" w:color="auto" w:fill="auto"/>
                  <w:vAlign w:val="center"/>
                </w:tcPr>
                <w:p>
                  <w:pPr>
                    <w:pStyle w:val="63"/>
                    <w:rPr>
                      <w:color w:val="auto"/>
                    </w:rPr>
                  </w:pPr>
                  <w:r>
                    <w:rPr>
                      <w:color w:val="auto"/>
                    </w:rPr>
                    <w:t>0.00596</w:t>
                  </w:r>
                </w:p>
              </w:tc>
              <w:tc>
                <w:tcPr>
                  <w:tcW w:w="999" w:type="pct"/>
                  <w:shd w:val="clear" w:color="auto" w:fill="auto"/>
                  <w:vAlign w:val="center"/>
                </w:tcPr>
                <w:p>
                  <w:pPr>
                    <w:pStyle w:val="63"/>
                    <w:rPr>
                      <w:color w:val="auto"/>
                    </w:rPr>
                  </w:pPr>
                  <w:r>
                    <w:rPr>
                      <w:rFonts w:hint="eastAsia"/>
                      <w:color w:val="auto"/>
                    </w:rPr>
                    <w:t>/</w:t>
                  </w:r>
                </w:p>
              </w:tc>
            </w:tr>
          </w:tbl>
          <w:p>
            <w:pPr>
              <w:ind w:firstLine="480"/>
              <w:rPr>
                <w:color w:val="auto"/>
              </w:rPr>
            </w:pPr>
            <w:r>
              <w:rPr>
                <w:color w:val="auto"/>
              </w:rPr>
              <w:t>根据《建设项目环境风险评价技术导则》</w:t>
            </w:r>
            <w:r>
              <w:rPr>
                <w:rFonts w:hint="eastAsia"/>
                <w:color w:val="auto"/>
              </w:rPr>
              <w:t>（</w:t>
            </w:r>
            <w:r>
              <w:rPr>
                <w:color w:val="auto"/>
              </w:rPr>
              <w:t>HJ/T169-2018</w:t>
            </w:r>
            <w:r>
              <w:rPr>
                <w:rFonts w:hint="eastAsia"/>
                <w:color w:val="auto"/>
              </w:rPr>
              <w:t>）</w:t>
            </w:r>
            <w:r>
              <w:rPr>
                <w:color w:val="auto"/>
              </w:rPr>
              <w:t>附录B</w:t>
            </w:r>
            <w:r>
              <w:rPr>
                <w:rFonts w:hint="eastAsia"/>
                <w:color w:val="auto"/>
              </w:rPr>
              <w:t>，本项目Q值为</w:t>
            </w:r>
            <w:r>
              <w:rPr>
                <w:color w:val="auto"/>
              </w:rPr>
              <w:t>0.00596</w:t>
            </w:r>
            <w:r>
              <w:rPr>
                <w:rFonts w:hint="eastAsia"/>
                <w:color w:val="auto"/>
              </w:rPr>
              <w:t>＜1。</w:t>
            </w:r>
          </w:p>
          <w:p>
            <w:pPr>
              <w:pStyle w:val="80"/>
              <w:ind w:firstLine="482"/>
              <w:rPr>
                <w:color w:val="auto"/>
              </w:rPr>
            </w:pPr>
            <w:r>
              <w:rPr>
                <w:color w:val="auto"/>
              </w:rPr>
              <w:t>2.</w:t>
            </w:r>
            <w:r>
              <w:rPr>
                <w:rFonts w:hint="eastAsia"/>
                <w:color w:val="auto"/>
              </w:rPr>
              <w:t>环境风险物质特性</w:t>
            </w:r>
          </w:p>
          <w:p>
            <w:pPr>
              <w:pStyle w:val="92"/>
              <w:ind w:firstLine="480"/>
              <w:rPr>
                <w:color w:val="auto"/>
              </w:rPr>
            </w:pPr>
            <w:r>
              <w:rPr>
                <w:color w:val="auto"/>
              </w:rPr>
              <w:t>根据企业提供原材料情况，对照《危险化学品目录（2018）版》、《建设项目环境风险评价技术导则》（HJ169-2018）附录B，本项目所涉及的危险物质识别如下：</w:t>
            </w:r>
          </w:p>
          <w:p>
            <w:pPr>
              <w:pStyle w:val="66"/>
              <w:rPr>
                <w:color w:val="auto"/>
              </w:rPr>
            </w:pPr>
            <w:r>
              <w:rPr>
                <w:color w:val="auto"/>
              </w:rPr>
              <w:t>表</w:t>
            </w:r>
            <w:r>
              <w:rPr>
                <w:rFonts w:hint="eastAsia"/>
                <w:color w:val="auto"/>
              </w:rPr>
              <w:t>4.2</w:t>
            </w:r>
            <w:r>
              <w:rPr>
                <w:color w:val="auto"/>
              </w:rPr>
              <w:t>.6</w:t>
            </w:r>
            <w:r>
              <w:rPr>
                <w:rFonts w:hint="eastAsia"/>
                <w:color w:val="auto"/>
              </w:rPr>
              <w:t>-</w:t>
            </w:r>
            <w:r>
              <w:rPr>
                <w:color w:val="auto"/>
              </w:rPr>
              <w:t>2</w:t>
            </w:r>
            <w:r>
              <w:rPr>
                <w:rFonts w:hint="eastAsia"/>
                <w:color w:val="auto"/>
              </w:rPr>
              <w:t xml:space="preserve"> 天然气危险特性一览表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883"/>
              <w:gridCol w:w="2383"/>
              <w:gridCol w:w="1574"/>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gridSpan w:val="2"/>
                  <w:vMerge w:val="restart"/>
                  <w:tcBorders>
                    <w:tl2br w:val="single" w:color="auto" w:sz="12" w:space="0"/>
                  </w:tcBorders>
                  <w:vAlign w:val="center"/>
                </w:tcPr>
                <w:p>
                  <w:pPr>
                    <w:pStyle w:val="63"/>
                    <w:rPr>
                      <w:color w:val="auto"/>
                    </w:rPr>
                  </w:pPr>
                  <w:r>
                    <w:rPr>
                      <w:color w:val="auto"/>
                    </w:rPr>
                    <w:t xml:space="preserve">           </w:t>
                  </w:r>
                  <w:r>
                    <w:rPr>
                      <w:rFonts w:hint="eastAsia"/>
                      <w:color w:val="auto"/>
                      <w:lang w:eastAsia="zh-CN"/>
                    </w:rPr>
                    <w:t>主要</w:t>
                  </w:r>
                  <w:r>
                    <w:rPr>
                      <w:color w:val="auto"/>
                    </w:rPr>
                    <w:t>组分</w:t>
                  </w:r>
                </w:p>
                <w:p>
                  <w:pPr>
                    <w:pStyle w:val="63"/>
                    <w:jc w:val="left"/>
                    <w:rPr>
                      <w:color w:val="auto"/>
                    </w:rPr>
                  </w:pPr>
                  <w:r>
                    <w:rPr>
                      <w:color w:val="auto"/>
                    </w:rPr>
                    <w:t>项目</w:t>
                  </w:r>
                </w:p>
              </w:tc>
              <w:tc>
                <w:tcPr>
                  <w:tcW w:w="2643" w:type="dxa"/>
                  <w:vAlign w:val="center"/>
                </w:tcPr>
                <w:p>
                  <w:pPr>
                    <w:pStyle w:val="63"/>
                    <w:rPr>
                      <w:color w:val="auto"/>
                    </w:rPr>
                  </w:pPr>
                  <w:r>
                    <w:rPr>
                      <w:color w:val="auto"/>
                    </w:rPr>
                    <w:t>甲烷</w:t>
                  </w:r>
                </w:p>
              </w:tc>
              <w:tc>
                <w:tcPr>
                  <w:tcW w:w="1720" w:type="dxa"/>
                  <w:vAlign w:val="center"/>
                </w:tcPr>
                <w:p>
                  <w:pPr>
                    <w:pStyle w:val="63"/>
                    <w:rPr>
                      <w:color w:val="auto"/>
                    </w:rPr>
                  </w:pPr>
                  <w:r>
                    <w:rPr>
                      <w:color w:val="auto"/>
                    </w:rPr>
                    <w:t>乙烷</w:t>
                  </w:r>
                </w:p>
              </w:tc>
              <w:tc>
                <w:tcPr>
                  <w:tcW w:w="1720" w:type="dxa"/>
                  <w:vAlign w:val="center"/>
                </w:tcPr>
                <w:p>
                  <w:pPr>
                    <w:pStyle w:val="63"/>
                    <w:rPr>
                      <w:color w:val="auto"/>
                    </w:rPr>
                  </w:pPr>
                  <w:r>
                    <w:rPr>
                      <w:color w:val="auto"/>
                    </w:rPr>
                    <w:t>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gridSpan w:val="2"/>
                  <w:vMerge w:val="continue"/>
                  <w:vAlign w:val="center"/>
                </w:tcPr>
                <w:p>
                  <w:pPr>
                    <w:pStyle w:val="63"/>
                    <w:rPr>
                      <w:color w:val="auto"/>
                    </w:rPr>
                  </w:pPr>
                </w:p>
              </w:tc>
              <w:tc>
                <w:tcPr>
                  <w:tcW w:w="2643" w:type="dxa"/>
                  <w:vAlign w:val="center"/>
                </w:tcPr>
                <w:p>
                  <w:pPr>
                    <w:pStyle w:val="63"/>
                    <w:rPr>
                      <w:color w:val="auto"/>
                    </w:rPr>
                  </w:pPr>
                  <w:r>
                    <w:rPr>
                      <w:color w:val="auto"/>
                    </w:rPr>
                    <w:t>CH</w:t>
                  </w:r>
                  <w:r>
                    <w:rPr>
                      <w:color w:val="auto"/>
                      <w:vertAlign w:val="subscript"/>
                    </w:rPr>
                    <w:t>4</w:t>
                  </w:r>
                </w:p>
              </w:tc>
              <w:tc>
                <w:tcPr>
                  <w:tcW w:w="1720" w:type="dxa"/>
                  <w:vAlign w:val="center"/>
                </w:tcPr>
                <w:p>
                  <w:pPr>
                    <w:pStyle w:val="63"/>
                    <w:rPr>
                      <w:color w:val="auto"/>
                    </w:rPr>
                  </w:pPr>
                  <w:r>
                    <w:rPr>
                      <w:color w:val="auto"/>
                    </w:rPr>
                    <w:t>C</w:t>
                  </w:r>
                  <w:r>
                    <w:rPr>
                      <w:color w:val="auto"/>
                      <w:vertAlign w:val="subscript"/>
                    </w:rPr>
                    <w:t>2</w:t>
                  </w:r>
                  <w:r>
                    <w:rPr>
                      <w:color w:val="auto"/>
                    </w:rPr>
                    <w:t>H</w:t>
                  </w:r>
                  <w:r>
                    <w:rPr>
                      <w:color w:val="auto"/>
                      <w:vertAlign w:val="subscript"/>
                    </w:rPr>
                    <w:t>6</w:t>
                  </w:r>
                </w:p>
              </w:tc>
              <w:tc>
                <w:tcPr>
                  <w:tcW w:w="1720" w:type="dxa"/>
                  <w:vAlign w:val="center"/>
                </w:tcPr>
                <w:p>
                  <w:pPr>
                    <w:pStyle w:val="63"/>
                    <w:rPr>
                      <w:color w:val="auto"/>
                    </w:rPr>
                  </w:pPr>
                  <w:r>
                    <w:rPr>
                      <w:color w:val="auto"/>
                    </w:rPr>
                    <w:t>C</w:t>
                  </w:r>
                  <w:r>
                    <w:rPr>
                      <w:color w:val="auto"/>
                      <w:vertAlign w:val="subscript"/>
                    </w:rPr>
                    <w:t>3</w:t>
                  </w:r>
                  <w:r>
                    <w:rPr>
                      <w:color w:val="auto"/>
                    </w:rPr>
                    <w:t>H</w:t>
                  </w:r>
                  <w:r>
                    <w:rPr>
                      <w:color w:val="auto"/>
                      <w:vertAlign w:val="subscrip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gridSpan w:val="2"/>
                  <w:vAlign w:val="center"/>
                </w:tcPr>
                <w:p>
                  <w:pPr>
                    <w:pStyle w:val="63"/>
                    <w:rPr>
                      <w:color w:val="auto"/>
                    </w:rPr>
                  </w:pPr>
                  <w:r>
                    <w:rPr>
                      <w:color w:val="auto"/>
                    </w:rPr>
                    <w:t>闪点℃</w:t>
                  </w:r>
                </w:p>
              </w:tc>
              <w:tc>
                <w:tcPr>
                  <w:tcW w:w="2643" w:type="dxa"/>
                  <w:vAlign w:val="center"/>
                </w:tcPr>
                <w:p>
                  <w:pPr>
                    <w:pStyle w:val="63"/>
                    <w:rPr>
                      <w:color w:val="auto"/>
                    </w:rPr>
                  </w:pPr>
                  <w:r>
                    <w:rPr>
                      <w:color w:val="auto"/>
                    </w:rPr>
                    <w:t>-188.5</w:t>
                  </w:r>
                </w:p>
              </w:tc>
              <w:tc>
                <w:tcPr>
                  <w:tcW w:w="1720" w:type="dxa"/>
                  <w:vAlign w:val="center"/>
                </w:tcPr>
                <w:p>
                  <w:pPr>
                    <w:pStyle w:val="63"/>
                    <w:rPr>
                      <w:color w:val="auto"/>
                    </w:rPr>
                  </w:pPr>
                  <w:r>
                    <w:rPr>
                      <w:color w:val="auto"/>
                    </w:rPr>
                    <w:t>＜-50</w:t>
                  </w:r>
                </w:p>
              </w:tc>
              <w:tc>
                <w:tcPr>
                  <w:tcW w:w="1720" w:type="dxa"/>
                  <w:vAlign w:val="center"/>
                </w:tcPr>
                <w:p>
                  <w:pPr>
                    <w:pStyle w:val="63"/>
                    <w:rPr>
                      <w:color w:val="auto"/>
                    </w:rPr>
                  </w:pPr>
                  <w:r>
                    <w:rPr>
                      <w:color w:val="auto"/>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dxa"/>
                  <w:vMerge w:val="restart"/>
                  <w:vAlign w:val="center"/>
                </w:tcPr>
                <w:p>
                  <w:pPr>
                    <w:pStyle w:val="63"/>
                    <w:rPr>
                      <w:color w:val="auto"/>
                    </w:rPr>
                  </w:pPr>
                  <w:r>
                    <w:rPr>
                      <w:color w:val="auto"/>
                    </w:rPr>
                    <w:t>相对密度kg/m</w:t>
                  </w:r>
                  <w:r>
                    <w:rPr>
                      <w:color w:val="auto"/>
                      <w:vertAlign w:val="superscript"/>
                    </w:rPr>
                    <w:t>3</w:t>
                  </w:r>
                </w:p>
              </w:tc>
              <w:tc>
                <w:tcPr>
                  <w:tcW w:w="947" w:type="dxa"/>
                  <w:vAlign w:val="center"/>
                </w:tcPr>
                <w:p>
                  <w:pPr>
                    <w:pStyle w:val="63"/>
                    <w:rPr>
                      <w:color w:val="auto"/>
                    </w:rPr>
                  </w:pPr>
                  <w:r>
                    <w:rPr>
                      <w:color w:val="auto"/>
                    </w:rPr>
                    <w:t>气相</w:t>
                  </w:r>
                </w:p>
              </w:tc>
              <w:tc>
                <w:tcPr>
                  <w:tcW w:w="2643" w:type="dxa"/>
                  <w:vAlign w:val="center"/>
                </w:tcPr>
                <w:p>
                  <w:pPr>
                    <w:pStyle w:val="63"/>
                    <w:rPr>
                      <w:color w:val="auto"/>
                    </w:rPr>
                  </w:pPr>
                  <w:r>
                    <w:rPr>
                      <w:color w:val="auto"/>
                    </w:rPr>
                    <w:t>0.55</w:t>
                  </w:r>
                </w:p>
              </w:tc>
              <w:tc>
                <w:tcPr>
                  <w:tcW w:w="1720" w:type="dxa"/>
                  <w:vAlign w:val="center"/>
                </w:tcPr>
                <w:p>
                  <w:pPr>
                    <w:pStyle w:val="63"/>
                    <w:rPr>
                      <w:color w:val="auto"/>
                    </w:rPr>
                  </w:pPr>
                  <w:r>
                    <w:rPr>
                      <w:color w:val="auto"/>
                    </w:rPr>
                    <w:t>1.04</w:t>
                  </w:r>
                </w:p>
              </w:tc>
              <w:tc>
                <w:tcPr>
                  <w:tcW w:w="1720" w:type="dxa"/>
                  <w:vAlign w:val="center"/>
                </w:tcPr>
                <w:p>
                  <w:pPr>
                    <w:pStyle w:val="63"/>
                    <w:rPr>
                      <w:color w:val="auto"/>
                    </w:rPr>
                  </w:pPr>
                  <w:r>
                    <w:rPr>
                      <w:color w:val="auto"/>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dxa"/>
                  <w:vMerge w:val="continue"/>
                  <w:vAlign w:val="center"/>
                </w:tcPr>
                <w:p>
                  <w:pPr>
                    <w:pStyle w:val="63"/>
                    <w:rPr>
                      <w:color w:val="auto"/>
                    </w:rPr>
                  </w:pPr>
                </w:p>
              </w:tc>
              <w:tc>
                <w:tcPr>
                  <w:tcW w:w="947" w:type="dxa"/>
                  <w:vAlign w:val="center"/>
                </w:tcPr>
                <w:p>
                  <w:pPr>
                    <w:pStyle w:val="63"/>
                    <w:rPr>
                      <w:color w:val="auto"/>
                    </w:rPr>
                  </w:pPr>
                  <w:r>
                    <w:rPr>
                      <w:color w:val="auto"/>
                    </w:rPr>
                    <w:t>液相</w:t>
                  </w:r>
                </w:p>
              </w:tc>
              <w:tc>
                <w:tcPr>
                  <w:tcW w:w="2643" w:type="dxa"/>
                  <w:vAlign w:val="center"/>
                </w:tcPr>
                <w:p>
                  <w:pPr>
                    <w:pStyle w:val="63"/>
                    <w:rPr>
                      <w:color w:val="auto"/>
                    </w:rPr>
                  </w:pPr>
                  <w:r>
                    <w:rPr>
                      <w:color w:val="auto"/>
                    </w:rPr>
                    <w:t>0.42</w:t>
                  </w:r>
                </w:p>
              </w:tc>
              <w:tc>
                <w:tcPr>
                  <w:tcW w:w="1720" w:type="dxa"/>
                  <w:vAlign w:val="center"/>
                </w:tcPr>
                <w:p>
                  <w:pPr>
                    <w:pStyle w:val="63"/>
                    <w:rPr>
                      <w:color w:val="auto"/>
                    </w:rPr>
                  </w:pPr>
                  <w:r>
                    <w:rPr>
                      <w:color w:val="auto"/>
                    </w:rPr>
                    <w:t>0.45</w:t>
                  </w:r>
                </w:p>
              </w:tc>
              <w:tc>
                <w:tcPr>
                  <w:tcW w:w="1720" w:type="dxa"/>
                  <w:vAlign w:val="center"/>
                </w:tcPr>
                <w:p>
                  <w:pPr>
                    <w:pStyle w:val="63"/>
                    <w:rPr>
                      <w:color w:val="auto"/>
                    </w:rPr>
                  </w:pPr>
                  <w:r>
                    <w:rPr>
                      <w:color w:val="auto"/>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gridSpan w:val="2"/>
                  <w:vAlign w:val="center"/>
                </w:tcPr>
                <w:p>
                  <w:pPr>
                    <w:pStyle w:val="63"/>
                    <w:rPr>
                      <w:color w:val="auto"/>
                    </w:rPr>
                  </w:pPr>
                  <w:r>
                    <w:rPr>
                      <w:color w:val="auto"/>
                    </w:rPr>
                    <w:t>爆炸极限%V</w:t>
                  </w:r>
                </w:p>
              </w:tc>
              <w:tc>
                <w:tcPr>
                  <w:tcW w:w="2643" w:type="dxa"/>
                  <w:vAlign w:val="center"/>
                </w:tcPr>
                <w:p>
                  <w:pPr>
                    <w:pStyle w:val="63"/>
                    <w:rPr>
                      <w:color w:val="auto"/>
                    </w:rPr>
                  </w:pPr>
                  <w:r>
                    <w:rPr>
                      <w:color w:val="auto"/>
                    </w:rPr>
                    <w:t>5.3～15.0</w:t>
                  </w:r>
                </w:p>
              </w:tc>
              <w:tc>
                <w:tcPr>
                  <w:tcW w:w="1720" w:type="dxa"/>
                  <w:vAlign w:val="center"/>
                </w:tcPr>
                <w:p>
                  <w:pPr>
                    <w:pStyle w:val="63"/>
                    <w:rPr>
                      <w:color w:val="auto"/>
                    </w:rPr>
                  </w:pPr>
                  <w:r>
                    <w:rPr>
                      <w:color w:val="auto"/>
                    </w:rPr>
                    <w:t>3.0～16.0</w:t>
                  </w:r>
                </w:p>
              </w:tc>
              <w:tc>
                <w:tcPr>
                  <w:tcW w:w="1720" w:type="dxa"/>
                  <w:vAlign w:val="center"/>
                </w:tcPr>
                <w:p>
                  <w:pPr>
                    <w:pStyle w:val="63"/>
                    <w:rPr>
                      <w:color w:val="auto"/>
                    </w:rPr>
                  </w:pPr>
                  <w:r>
                    <w:rPr>
                      <w:color w:val="auto"/>
                    </w:rPr>
                    <w:t>2.1～9.5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gridSpan w:val="2"/>
                  <w:vAlign w:val="center"/>
                </w:tcPr>
                <w:p>
                  <w:pPr>
                    <w:pStyle w:val="63"/>
                    <w:rPr>
                      <w:color w:val="auto"/>
                    </w:rPr>
                  </w:pPr>
                  <w:r>
                    <w:rPr>
                      <w:color w:val="auto"/>
                    </w:rPr>
                    <w:t>引燃温度℃</w:t>
                  </w:r>
                </w:p>
              </w:tc>
              <w:tc>
                <w:tcPr>
                  <w:tcW w:w="2643" w:type="dxa"/>
                  <w:vAlign w:val="center"/>
                </w:tcPr>
                <w:p>
                  <w:pPr>
                    <w:pStyle w:val="63"/>
                    <w:rPr>
                      <w:color w:val="auto"/>
                    </w:rPr>
                  </w:pPr>
                  <w:r>
                    <w:rPr>
                      <w:color w:val="auto"/>
                    </w:rPr>
                    <w:t>538</w:t>
                  </w:r>
                </w:p>
              </w:tc>
              <w:tc>
                <w:tcPr>
                  <w:tcW w:w="1720" w:type="dxa"/>
                  <w:vAlign w:val="center"/>
                </w:tcPr>
                <w:p>
                  <w:pPr>
                    <w:pStyle w:val="63"/>
                    <w:rPr>
                      <w:color w:val="auto"/>
                    </w:rPr>
                  </w:pPr>
                  <w:r>
                    <w:rPr>
                      <w:color w:val="auto"/>
                    </w:rPr>
                    <w:t>472</w:t>
                  </w:r>
                </w:p>
              </w:tc>
              <w:tc>
                <w:tcPr>
                  <w:tcW w:w="1720" w:type="dxa"/>
                  <w:vAlign w:val="center"/>
                </w:tcPr>
                <w:p>
                  <w:pPr>
                    <w:pStyle w:val="63"/>
                    <w:rPr>
                      <w:color w:val="auto"/>
                    </w:rPr>
                  </w:pPr>
                  <w:r>
                    <w:rPr>
                      <w:color w:val="auto"/>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gridSpan w:val="2"/>
                  <w:vAlign w:val="center"/>
                </w:tcPr>
                <w:p>
                  <w:pPr>
                    <w:pStyle w:val="63"/>
                    <w:rPr>
                      <w:color w:val="auto"/>
                    </w:rPr>
                  </w:pPr>
                  <w:r>
                    <w:rPr>
                      <w:color w:val="auto"/>
                    </w:rPr>
                    <w:t>最小点火能mj</w:t>
                  </w:r>
                </w:p>
              </w:tc>
              <w:tc>
                <w:tcPr>
                  <w:tcW w:w="2643" w:type="dxa"/>
                  <w:vAlign w:val="center"/>
                </w:tcPr>
                <w:p>
                  <w:pPr>
                    <w:pStyle w:val="63"/>
                    <w:rPr>
                      <w:color w:val="auto"/>
                    </w:rPr>
                  </w:pPr>
                  <w:r>
                    <w:rPr>
                      <w:color w:val="auto"/>
                    </w:rPr>
                    <w:t>0.27</w:t>
                  </w:r>
                </w:p>
              </w:tc>
              <w:tc>
                <w:tcPr>
                  <w:tcW w:w="1720" w:type="dxa"/>
                  <w:vAlign w:val="center"/>
                </w:tcPr>
                <w:p>
                  <w:pPr>
                    <w:pStyle w:val="63"/>
                    <w:rPr>
                      <w:color w:val="auto"/>
                    </w:rPr>
                  </w:pPr>
                  <w:r>
                    <w:rPr>
                      <w:color w:val="auto"/>
                    </w:rPr>
                    <w:t>0.31</w:t>
                  </w:r>
                </w:p>
              </w:tc>
              <w:tc>
                <w:tcPr>
                  <w:tcW w:w="1720" w:type="dxa"/>
                  <w:vAlign w:val="center"/>
                </w:tcPr>
                <w:p>
                  <w:pPr>
                    <w:pStyle w:val="63"/>
                    <w:rPr>
                      <w:color w:val="auto"/>
                    </w:rPr>
                  </w:pPr>
                  <w:r>
                    <w:rPr>
                      <w:color w:val="auto"/>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gridSpan w:val="2"/>
                  <w:vAlign w:val="center"/>
                </w:tcPr>
                <w:p>
                  <w:pPr>
                    <w:pStyle w:val="63"/>
                    <w:rPr>
                      <w:color w:val="auto"/>
                    </w:rPr>
                  </w:pPr>
                  <w:r>
                    <w:rPr>
                      <w:color w:val="auto"/>
                    </w:rPr>
                    <w:t>最大爆炸压力mPa</w:t>
                  </w:r>
                </w:p>
              </w:tc>
              <w:tc>
                <w:tcPr>
                  <w:tcW w:w="2643" w:type="dxa"/>
                  <w:vAlign w:val="center"/>
                </w:tcPr>
                <w:p>
                  <w:pPr>
                    <w:pStyle w:val="63"/>
                    <w:rPr>
                      <w:color w:val="auto"/>
                    </w:rPr>
                  </w:pPr>
                  <w:r>
                    <w:rPr>
                      <w:color w:val="auto"/>
                    </w:rPr>
                    <w:t>0.717</w:t>
                  </w:r>
                </w:p>
              </w:tc>
              <w:tc>
                <w:tcPr>
                  <w:tcW w:w="1720" w:type="dxa"/>
                  <w:vAlign w:val="center"/>
                </w:tcPr>
                <w:p>
                  <w:pPr>
                    <w:pStyle w:val="63"/>
                    <w:rPr>
                      <w:color w:val="auto"/>
                    </w:rPr>
                  </w:pPr>
                  <w:r>
                    <w:rPr>
                      <w:color w:val="auto"/>
                    </w:rPr>
                    <w:t>--</w:t>
                  </w:r>
                </w:p>
              </w:tc>
              <w:tc>
                <w:tcPr>
                  <w:tcW w:w="1720" w:type="dxa"/>
                  <w:vAlign w:val="center"/>
                </w:tcPr>
                <w:p>
                  <w:pPr>
                    <w:pStyle w:val="63"/>
                    <w:rPr>
                      <w:color w:val="auto"/>
                    </w:rPr>
                  </w:pPr>
                  <w:r>
                    <w:rPr>
                      <w:color w:val="auto"/>
                    </w:rPr>
                    <w:t>0.843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gridSpan w:val="2"/>
                  <w:vAlign w:val="center"/>
                </w:tcPr>
                <w:p>
                  <w:pPr>
                    <w:pStyle w:val="63"/>
                    <w:rPr>
                      <w:color w:val="auto"/>
                    </w:rPr>
                  </w:pPr>
                  <w:r>
                    <w:rPr>
                      <w:color w:val="auto"/>
                    </w:rPr>
                    <w:t>最大火焰传播速度m/s</w:t>
                  </w:r>
                </w:p>
              </w:tc>
              <w:tc>
                <w:tcPr>
                  <w:tcW w:w="2643" w:type="dxa"/>
                  <w:vAlign w:val="center"/>
                </w:tcPr>
                <w:p>
                  <w:pPr>
                    <w:pStyle w:val="63"/>
                    <w:rPr>
                      <w:color w:val="auto"/>
                    </w:rPr>
                  </w:pPr>
                  <w:r>
                    <w:rPr>
                      <w:color w:val="auto"/>
                    </w:rPr>
                    <w:t>0.67</w:t>
                  </w:r>
                </w:p>
              </w:tc>
              <w:tc>
                <w:tcPr>
                  <w:tcW w:w="1720" w:type="dxa"/>
                  <w:vAlign w:val="center"/>
                </w:tcPr>
                <w:p>
                  <w:pPr>
                    <w:pStyle w:val="63"/>
                    <w:rPr>
                      <w:color w:val="auto"/>
                    </w:rPr>
                  </w:pPr>
                  <w:r>
                    <w:rPr>
                      <w:color w:val="auto"/>
                    </w:rPr>
                    <w:t>0.86</w:t>
                  </w:r>
                </w:p>
              </w:tc>
              <w:tc>
                <w:tcPr>
                  <w:tcW w:w="1720" w:type="dxa"/>
                  <w:vAlign w:val="center"/>
                </w:tcPr>
                <w:p>
                  <w:pPr>
                    <w:pStyle w:val="63"/>
                    <w:rPr>
                      <w:color w:val="auto"/>
                    </w:rPr>
                  </w:pPr>
                  <w:r>
                    <w:rPr>
                      <w:color w:val="auto"/>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gridSpan w:val="2"/>
                  <w:vAlign w:val="center"/>
                </w:tcPr>
                <w:p>
                  <w:pPr>
                    <w:pStyle w:val="63"/>
                    <w:rPr>
                      <w:color w:val="auto"/>
                    </w:rPr>
                  </w:pPr>
                  <w:r>
                    <w:rPr>
                      <w:color w:val="auto"/>
                    </w:rPr>
                    <w:t>天然气的物理化学性质</w:t>
                  </w:r>
                </w:p>
              </w:tc>
              <w:tc>
                <w:tcPr>
                  <w:tcW w:w="6083" w:type="dxa"/>
                  <w:gridSpan w:val="3"/>
                  <w:vAlign w:val="center"/>
                </w:tcPr>
                <w:p>
                  <w:pPr>
                    <w:pStyle w:val="63"/>
                    <w:rPr>
                      <w:color w:val="auto"/>
                    </w:rPr>
                  </w:pPr>
                  <w:r>
                    <w:rPr>
                      <w:color w:val="auto"/>
                    </w:rPr>
                    <w:t>无色无味气体、微溶于水、易燃、沸点-160℃、最大爆炸压力680Kpa、最小引燃能量0.28毫焦、相对密度0.45（液化）、气体火焰在空气中传播速度0.67m/s、爆炸上限15%（V%）、爆炸下限5%（V%）、自燃温度482℃（空气中）、632℃（氧气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gridSpan w:val="2"/>
                  <w:vAlign w:val="center"/>
                </w:tcPr>
                <w:p>
                  <w:pPr>
                    <w:pStyle w:val="63"/>
                    <w:rPr>
                      <w:color w:val="auto"/>
                    </w:rPr>
                  </w:pPr>
                  <w:r>
                    <w:rPr>
                      <w:color w:val="auto"/>
                    </w:rPr>
                    <w:t>天然气的危险性</w:t>
                  </w:r>
                </w:p>
              </w:tc>
              <w:tc>
                <w:tcPr>
                  <w:tcW w:w="6083" w:type="dxa"/>
                  <w:gridSpan w:val="3"/>
                  <w:vAlign w:val="center"/>
                </w:tcPr>
                <w:p>
                  <w:pPr>
                    <w:pStyle w:val="63"/>
                    <w:rPr>
                      <w:color w:val="auto"/>
                    </w:rPr>
                  </w:pPr>
                  <w:r>
                    <w:rPr>
                      <w:color w:val="auto"/>
                    </w:rPr>
                    <w:t>易燃易爆性质，火灾危险类别为甲类。与空气混合能形成爆炸性混合物，遇明火、高热极易燃烧爆炸。若遇高热，气体体积膨胀，输气设备内压增大，有可能导致管道或设备开裂和爆炸。天然气的爆炸范围较宽，爆炸下限浓度值较低，泄漏后很容易达到爆炸下限浓度值，爆炸危险性较大。天然气的密度比空气小，泄漏后有较好的扩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gridSpan w:val="2"/>
                  <w:vAlign w:val="center"/>
                </w:tcPr>
                <w:p>
                  <w:pPr>
                    <w:pStyle w:val="63"/>
                    <w:rPr>
                      <w:color w:val="auto"/>
                    </w:rPr>
                  </w:pPr>
                  <w:r>
                    <w:rPr>
                      <w:color w:val="auto"/>
                    </w:rPr>
                    <w:t>天然气的毒理作用</w:t>
                  </w:r>
                </w:p>
              </w:tc>
              <w:tc>
                <w:tcPr>
                  <w:tcW w:w="6083" w:type="dxa"/>
                  <w:gridSpan w:val="3"/>
                  <w:vAlign w:val="center"/>
                </w:tcPr>
                <w:p>
                  <w:pPr>
                    <w:pStyle w:val="63"/>
                    <w:rPr>
                      <w:color w:val="auto"/>
                    </w:rPr>
                  </w:pPr>
                  <w:r>
                    <w:rPr>
                      <w:color w:val="auto"/>
                    </w:rPr>
                    <w:t>为烃类混合物，属低等毒性物质，长期接触可出现神经衰弱综合症。急性中毒时，可有头昏、头痛、呕吐、乏力甚至昏迷等现象。病程中尚可出现精神症状，昏迷过程久者，醒后可有运动性失语及偏瘫。</w:t>
                  </w:r>
                </w:p>
              </w:tc>
            </w:tr>
          </w:tbl>
          <w:p>
            <w:pPr>
              <w:pStyle w:val="70"/>
              <w:rPr>
                <w:color w:val="auto"/>
              </w:rPr>
            </w:pPr>
            <w:r>
              <w:rPr>
                <w:rFonts w:hint="eastAsia"/>
                <w:color w:val="auto"/>
              </w:rPr>
              <w:t>4.2.</w:t>
            </w:r>
            <w:r>
              <w:rPr>
                <w:color w:val="auto"/>
              </w:rPr>
              <w:t>6</w:t>
            </w:r>
            <w:r>
              <w:rPr>
                <w:rFonts w:hint="eastAsia"/>
                <w:color w:val="auto"/>
              </w:rPr>
              <w:t>.3生产系统危险性识别</w:t>
            </w:r>
          </w:p>
          <w:p>
            <w:pPr>
              <w:ind w:firstLine="480"/>
              <w:rPr>
                <w:color w:val="auto"/>
              </w:rPr>
            </w:pPr>
            <w:r>
              <w:rPr>
                <w:rFonts w:hint="eastAsia"/>
                <w:color w:val="auto"/>
              </w:rPr>
              <w:t>本项目生产车间内使用的天然气属于环境风险物质，生产装置涉及危险性，</w:t>
            </w:r>
            <w:r>
              <w:rPr>
                <w:color w:val="auto"/>
              </w:rPr>
              <w:t>根据项目工艺流程及厂区平面布置，结合物质危险性识别，本项目危险单元划分结果见</w:t>
            </w:r>
            <w:r>
              <w:rPr>
                <w:rFonts w:hint="eastAsia"/>
                <w:color w:val="auto"/>
              </w:rPr>
              <w:t>下表</w:t>
            </w:r>
            <w:r>
              <w:rPr>
                <w:color w:val="auto"/>
              </w:rPr>
              <w:t>。</w:t>
            </w:r>
          </w:p>
          <w:p>
            <w:pPr>
              <w:pStyle w:val="66"/>
              <w:rPr>
                <w:color w:val="auto"/>
              </w:rPr>
            </w:pPr>
            <w:r>
              <w:rPr>
                <w:rFonts w:hint="eastAsia"/>
                <w:color w:val="auto"/>
              </w:rPr>
              <w:t>表4.2</w:t>
            </w:r>
            <w:r>
              <w:rPr>
                <w:color w:val="auto"/>
              </w:rPr>
              <w:t>.6</w:t>
            </w:r>
            <w:r>
              <w:rPr>
                <w:rFonts w:hint="eastAsia"/>
                <w:color w:val="auto"/>
              </w:rPr>
              <w:t>-</w:t>
            </w:r>
            <w:r>
              <w:rPr>
                <w:color w:val="auto"/>
              </w:rPr>
              <w:t>3</w:t>
            </w:r>
            <w:r>
              <w:rPr>
                <w:rFonts w:hint="eastAsia"/>
                <w:color w:val="auto"/>
              </w:rPr>
              <w:t xml:space="preserve"> 危险单元划分结果</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319"/>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shd w:val="clear" w:color="auto" w:fill="auto"/>
                  <w:vAlign w:val="center"/>
                </w:tcPr>
                <w:p>
                  <w:pPr>
                    <w:pStyle w:val="63"/>
                    <w:rPr>
                      <w:color w:val="auto"/>
                    </w:rPr>
                  </w:pPr>
                  <w:r>
                    <w:rPr>
                      <w:rFonts w:hint="eastAsia"/>
                      <w:color w:val="auto"/>
                    </w:rPr>
                    <w:t>序号</w:t>
                  </w:r>
                </w:p>
              </w:tc>
              <w:tc>
                <w:tcPr>
                  <w:tcW w:w="841" w:type="pct"/>
                  <w:shd w:val="clear" w:color="auto" w:fill="auto"/>
                  <w:vAlign w:val="center"/>
                </w:tcPr>
                <w:p>
                  <w:pPr>
                    <w:pStyle w:val="63"/>
                    <w:rPr>
                      <w:color w:val="auto"/>
                    </w:rPr>
                  </w:pPr>
                  <w:r>
                    <w:rPr>
                      <w:rFonts w:hint="eastAsia"/>
                      <w:color w:val="auto"/>
                    </w:rPr>
                    <w:t>类别</w:t>
                  </w:r>
                </w:p>
              </w:tc>
              <w:tc>
                <w:tcPr>
                  <w:tcW w:w="3703" w:type="pct"/>
                  <w:shd w:val="clear" w:color="auto" w:fill="auto"/>
                  <w:vAlign w:val="center"/>
                </w:tcPr>
                <w:p>
                  <w:pPr>
                    <w:pStyle w:val="63"/>
                    <w:rPr>
                      <w:color w:val="auto"/>
                    </w:rPr>
                  </w:pPr>
                  <w:r>
                    <w:rPr>
                      <w:rFonts w:hint="eastAsia"/>
                      <w:color w:val="auto"/>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shd w:val="clear" w:color="auto" w:fill="auto"/>
                  <w:vAlign w:val="center"/>
                </w:tcPr>
                <w:p>
                  <w:pPr>
                    <w:pStyle w:val="63"/>
                    <w:rPr>
                      <w:color w:val="auto"/>
                    </w:rPr>
                  </w:pPr>
                  <w:r>
                    <w:rPr>
                      <w:rFonts w:hint="eastAsia"/>
                      <w:color w:val="auto"/>
                    </w:rPr>
                    <w:t>1</w:t>
                  </w:r>
                </w:p>
              </w:tc>
              <w:tc>
                <w:tcPr>
                  <w:tcW w:w="841" w:type="pct"/>
                  <w:shd w:val="clear" w:color="auto" w:fill="auto"/>
                  <w:vAlign w:val="center"/>
                </w:tcPr>
                <w:p>
                  <w:pPr>
                    <w:pStyle w:val="63"/>
                    <w:rPr>
                      <w:color w:val="auto"/>
                    </w:rPr>
                  </w:pPr>
                  <w:r>
                    <w:rPr>
                      <w:rFonts w:hint="eastAsia"/>
                      <w:color w:val="auto"/>
                    </w:rPr>
                    <w:t>主体工程</w:t>
                  </w:r>
                </w:p>
              </w:tc>
              <w:tc>
                <w:tcPr>
                  <w:tcW w:w="3703" w:type="pct"/>
                  <w:shd w:val="clear" w:color="auto" w:fill="auto"/>
                  <w:vAlign w:val="center"/>
                </w:tcPr>
                <w:p>
                  <w:pPr>
                    <w:pStyle w:val="63"/>
                    <w:rPr>
                      <w:color w:val="auto"/>
                      <w:lang w:eastAsia="zh-CN"/>
                    </w:rPr>
                  </w:pPr>
                  <w:r>
                    <w:rPr>
                      <w:rFonts w:hint="eastAsia"/>
                      <w:color w:val="auto"/>
                      <w:lang w:eastAsia="zh-CN"/>
                    </w:rPr>
                    <w:t>热退火炉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shd w:val="clear" w:color="auto" w:fill="auto"/>
                  <w:vAlign w:val="center"/>
                </w:tcPr>
                <w:p>
                  <w:pPr>
                    <w:pStyle w:val="63"/>
                    <w:rPr>
                      <w:color w:val="auto"/>
                      <w:lang w:eastAsia="zh-CN"/>
                    </w:rPr>
                  </w:pPr>
                  <w:r>
                    <w:rPr>
                      <w:rFonts w:hint="eastAsia"/>
                      <w:color w:val="auto"/>
                      <w:lang w:eastAsia="zh-CN"/>
                    </w:rPr>
                    <w:t>2</w:t>
                  </w:r>
                </w:p>
              </w:tc>
              <w:tc>
                <w:tcPr>
                  <w:tcW w:w="841" w:type="pct"/>
                  <w:shd w:val="clear" w:color="auto" w:fill="auto"/>
                  <w:vAlign w:val="center"/>
                </w:tcPr>
                <w:p>
                  <w:pPr>
                    <w:pStyle w:val="63"/>
                    <w:rPr>
                      <w:color w:val="auto"/>
                    </w:rPr>
                  </w:pPr>
                  <w:r>
                    <w:rPr>
                      <w:color w:val="auto"/>
                    </w:rPr>
                    <w:t>储运工程</w:t>
                  </w:r>
                </w:p>
              </w:tc>
              <w:tc>
                <w:tcPr>
                  <w:tcW w:w="3703" w:type="pct"/>
                  <w:shd w:val="clear" w:color="auto" w:fill="auto"/>
                  <w:vAlign w:val="center"/>
                </w:tcPr>
                <w:p>
                  <w:pPr>
                    <w:pStyle w:val="63"/>
                    <w:rPr>
                      <w:color w:val="auto"/>
                      <w:lang w:eastAsia="zh-CN"/>
                    </w:rPr>
                  </w:pP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shd w:val="clear" w:color="auto" w:fill="auto"/>
                  <w:vAlign w:val="center"/>
                </w:tcPr>
                <w:p>
                  <w:pPr>
                    <w:pStyle w:val="63"/>
                    <w:rPr>
                      <w:color w:val="auto"/>
                      <w:lang w:eastAsia="zh-CN"/>
                    </w:rPr>
                  </w:pPr>
                  <w:r>
                    <w:rPr>
                      <w:rFonts w:hint="eastAsia"/>
                      <w:color w:val="auto"/>
                      <w:lang w:eastAsia="zh-CN"/>
                    </w:rPr>
                    <w:t>3</w:t>
                  </w:r>
                </w:p>
              </w:tc>
              <w:tc>
                <w:tcPr>
                  <w:tcW w:w="841" w:type="pct"/>
                  <w:shd w:val="clear" w:color="auto" w:fill="auto"/>
                  <w:vAlign w:val="center"/>
                </w:tcPr>
                <w:p>
                  <w:pPr>
                    <w:pStyle w:val="63"/>
                    <w:rPr>
                      <w:color w:val="auto"/>
                    </w:rPr>
                  </w:pPr>
                  <w:r>
                    <w:rPr>
                      <w:rFonts w:hint="eastAsia"/>
                      <w:color w:val="auto"/>
                    </w:rPr>
                    <w:t>公用工程及环保工程</w:t>
                  </w:r>
                </w:p>
              </w:tc>
              <w:tc>
                <w:tcPr>
                  <w:tcW w:w="3703" w:type="pct"/>
                  <w:shd w:val="clear" w:color="auto" w:fill="auto"/>
                  <w:vAlign w:val="center"/>
                </w:tcPr>
                <w:p>
                  <w:pPr>
                    <w:pStyle w:val="63"/>
                    <w:rPr>
                      <w:color w:val="auto"/>
                      <w:lang w:eastAsia="zh-CN"/>
                    </w:rPr>
                  </w:pPr>
                  <w:r>
                    <w:rPr>
                      <w:rFonts w:hint="eastAsia"/>
                      <w:color w:val="auto"/>
                      <w:lang w:eastAsia="zh-CN"/>
                    </w:rPr>
                    <w:t>/</w:t>
                  </w:r>
                </w:p>
              </w:tc>
            </w:tr>
          </w:tbl>
          <w:p>
            <w:pPr>
              <w:pStyle w:val="92"/>
              <w:ind w:firstLine="480"/>
              <w:rPr>
                <w:color w:val="auto"/>
              </w:rPr>
            </w:pPr>
            <w:r>
              <w:rPr>
                <w:color w:val="auto"/>
              </w:rPr>
              <w:t>项目生产运营过程中，</w:t>
            </w:r>
            <w:r>
              <w:rPr>
                <w:rFonts w:hint="eastAsia"/>
                <w:color w:val="auto"/>
              </w:rPr>
              <w:t>环境风险</w:t>
            </w:r>
            <w:r>
              <w:rPr>
                <w:color w:val="auto"/>
              </w:rPr>
              <w:t>物质发生泄漏，进而发生火灾、爆炸等事故，并产生伴生/次生的消防废水，扩散途径主要有危险物质</w:t>
            </w:r>
            <w:r>
              <w:rPr>
                <w:rFonts w:hint="eastAsia"/>
                <w:color w:val="auto"/>
              </w:rPr>
              <w:t>挥发</w:t>
            </w:r>
            <w:r>
              <w:rPr>
                <w:color w:val="auto"/>
              </w:rPr>
              <w:t>向大气环境扩散。</w:t>
            </w:r>
          </w:p>
          <w:p>
            <w:pPr>
              <w:ind w:firstLine="480"/>
              <w:rPr>
                <w:color w:val="auto"/>
              </w:rPr>
            </w:pPr>
            <w:r>
              <w:rPr>
                <w:color w:val="auto"/>
              </w:rPr>
              <w:t>生产过程可能存在的风险因素见表</w:t>
            </w:r>
            <w:r>
              <w:rPr>
                <w:rFonts w:hint="eastAsia"/>
                <w:color w:val="auto"/>
              </w:rPr>
              <w:t>4.2</w:t>
            </w:r>
            <w:r>
              <w:rPr>
                <w:color w:val="auto"/>
              </w:rPr>
              <w:t>.6</w:t>
            </w:r>
            <w:r>
              <w:rPr>
                <w:rFonts w:hint="eastAsia"/>
                <w:color w:val="auto"/>
              </w:rPr>
              <w:t>-</w:t>
            </w:r>
            <w:r>
              <w:rPr>
                <w:color w:val="auto"/>
              </w:rPr>
              <w:t>4。</w:t>
            </w:r>
          </w:p>
          <w:p>
            <w:pPr>
              <w:pStyle w:val="66"/>
              <w:rPr>
                <w:color w:val="auto"/>
              </w:rPr>
            </w:pPr>
            <w:r>
              <w:rPr>
                <w:rFonts w:hint="eastAsia"/>
                <w:color w:val="auto"/>
              </w:rPr>
              <w:t>表4.2</w:t>
            </w:r>
            <w:r>
              <w:rPr>
                <w:color w:val="auto"/>
              </w:rPr>
              <w:t>.6</w:t>
            </w:r>
            <w:r>
              <w:rPr>
                <w:rFonts w:hint="eastAsia"/>
                <w:color w:val="auto"/>
              </w:rPr>
              <w:t>-</w:t>
            </w:r>
            <w:r>
              <w:rPr>
                <w:color w:val="auto"/>
              </w:rPr>
              <w:t>4</w:t>
            </w:r>
            <w:r>
              <w:rPr>
                <w:rFonts w:hint="eastAsia"/>
                <w:color w:val="auto"/>
              </w:rPr>
              <w:t xml:space="preserve"> 项目生产过程主要风险因素分析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054"/>
              <w:gridCol w:w="5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shd w:val="clear" w:color="auto" w:fill="auto"/>
                  <w:vAlign w:val="center"/>
                </w:tcPr>
                <w:p>
                  <w:pPr>
                    <w:pStyle w:val="63"/>
                    <w:rPr>
                      <w:color w:val="auto"/>
                    </w:rPr>
                  </w:pPr>
                  <w:r>
                    <w:rPr>
                      <w:rFonts w:hint="eastAsia"/>
                      <w:color w:val="auto"/>
                    </w:rPr>
                    <w:t>事故发生</w:t>
                  </w:r>
                </w:p>
              </w:tc>
              <w:tc>
                <w:tcPr>
                  <w:tcW w:w="672" w:type="pct"/>
                  <w:shd w:val="clear" w:color="auto" w:fill="auto"/>
                  <w:vAlign w:val="center"/>
                </w:tcPr>
                <w:p>
                  <w:pPr>
                    <w:pStyle w:val="63"/>
                    <w:rPr>
                      <w:color w:val="auto"/>
                    </w:rPr>
                  </w:pPr>
                  <w:r>
                    <w:rPr>
                      <w:rFonts w:hint="eastAsia"/>
                      <w:color w:val="auto"/>
                    </w:rPr>
                    <w:t>风险类型</w:t>
                  </w:r>
                </w:p>
              </w:tc>
              <w:tc>
                <w:tcPr>
                  <w:tcW w:w="3725" w:type="pct"/>
                  <w:shd w:val="clear" w:color="auto" w:fill="auto"/>
                  <w:vAlign w:val="center"/>
                </w:tcPr>
                <w:p>
                  <w:pPr>
                    <w:pStyle w:val="63"/>
                    <w:rPr>
                      <w:color w:val="auto"/>
                    </w:rPr>
                  </w:pPr>
                  <w:r>
                    <w:rPr>
                      <w:rFonts w:hint="eastAsia"/>
                      <w:color w:val="auto"/>
                    </w:rPr>
                    <w:t>原因分析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Merge w:val="restart"/>
                  <w:shd w:val="clear" w:color="auto" w:fill="auto"/>
                  <w:vAlign w:val="center"/>
                </w:tcPr>
                <w:p>
                  <w:pPr>
                    <w:pStyle w:val="63"/>
                    <w:rPr>
                      <w:color w:val="auto"/>
                    </w:rPr>
                  </w:pPr>
                  <w:r>
                    <w:rPr>
                      <w:rFonts w:hint="eastAsia"/>
                      <w:color w:val="auto"/>
                    </w:rPr>
                    <w:t>生产过程</w:t>
                  </w:r>
                </w:p>
              </w:tc>
              <w:tc>
                <w:tcPr>
                  <w:tcW w:w="672" w:type="pct"/>
                  <w:shd w:val="clear" w:color="auto" w:fill="auto"/>
                  <w:vAlign w:val="center"/>
                </w:tcPr>
                <w:p>
                  <w:pPr>
                    <w:pStyle w:val="63"/>
                    <w:rPr>
                      <w:color w:val="auto"/>
                    </w:rPr>
                  </w:pPr>
                  <w:r>
                    <w:rPr>
                      <w:rFonts w:hint="eastAsia"/>
                      <w:color w:val="auto"/>
                    </w:rPr>
                    <w:t>泄露</w:t>
                  </w:r>
                </w:p>
              </w:tc>
              <w:tc>
                <w:tcPr>
                  <w:tcW w:w="3725" w:type="pct"/>
                  <w:shd w:val="clear" w:color="auto" w:fill="auto"/>
                  <w:vAlign w:val="center"/>
                </w:tcPr>
                <w:p>
                  <w:pPr>
                    <w:pStyle w:val="63"/>
                    <w:rPr>
                      <w:color w:val="auto"/>
                    </w:rPr>
                  </w:pPr>
                  <w:r>
                    <w:rPr>
                      <w:rFonts w:hint="eastAsia"/>
                      <w:color w:val="auto"/>
                      <w:lang w:eastAsia="zh-CN"/>
                    </w:rPr>
                    <w:t>天然气</w:t>
                  </w:r>
                  <w:r>
                    <w:rPr>
                      <w:rFonts w:hint="eastAsia"/>
                      <w:color w:val="auto"/>
                    </w:rPr>
                    <w:t>管道破裂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Merge w:val="continue"/>
                  <w:shd w:val="clear" w:color="auto" w:fill="auto"/>
                  <w:vAlign w:val="center"/>
                </w:tcPr>
                <w:p>
                  <w:pPr>
                    <w:pStyle w:val="63"/>
                    <w:rPr>
                      <w:color w:val="auto"/>
                    </w:rPr>
                  </w:pPr>
                </w:p>
              </w:tc>
              <w:tc>
                <w:tcPr>
                  <w:tcW w:w="672" w:type="pct"/>
                  <w:shd w:val="clear" w:color="auto" w:fill="auto"/>
                  <w:vAlign w:val="center"/>
                </w:tcPr>
                <w:p>
                  <w:pPr>
                    <w:pStyle w:val="63"/>
                    <w:rPr>
                      <w:color w:val="auto"/>
                    </w:rPr>
                  </w:pPr>
                  <w:r>
                    <w:rPr>
                      <w:rFonts w:hint="eastAsia"/>
                      <w:color w:val="auto"/>
                    </w:rPr>
                    <w:t>火灾</w:t>
                  </w:r>
                </w:p>
              </w:tc>
              <w:tc>
                <w:tcPr>
                  <w:tcW w:w="3725" w:type="pct"/>
                  <w:shd w:val="clear" w:color="auto" w:fill="auto"/>
                  <w:vAlign w:val="center"/>
                </w:tcPr>
                <w:p>
                  <w:pPr>
                    <w:pStyle w:val="63"/>
                    <w:rPr>
                      <w:color w:val="auto"/>
                    </w:rPr>
                  </w:pPr>
                  <w:r>
                    <w:rPr>
                      <w:color w:val="auto"/>
                    </w:rPr>
                    <w:t>泄漏、明火、静电、摩擦、碰撞、雷击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Merge w:val="continue"/>
                  <w:shd w:val="clear" w:color="auto" w:fill="auto"/>
                  <w:vAlign w:val="center"/>
                </w:tcPr>
                <w:p>
                  <w:pPr>
                    <w:pStyle w:val="63"/>
                    <w:rPr>
                      <w:color w:val="auto"/>
                    </w:rPr>
                  </w:pPr>
                </w:p>
              </w:tc>
              <w:tc>
                <w:tcPr>
                  <w:tcW w:w="672" w:type="pct"/>
                  <w:shd w:val="clear" w:color="auto" w:fill="auto"/>
                  <w:vAlign w:val="center"/>
                </w:tcPr>
                <w:p>
                  <w:pPr>
                    <w:pStyle w:val="63"/>
                    <w:rPr>
                      <w:color w:val="auto"/>
                    </w:rPr>
                  </w:pPr>
                  <w:r>
                    <w:rPr>
                      <w:rFonts w:hint="eastAsia"/>
                      <w:color w:val="auto"/>
                    </w:rPr>
                    <w:t>中毒</w:t>
                  </w:r>
                </w:p>
              </w:tc>
              <w:tc>
                <w:tcPr>
                  <w:tcW w:w="3725" w:type="pct"/>
                  <w:shd w:val="clear" w:color="auto" w:fill="auto"/>
                  <w:vAlign w:val="center"/>
                </w:tcPr>
                <w:p>
                  <w:pPr>
                    <w:pStyle w:val="63"/>
                    <w:rPr>
                      <w:color w:val="auto"/>
                    </w:rPr>
                  </w:pPr>
                  <w:r>
                    <w:rPr>
                      <w:color w:val="auto"/>
                    </w:rPr>
                    <w:t>泄漏导致现场危险品浓度超标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Merge w:val="continue"/>
                  <w:shd w:val="clear" w:color="auto" w:fill="auto"/>
                  <w:vAlign w:val="center"/>
                </w:tcPr>
                <w:p>
                  <w:pPr>
                    <w:pStyle w:val="63"/>
                    <w:rPr>
                      <w:color w:val="auto"/>
                    </w:rPr>
                  </w:pPr>
                </w:p>
              </w:tc>
              <w:tc>
                <w:tcPr>
                  <w:tcW w:w="672" w:type="pct"/>
                  <w:shd w:val="clear" w:color="auto" w:fill="auto"/>
                  <w:vAlign w:val="center"/>
                </w:tcPr>
                <w:p>
                  <w:pPr>
                    <w:pStyle w:val="63"/>
                    <w:rPr>
                      <w:color w:val="auto"/>
                    </w:rPr>
                  </w:pPr>
                  <w:r>
                    <w:rPr>
                      <w:rFonts w:hint="eastAsia"/>
                      <w:color w:val="auto"/>
                    </w:rPr>
                    <w:t>腐蚀</w:t>
                  </w:r>
                </w:p>
              </w:tc>
              <w:tc>
                <w:tcPr>
                  <w:tcW w:w="3725" w:type="pct"/>
                  <w:shd w:val="clear" w:color="auto" w:fill="auto"/>
                  <w:vAlign w:val="center"/>
                </w:tcPr>
                <w:p>
                  <w:pPr>
                    <w:pStyle w:val="63"/>
                    <w:rPr>
                      <w:color w:val="auto"/>
                    </w:rPr>
                  </w:pPr>
                  <w:r>
                    <w:rPr>
                      <w:color w:val="auto"/>
                    </w:rPr>
                    <w:t>物质泄漏或违章作业导致对设备及人员的腐蚀</w:t>
                  </w:r>
                </w:p>
              </w:tc>
            </w:tr>
          </w:tbl>
          <w:p>
            <w:pPr>
              <w:pStyle w:val="70"/>
              <w:rPr>
                <w:color w:val="auto"/>
              </w:rPr>
            </w:pPr>
            <w:bookmarkStart w:id="9" w:name="_Toc59528870"/>
            <w:bookmarkStart w:id="10" w:name="_Toc306116087"/>
            <w:r>
              <w:rPr>
                <w:rFonts w:hint="eastAsia"/>
                <w:color w:val="auto"/>
              </w:rPr>
              <w:t>4.2.</w:t>
            </w:r>
            <w:r>
              <w:rPr>
                <w:color w:val="auto"/>
              </w:rPr>
              <w:t>6</w:t>
            </w:r>
            <w:r>
              <w:rPr>
                <w:rFonts w:hint="eastAsia"/>
                <w:color w:val="auto"/>
              </w:rPr>
              <w:t>.</w:t>
            </w:r>
            <w:r>
              <w:rPr>
                <w:color w:val="auto"/>
              </w:rPr>
              <w:t>4环境风险分析</w:t>
            </w:r>
            <w:bookmarkEnd w:id="9"/>
          </w:p>
          <w:p>
            <w:pPr>
              <w:ind w:firstLine="480"/>
              <w:rPr>
                <w:color w:val="auto"/>
              </w:rPr>
            </w:pPr>
            <w:r>
              <w:rPr>
                <w:rFonts w:hint="eastAsia"/>
                <w:color w:val="auto"/>
              </w:rPr>
              <w:t>本次技改仅涉及天然气燃烧系统改造，不对后续酸洗等工序进行改造，根据原项目环评分析，</w:t>
            </w:r>
            <w:r>
              <w:rPr>
                <w:color w:val="auto"/>
              </w:rPr>
              <w:t>硫酸、硝酸和氢氟酸储罐在破裂发生泄漏情况下，在围堰内形成液池并发生质量蒸发。当储罐发生泄漏事故时最大落地浓度点在50m范围内，在50m范围主要为项目区，影响人群为当班人员，超过最高允许浓度范围确定为应急处理的范围，因此当发生废液泄漏事故时，在50m范围内的当班人员应该迅速撤离，泄漏事故发生不会对厂区周边环境及敏感点的民众产生严重的危害。</w:t>
            </w:r>
            <w:r>
              <w:rPr>
                <w:rFonts w:hint="eastAsia"/>
                <w:color w:val="auto"/>
              </w:rPr>
              <w:t>现有项目</w:t>
            </w:r>
            <w:r>
              <w:rPr>
                <w:color w:val="auto"/>
              </w:rPr>
              <w:t>设置净循环系统（冷却塔+390m</w:t>
            </w:r>
            <w:r>
              <w:rPr>
                <w:color w:val="auto"/>
                <w:vertAlign w:val="superscript"/>
              </w:rPr>
              <w:t>3</w:t>
            </w:r>
            <w:r>
              <w:rPr>
                <w:color w:val="auto"/>
              </w:rPr>
              <w:t>净循环水池+循环水泵）和浊循环系统（平流沉淀池+上塔泵+过滤器+450m</w:t>
            </w:r>
            <w:r>
              <w:rPr>
                <w:color w:val="auto"/>
                <w:vertAlign w:val="superscript"/>
              </w:rPr>
              <w:t>3</w:t>
            </w:r>
            <w:r>
              <w:rPr>
                <w:color w:val="auto"/>
              </w:rPr>
              <w:t>浊循环水池+循环水泵）</w:t>
            </w:r>
            <w:r>
              <w:rPr>
                <w:rFonts w:hint="eastAsia"/>
                <w:color w:val="auto"/>
              </w:rPr>
              <w:t>以及处理规模为40m</w:t>
            </w:r>
            <w:r>
              <w:rPr>
                <w:rFonts w:hint="eastAsia"/>
                <w:color w:val="auto"/>
                <w:vertAlign w:val="superscript"/>
              </w:rPr>
              <w:t>3</w:t>
            </w:r>
            <w:r>
              <w:rPr>
                <w:rFonts w:hint="eastAsia"/>
                <w:color w:val="auto"/>
              </w:rPr>
              <w:t>/h的酸性废水处理系统，建设单位在储罐区设置0.5m高的围堰和对储罐区进行重点防渗，可确保储罐发生泄漏时各种酸性物质能够得到有效的收集和处置，因此对地表水的环境风险是在可控范围内的。</w:t>
            </w:r>
          </w:p>
          <w:p>
            <w:pPr>
              <w:ind w:firstLine="480"/>
              <w:rPr>
                <w:color w:val="auto"/>
              </w:rPr>
            </w:pPr>
            <w:r>
              <w:rPr>
                <w:rFonts w:hint="eastAsia"/>
                <w:color w:val="auto"/>
              </w:rPr>
              <w:t>根据原项目环评风险分析结论，以及全厂突发环境事件应急预案评估结论，现有各项风险防范措施满足要求。</w:t>
            </w:r>
          </w:p>
          <w:p>
            <w:pPr>
              <w:ind w:firstLine="480"/>
              <w:rPr>
                <w:color w:val="auto"/>
              </w:rPr>
            </w:pPr>
            <w:r>
              <w:rPr>
                <w:color w:val="auto"/>
              </w:rPr>
              <w:t>本项目燃气供应系统中存在的危险物质主要为天然气，管理不当，可能出现泄漏，存在的主要危险因素为火灾、其他爆炸，中毒和窒息。</w:t>
            </w:r>
          </w:p>
          <w:p>
            <w:pPr>
              <w:ind w:firstLine="480"/>
              <w:rPr>
                <w:color w:val="auto"/>
              </w:rPr>
            </w:pPr>
            <w:r>
              <w:rPr>
                <w:color w:val="auto"/>
              </w:rPr>
              <w:t>燃气供应系统中天然气泄漏遇到点火源是引起火灾、爆炸等事故主要原因。</w:t>
            </w:r>
          </w:p>
          <w:p>
            <w:pPr>
              <w:ind w:firstLine="480"/>
              <w:rPr>
                <w:color w:val="auto"/>
              </w:rPr>
            </w:pPr>
            <w:r>
              <w:rPr>
                <w:color w:val="auto"/>
              </w:rPr>
              <w:t>1.项目厂内不设天然气储罐，但天然气输送管道存在泄漏风险。导致天然气泄漏原因如下：</w:t>
            </w:r>
          </w:p>
          <w:p>
            <w:pPr>
              <w:ind w:firstLine="480"/>
              <w:rPr>
                <w:color w:val="auto"/>
              </w:rPr>
            </w:pPr>
            <w:r>
              <w:rPr>
                <w:rFonts w:hint="eastAsia" w:ascii="宋体" w:hAnsi="宋体" w:cs="宋体"/>
                <w:color w:val="auto"/>
              </w:rPr>
              <w:t>①</w:t>
            </w:r>
            <w:r>
              <w:rPr>
                <w:color w:val="auto"/>
              </w:rPr>
              <w:t>天然气管道、法兰等设备的材质、规格、强度不合理；</w:t>
            </w:r>
          </w:p>
          <w:p>
            <w:pPr>
              <w:ind w:firstLine="480"/>
              <w:rPr>
                <w:color w:val="auto"/>
              </w:rPr>
            </w:pPr>
            <w:r>
              <w:rPr>
                <w:rFonts w:hint="eastAsia" w:ascii="宋体" w:hAnsi="宋体" w:cs="宋体"/>
                <w:color w:val="auto"/>
              </w:rPr>
              <w:t>②</w:t>
            </w:r>
            <w:r>
              <w:rPr>
                <w:color w:val="auto"/>
              </w:rPr>
              <w:t>天然气管道、法兰等设备的安装存在缺陷，焊接质量不合格；</w:t>
            </w:r>
          </w:p>
          <w:p>
            <w:pPr>
              <w:ind w:firstLine="480"/>
              <w:rPr>
                <w:color w:val="auto"/>
              </w:rPr>
            </w:pPr>
            <w:r>
              <w:rPr>
                <w:rFonts w:hint="eastAsia" w:ascii="宋体" w:hAnsi="宋体" w:cs="宋体"/>
                <w:color w:val="auto"/>
              </w:rPr>
              <w:t>③</w:t>
            </w:r>
            <w:r>
              <w:rPr>
                <w:color w:val="auto"/>
              </w:rPr>
              <w:t>管道、法兰等设备腐蚀、密封件失效，燃气管道被车辆碰撞或人为破坏；</w:t>
            </w:r>
          </w:p>
          <w:p>
            <w:pPr>
              <w:ind w:firstLine="480"/>
              <w:rPr>
                <w:color w:val="auto"/>
              </w:rPr>
            </w:pPr>
            <w:r>
              <w:rPr>
                <w:rFonts w:hint="eastAsia" w:ascii="宋体" w:hAnsi="宋体" w:cs="宋体"/>
                <w:color w:val="auto"/>
              </w:rPr>
              <w:t>④</w:t>
            </w:r>
            <w:r>
              <w:rPr>
                <w:color w:val="auto"/>
              </w:rPr>
              <w:t>天然气管道超压运行。</w:t>
            </w:r>
          </w:p>
          <w:p>
            <w:pPr>
              <w:ind w:firstLine="480"/>
              <w:rPr>
                <w:color w:val="auto"/>
              </w:rPr>
            </w:pPr>
            <w:r>
              <w:rPr>
                <w:color w:val="auto"/>
              </w:rPr>
              <w:t>2.引起火灾、爆炸事故的点火源主要有：</w:t>
            </w:r>
          </w:p>
          <w:p>
            <w:pPr>
              <w:ind w:firstLine="480"/>
              <w:rPr>
                <w:color w:val="auto"/>
              </w:rPr>
            </w:pPr>
            <w:r>
              <w:rPr>
                <w:rFonts w:hint="eastAsia" w:ascii="宋体" w:hAnsi="宋体" w:cs="宋体"/>
                <w:color w:val="auto"/>
              </w:rPr>
              <w:t>①</w:t>
            </w:r>
            <w:r>
              <w:rPr>
                <w:color w:val="auto"/>
              </w:rPr>
              <w:t>明火：点火吸烟、抢修、检修时违章动火、焊接时未按有关规定动火、</w:t>
            </w:r>
            <w:r>
              <w:rPr>
                <w:rFonts w:hint="eastAsia"/>
                <w:color w:val="auto"/>
                <w:lang w:eastAsia="zh-CN"/>
              </w:rPr>
              <w:t>其他</w:t>
            </w:r>
            <w:r>
              <w:rPr>
                <w:color w:val="auto"/>
              </w:rPr>
              <w:t>火源等。</w:t>
            </w:r>
          </w:p>
          <w:p>
            <w:pPr>
              <w:ind w:firstLine="480"/>
              <w:rPr>
                <w:color w:val="auto"/>
              </w:rPr>
            </w:pPr>
            <w:r>
              <w:rPr>
                <w:rFonts w:hint="eastAsia" w:ascii="宋体" w:hAnsi="宋体" w:cs="宋体"/>
                <w:color w:val="auto"/>
              </w:rPr>
              <w:t>②</w:t>
            </w:r>
            <w:r>
              <w:rPr>
                <w:color w:val="auto"/>
              </w:rPr>
              <w:t>静电火花：产生静电积聚大致有下述几种情况，天然气在设备和管道中流动产生的静电，人体静电等；</w:t>
            </w:r>
          </w:p>
          <w:p>
            <w:pPr>
              <w:ind w:firstLine="480"/>
              <w:rPr>
                <w:color w:val="auto"/>
              </w:rPr>
            </w:pPr>
            <w:r>
              <w:rPr>
                <w:rFonts w:hint="eastAsia" w:ascii="宋体" w:hAnsi="宋体" w:cs="宋体"/>
                <w:color w:val="auto"/>
              </w:rPr>
              <w:t>③</w:t>
            </w:r>
            <w:r>
              <w:rPr>
                <w:color w:val="auto"/>
              </w:rPr>
              <w:t>机械火花：因碰撞或摩擦而产生火花。如：使用普通金属工具相互碰撞打火等。</w:t>
            </w:r>
          </w:p>
          <w:p>
            <w:pPr>
              <w:ind w:firstLine="480"/>
              <w:rPr>
                <w:color w:val="auto"/>
              </w:rPr>
            </w:pPr>
            <w:r>
              <w:rPr>
                <w:rFonts w:hint="eastAsia" w:ascii="宋体" w:hAnsi="宋体" w:cs="宋体"/>
                <w:color w:val="auto"/>
              </w:rPr>
              <w:t>④</w:t>
            </w:r>
            <w:r>
              <w:rPr>
                <w:color w:val="auto"/>
              </w:rPr>
              <w:t>火花及过热点：在爆炸危险区内未采用防爆电气，使用普通电器和非防爆线路敷设方法，正常使用产生的电火花；电器老化、接线松动、接触不良产生的电火花和过热点；电气设备损坏、短路；违反操作规程等引起的电气火灾均可能引起爆炸和火灾。</w:t>
            </w:r>
          </w:p>
          <w:p>
            <w:pPr>
              <w:ind w:firstLine="480"/>
              <w:rPr>
                <w:color w:val="auto"/>
              </w:rPr>
            </w:pPr>
            <w:r>
              <w:rPr>
                <w:rFonts w:hint="eastAsia" w:ascii="宋体" w:hAnsi="宋体" w:cs="宋体"/>
                <w:color w:val="auto"/>
              </w:rPr>
              <w:t>⑤</w:t>
            </w:r>
            <w:r>
              <w:rPr>
                <w:color w:val="auto"/>
              </w:rPr>
              <w:t>雷电：雷电是大自然中静电高强度放电过程，对设备的破坏和人员伤害极其严重，同时可能引起火灾爆炸。</w:t>
            </w:r>
          </w:p>
          <w:p>
            <w:pPr>
              <w:pStyle w:val="70"/>
              <w:rPr>
                <w:color w:val="auto"/>
              </w:rPr>
            </w:pPr>
            <w:bookmarkStart w:id="11" w:name="_Toc59528874"/>
            <w:r>
              <w:rPr>
                <w:rFonts w:hint="eastAsia"/>
                <w:color w:val="auto"/>
              </w:rPr>
              <w:t>4.2.</w:t>
            </w:r>
            <w:r>
              <w:rPr>
                <w:color w:val="auto"/>
              </w:rPr>
              <w:t>6</w:t>
            </w:r>
            <w:r>
              <w:rPr>
                <w:rFonts w:hint="eastAsia"/>
                <w:color w:val="auto"/>
              </w:rPr>
              <w:t>.</w:t>
            </w:r>
            <w:r>
              <w:rPr>
                <w:color w:val="auto"/>
              </w:rPr>
              <w:t>5环境风险防范措施</w:t>
            </w:r>
            <w:bookmarkEnd w:id="11"/>
          </w:p>
          <w:p>
            <w:pPr>
              <w:pStyle w:val="80"/>
              <w:ind w:firstLine="482"/>
              <w:rPr>
                <w:color w:val="auto"/>
              </w:rPr>
            </w:pPr>
            <w:r>
              <w:rPr>
                <w:rFonts w:hint="eastAsia"/>
                <w:color w:val="auto"/>
              </w:rPr>
              <w:t>1</w:t>
            </w:r>
            <w:r>
              <w:rPr>
                <w:color w:val="auto"/>
              </w:rPr>
              <w:t>.</w:t>
            </w:r>
            <w:r>
              <w:rPr>
                <w:rFonts w:hint="eastAsia"/>
                <w:color w:val="auto"/>
              </w:rPr>
              <w:t>现有项目已采取的环境风险防范措施</w:t>
            </w:r>
          </w:p>
          <w:p>
            <w:pPr>
              <w:ind w:firstLine="480"/>
              <w:rPr>
                <w:color w:val="auto"/>
              </w:rPr>
            </w:pPr>
            <w:r>
              <w:rPr>
                <w:rFonts w:hint="eastAsia"/>
                <w:color w:val="auto"/>
              </w:rPr>
              <w:t>①各环保设施通过</w:t>
            </w:r>
            <w:r>
              <w:rPr>
                <w:rFonts w:hint="eastAsia"/>
                <w:color w:val="auto"/>
                <w:lang w:eastAsia="zh-CN"/>
              </w:rPr>
              <w:t>制定</w:t>
            </w:r>
            <w:r>
              <w:rPr>
                <w:rFonts w:hint="eastAsia"/>
                <w:color w:val="auto"/>
              </w:rPr>
              <w:t>操作规程、维护保养规程、检修制度等，完善</w:t>
            </w:r>
            <w:r>
              <w:rPr>
                <w:rFonts w:hint="eastAsia"/>
                <w:color w:val="auto"/>
                <w:lang w:eastAsia="zh-CN"/>
              </w:rPr>
              <w:t>台账资料</w:t>
            </w:r>
            <w:r>
              <w:rPr>
                <w:rFonts w:hint="eastAsia"/>
                <w:color w:val="auto"/>
              </w:rPr>
              <w:t>，确保其完好率和处理效率。</w:t>
            </w:r>
          </w:p>
          <w:p>
            <w:pPr>
              <w:ind w:firstLine="480"/>
              <w:rPr>
                <w:color w:val="auto"/>
              </w:rPr>
            </w:pPr>
            <w:r>
              <w:rPr>
                <w:rFonts w:hint="eastAsia"/>
                <w:color w:val="auto"/>
              </w:rPr>
              <w:t>②加强环保设施的运行管理和日常维护，做好日常的设施运行记录，采取措施，保障各项环保设施正常运行。</w:t>
            </w:r>
          </w:p>
          <w:p>
            <w:pPr>
              <w:ind w:firstLine="480"/>
              <w:rPr>
                <w:color w:val="auto"/>
              </w:rPr>
            </w:pPr>
            <w:r>
              <w:rPr>
                <w:rFonts w:hint="eastAsia"/>
                <w:color w:val="auto"/>
              </w:rPr>
              <w:t>③建立运行档案，及时发现除尘器的故障，如一旦确定除尘器故障，则应立即组织停产检修，减少事故排放对环境的影响。</w:t>
            </w:r>
          </w:p>
          <w:p>
            <w:pPr>
              <w:ind w:firstLine="480"/>
              <w:rPr>
                <w:color w:val="auto"/>
              </w:rPr>
            </w:pPr>
            <w:r>
              <w:rPr>
                <w:rFonts w:hint="eastAsia"/>
                <w:color w:val="auto"/>
              </w:rPr>
              <w:t>④加强对废气处理系统的维护、保养、保障系统正常运行。制定废气处理系统故障应急方案，定期对管理人员和技术人员的培训和管理。</w:t>
            </w:r>
          </w:p>
          <w:p>
            <w:pPr>
              <w:pStyle w:val="80"/>
              <w:ind w:firstLine="482"/>
              <w:rPr>
                <w:color w:val="auto"/>
              </w:rPr>
            </w:pPr>
            <w:r>
              <w:rPr>
                <w:rFonts w:hint="eastAsia"/>
                <w:color w:val="auto"/>
              </w:rPr>
              <w:t>2</w:t>
            </w:r>
            <w:r>
              <w:rPr>
                <w:color w:val="auto"/>
              </w:rPr>
              <w:t>.</w:t>
            </w:r>
            <w:r>
              <w:rPr>
                <w:rFonts w:hint="eastAsia"/>
                <w:color w:val="auto"/>
              </w:rPr>
              <w:t>本次技改新增风险防范措施</w:t>
            </w:r>
          </w:p>
          <w:p>
            <w:pPr>
              <w:ind w:firstLine="480"/>
              <w:rPr>
                <w:color w:val="auto"/>
              </w:rPr>
            </w:pPr>
            <w:r>
              <w:rPr>
                <w:rFonts w:hint="eastAsia" w:ascii="宋体" w:hAnsi="宋体" w:cs="宋体"/>
                <w:color w:val="auto"/>
              </w:rPr>
              <w:t>①</w:t>
            </w:r>
            <w:r>
              <w:rPr>
                <w:color w:val="auto"/>
              </w:rPr>
              <w:t>在车间设置可燃气体报警探测器。</w:t>
            </w:r>
          </w:p>
          <w:p>
            <w:pPr>
              <w:ind w:firstLine="480"/>
              <w:rPr>
                <w:color w:val="auto"/>
              </w:rPr>
            </w:pPr>
            <w:r>
              <w:rPr>
                <w:rFonts w:hint="eastAsia" w:ascii="宋体" w:hAnsi="宋体" w:cs="宋体"/>
                <w:color w:val="auto"/>
              </w:rPr>
              <w:t>②</w:t>
            </w:r>
            <w:r>
              <w:rPr>
                <w:color w:val="auto"/>
              </w:rPr>
              <w:t>加强对职工的教育培训，增强职工环境风险意识，制定和强化各种安全管理。</w:t>
            </w:r>
          </w:p>
          <w:p>
            <w:pPr>
              <w:ind w:firstLine="480"/>
              <w:rPr>
                <w:color w:val="auto"/>
              </w:rPr>
            </w:pPr>
            <w:r>
              <w:rPr>
                <w:rFonts w:hint="eastAsia" w:ascii="宋体" w:hAnsi="宋体" w:cs="宋体"/>
                <w:color w:val="auto"/>
              </w:rPr>
              <w:t>③</w:t>
            </w:r>
            <w:r>
              <w:rPr>
                <w:color w:val="auto"/>
              </w:rPr>
              <w:t>合理选择电气设备和监控系统，安装报警设施和自动灭火系统，做好防雷、防爆、防静电设计，配备消防栓、干粉灭火器等消防设施和消防工具；对可能产生静电危害的工作场所，配置个人静电防护用品。</w:t>
            </w:r>
          </w:p>
          <w:p>
            <w:pPr>
              <w:ind w:firstLine="480"/>
              <w:rPr>
                <w:color w:val="auto"/>
              </w:rPr>
            </w:pPr>
            <w:r>
              <w:rPr>
                <w:rFonts w:hint="eastAsia" w:ascii="宋体" w:hAnsi="宋体" w:cs="宋体"/>
                <w:color w:val="auto"/>
              </w:rPr>
              <w:t>④</w:t>
            </w:r>
            <w:r>
              <w:rPr>
                <w:rFonts w:hint="eastAsia"/>
                <w:color w:val="auto"/>
              </w:rPr>
              <w:t>本项目新增的风险物质天然气，及时修订全厂</w:t>
            </w:r>
            <w:r>
              <w:rPr>
                <w:color w:val="auto"/>
              </w:rPr>
              <w:t>突发环境事件应急预案，</w:t>
            </w:r>
            <w:r>
              <w:rPr>
                <w:rFonts w:hint="eastAsia"/>
                <w:color w:val="auto"/>
              </w:rPr>
              <w:t>并</w:t>
            </w:r>
            <w:r>
              <w:rPr>
                <w:color w:val="auto"/>
              </w:rPr>
              <w:t>按应急预案进行日常演练。</w:t>
            </w:r>
          </w:p>
          <w:p>
            <w:pPr>
              <w:ind w:firstLine="480"/>
              <w:rPr>
                <w:color w:val="auto"/>
              </w:rPr>
            </w:pPr>
            <w:r>
              <w:rPr>
                <w:rFonts w:hint="eastAsia" w:ascii="宋体" w:hAnsi="宋体" w:cs="宋体"/>
                <w:color w:val="auto"/>
              </w:rPr>
              <w:t>⑤</w:t>
            </w:r>
            <w:r>
              <w:rPr>
                <w:color w:val="auto"/>
              </w:rPr>
              <w:t>组织应急救援队伍，配备必要的应急物资，一旦发生事故，及时救治。</w:t>
            </w:r>
          </w:p>
          <w:p>
            <w:pPr>
              <w:pStyle w:val="70"/>
              <w:rPr>
                <w:color w:val="auto"/>
              </w:rPr>
            </w:pPr>
            <w:r>
              <w:rPr>
                <w:rFonts w:hint="eastAsia"/>
                <w:color w:val="auto"/>
              </w:rPr>
              <w:t>4</w:t>
            </w:r>
            <w:r>
              <w:rPr>
                <w:color w:val="auto"/>
              </w:rPr>
              <w:t>.2.7.6环境风险结论</w:t>
            </w:r>
          </w:p>
          <w:p>
            <w:pPr>
              <w:ind w:firstLine="480"/>
              <w:rPr>
                <w:color w:val="auto"/>
              </w:rPr>
            </w:pPr>
            <w:r>
              <w:rPr>
                <w:color w:val="auto"/>
              </w:rPr>
              <w:t>通过采取本报告中的</w:t>
            </w:r>
            <w:r>
              <w:rPr>
                <w:rFonts w:hint="eastAsia"/>
                <w:color w:val="auto"/>
              </w:rPr>
              <w:t>具体</w:t>
            </w:r>
            <w:r>
              <w:rPr>
                <w:color w:val="auto"/>
              </w:rPr>
              <w:t>措施后，可在较大程度上避免风险的发生。同时建设方应针对项目所涉及的环境风险，制定相应的突发环境事件应急预案，可在较短时间内控制风险对环境的影响范围和程度，项目环境风险为可控的。</w:t>
            </w:r>
          </w:p>
          <w:p>
            <w:pPr>
              <w:ind w:firstLine="480"/>
              <w:rPr>
                <w:color w:val="auto"/>
              </w:rPr>
            </w:pPr>
            <w:r>
              <w:rPr>
                <w:color w:val="auto"/>
              </w:rPr>
              <w:t>本项目拟采取的环境风险防范措施有效可行。项目环境风险可防控，总体环境风险小。风险评价内容总结见表4.2.6-5。</w:t>
            </w:r>
          </w:p>
          <w:p>
            <w:pPr>
              <w:pStyle w:val="66"/>
              <w:rPr>
                <w:color w:val="auto"/>
              </w:rPr>
            </w:pPr>
            <w:r>
              <w:rPr>
                <w:color w:val="auto"/>
              </w:rPr>
              <w:t>表4.2.6-5 建设项目环境风险简单分析内容表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6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5"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建设项目名称</w:t>
                  </w:r>
                </w:p>
              </w:tc>
              <w:tc>
                <w:tcPr>
                  <w:tcW w:w="4025"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rFonts w:hint="eastAsia"/>
                      <w:bCs/>
                      <w:color w:val="auto"/>
                    </w:rPr>
                    <w:t>年产30万吨热退酸洗生产线煤气改天然气技改项目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5"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建设地点</w:t>
                  </w:r>
                </w:p>
              </w:tc>
              <w:tc>
                <w:tcPr>
                  <w:tcW w:w="4025"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rFonts w:hint="eastAsia"/>
                      <w:color w:val="auto"/>
                    </w:rPr>
                    <w:t>云南师宗产业园区大同片区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5"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地理坐标</w:t>
                  </w:r>
                </w:p>
              </w:tc>
              <w:tc>
                <w:tcPr>
                  <w:tcW w:w="4025"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104°3′40.68361″   24°47′56.42947″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5"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主要危险物质及分布</w:t>
                  </w:r>
                </w:p>
              </w:tc>
              <w:tc>
                <w:tcPr>
                  <w:tcW w:w="4025"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rFonts w:hint="eastAsia"/>
                      <w:color w:val="auto"/>
                    </w:rPr>
                    <w:t>天然气的主要成分为甲烷，本项目不设天然气贮存设施，天然气分布于厂区天然气输气管道内。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5"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环境影响</w:t>
                  </w:r>
                  <w:r>
                    <w:rPr>
                      <w:rFonts w:hint="eastAsia"/>
                      <w:color w:val="auto"/>
                    </w:rPr>
                    <w:t>途径</w:t>
                  </w:r>
                  <w:r>
                    <w:rPr>
                      <w:color w:val="auto"/>
                    </w:rPr>
                    <w:t>及危险后果</w:t>
                  </w:r>
                </w:p>
              </w:tc>
              <w:tc>
                <w:tcPr>
                  <w:tcW w:w="4025"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rFonts w:hint="eastAsia"/>
                      <w:color w:val="auto"/>
                    </w:rPr>
                    <w:t>天然气：泄漏导致火灾爆炸风险，将对大气环境产生影响，对人群健康产生有害的影响。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5"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风险防范措施要求</w:t>
                  </w:r>
                </w:p>
              </w:tc>
              <w:tc>
                <w:tcPr>
                  <w:tcW w:w="4025" w:type="pct"/>
                  <w:tcBorders>
                    <w:top w:val="single" w:color="auto" w:sz="4" w:space="0"/>
                    <w:left w:val="single" w:color="auto" w:sz="4" w:space="0"/>
                    <w:bottom w:val="single" w:color="auto" w:sz="4" w:space="0"/>
                    <w:right w:val="single" w:color="auto" w:sz="4" w:space="0"/>
                  </w:tcBorders>
                  <w:vAlign w:val="center"/>
                </w:tcPr>
                <w:p>
                  <w:pPr>
                    <w:pStyle w:val="63"/>
                    <w:rPr>
                      <w:color w:val="auto"/>
                    </w:rPr>
                  </w:pPr>
                  <w:r>
                    <w:rPr>
                      <w:rFonts w:hint="eastAsia"/>
                      <w:color w:val="auto"/>
                    </w:rPr>
                    <w:t>天然气泄漏风险防范措施：在车间设置可燃气体报警探测器；加强对职工的教育培训，增强职工环境风险意识，制定和强化各种安全管理；合理选择电气设备和监控系统，安装报警设施和自动灭火系统，做好防雷、防爆、防静电设计，配备消防栓、干粉灭火器等消防设施和消防工具；对可能产生静电危害的工作场所，配置个人静电防护用品；</w:t>
                  </w:r>
                  <w:r>
                    <w:rPr>
                      <w:rFonts w:hint="eastAsia"/>
                      <w:color w:val="auto"/>
                      <w:lang w:eastAsia="zh-CN"/>
                    </w:rPr>
                    <w:t>修编全厂</w:t>
                  </w:r>
                  <w:r>
                    <w:rPr>
                      <w:rFonts w:hint="eastAsia"/>
                      <w:color w:val="auto"/>
                    </w:rPr>
                    <w:t>突发环境事件应急预案，按应急预案进行日常演练。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pPr>
                    <w:pStyle w:val="63"/>
                    <w:rPr>
                      <w:color w:val="auto"/>
                    </w:rPr>
                  </w:pPr>
                  <w:r>
                    <w:rPr>
                      <w:color w:val="auto"/>
                    </w:rPr>
                    <w:t>填表说明（列出项目相关信息及评价说明）：</w:t>
                  </w:r>
                </w:p>
                <w:p>
                  <w:pPr>
                    <w:pStyle w:val="63"/>
                    <w:rPr>
                      <w:color w:val="auto"/>
                    </w:rPr>
                  </w:pPr>
                  <w:r>
                    <w:rPr>
                      <w:color w:val="auto"/>
                    </w:rPr>
                    <w:t>本项目拟采取的环境风险防范措施有效可行。项目环境风险可防控，总体环境风险小，根据项目Q值计算，判定环境风险潜势为I，项目环境风险为简单分析。</w:t>
                  </w:r>
                </w:p>
              </w:tc>
            </w:tr>
            <w:bookmarkEnd w:id="10"/>
          </w:tbl>
          <w:p>
            <w:pPr>
              <w:pStyle w:val="51"/>
              <w:spacing w:before="120" w:after="120"/>
              <w:rPr>
                <w:color w:val="auto"/>
              </w:rPr>
            </w:pPr>
            <w:r>
              <w:rPr>
                <w:rFonts w:hint="eastAsia"/>
                <w:color w:val="auto"/>
              </w:rPr>
              <w:t>4.3本项目污染物汇总情况</w:t>
            </w:r>
          </w:p>
          <w:p>
            <w:pPr>
              <w:ind w:firstLine="480"/>
              <w:rPr>
                <w:color w:val="auto"/>
              </w:rPr>
            </w:pPr>
            <w:r>
              <w:rPr>
                <w:rFonts w:hint="eastAsia"/>
                <w:color w:val="auto"/>
              </w:rPr>
              <w:t>本项目主要污染物产生及排放情况见下表。</w:t>
            </w:r>
          </w:p>
          <w:p>
            <w:pPr>
              <w:pStyle w:val="66"/>
              <w:rPr>
                <w:color w:val="auto"/>
              </w:rPr>
            </w:pPr>
            <w:r>
              <w:rPr>
                <w:rFonts w:hint="eastAsia"/>
                <w:color w:val="auto"/>
              </w:rPr>
              <w:t>表4.3-1 项目主要污染物产生及排放情况</w:t>
            </w:r>
          </w:p>
          <w:tbl>
            <w:tblPr>
              <w:tblStyle w:val="2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44"/>
              <w:gridCol w:w="1205"/>
              <w:gridCol w:w="1135"/>
              <w:gridCol w:w="2410"/>
              <w:gridCol w:w="23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75" w:type="pct"/>
                  <w:vAlign w:val="center"/>
                </w:tcPr>
                <w:p>
                  <w:pPr>
                    <w:pStyle w:val="63"/>
                    <w:rPr>
                      <w:color w:val="auto"/>
                    </w:rPr>
                  </w:pPr>
                  <w:r>
                    <w:rPr>
                      <w:color w:val="auto"/>
                    </w:rPr>
                    <w:t>污染类别</w:t>
                  </w:r>
                </w:p>
              </w:tc>
              <w:tc>
                <w:tcPr>
                  <w:tcW w:w="769" w:type="pct"/>
                  <w:vAlign w:val="center"/>
                </w:tcPr>
                <w:p>
                  <w:pPr>
                    <w:pStyle w:val="63"/>
                    <w:rPr>
                      <w:color w:val="auto"/>
                    </w:rPr>
                  </w:pPr>
                  <w:r>
                    <w:rPr>
                      <w:color w:val="auto"/>
                    </w:rPr>
                    <w:t>排放源</w:t>
                  </w:r>
                </w:p>
              </w:tc>
              <w:tc>
                <w:tcPr>
                  <w:tcW w:w="724" w:type="pct"/>
                  <w:vAlign w:val="center"/>
                </w:tcPr>
                <w:p>
                  <w:pPr>
                    <w:pStyle w:val="63"/>
                    <w:rPr>
                      <w:color w:val="auto"/>
                    </w:rPr>
                  </w:pPr>
                  <w:r>
                    <w:rPr>
                      <w:color w:val="auto"/>
                    </w:rPr>
                    <w:t>污染物名称</w:t>
                  </w:r>
                </w:p>
              </w:tc>
              <w:tc>
                <w:tcPr>
                  <w:tcW w:w="1538" w:type="pct"/>
                  <w:vAlign w:val="center"/>
                </w:tcPr>
                <w:p>
                  <w:pPr>
                    <w:pStyle w:val="63"/>
                    <w:rPr>
                      <w:color w:val="auto"/>
                    </w:rPr>
                  </w:pPr>
                  <w:r>
                    <w:rPr>
                      <w:color w:val="auto"/>
                    </w:rPr>
                    <w:t>产生浓度及产生量</w:t>
                  </w:r>
                </w:p>
              </w:tc>
              <w:tc>
                <w:tcPr>
                  <w:tcW w:w="1494" w:type="pct"/>
                  <w:vAlign w:val="center"/>
                </w:tcPr>
                <w:p>
                  <w:pPr>
                    <w:pStyle w:val="63"/>
                    <w:rPr>
                      <w:color w:val="auto"/>
                    </w:rPr>
                  </w:pPr>
                  <w:r>
                    <w:rPr>
                      <w:color w:val="auto"/>
                    </w:rPr>
                    <w:t>排放浓度及排放量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75" w:type="pct"/>
                  <w:vMerge w:val="restart"/>
                  <w:vAlign w:val="center"/>
                </w:tcPr>
                <w:p>
                  <w:pPr>
                    <w:pStyle w:val="63"/>
                    <w:rPr>
                      <w:color w:val="auto"/>
                    </w:rPr>
                  </w:pPr>
                  <w:r>
                    <w:rPr>
                      <w:rFonts w:hint="eastAsia"/>
                      <w:color w:val="auto"/>
                      <w:lang w:eastAsia="zh-CN"/>
                    </w:rPr>
                    <w:t>废气</w:t>
                  </w:r>
                </w:p>
              </w:tc>
              <w:tc>
                <w:tcPr>
                  <w:tcW w:w="769" w:type="pct"/>
                  <w:vMerge w:val="restart"/>
                  <w:vAlign w:val="center"/>
                </w:tcPr>
                <w:p>
                  <w:pPr>
                    <w:pStyle w:val="63"/>
                    <w:rPr>
                      <w:color w:val="auto"/>
                      <w:lang w:eastAsia="zh-CN"/>
                    </w:rPr>
                  </w:pPr>
                  <w:r>
                    <w:rPr>
                      <w:rFonts w:hint="eastAsia"/>
                      <w:color w:val="auto"/>
                      <w:lang w:eastAsia="zh-CN"/>
                    </w:rPr>
                    <w:t>热退火炉</w:t>
                  </w:r>
                </w:p>
                <w:p>
                  <w:pPr>
                    <w:pStyle w:val="63"/>
                    <w:rPr>
                      <w:color w:val="auto"/>
                    </w:rPr>
                  </w:pPr>
                  <w:r>
                    <w:rPr>
                      <w:rFonts w:hint="eastAsia"/>
                      <w:color w:val="auto"/>
                      <w:lang w:eastAsia="zh-CN"/>
                    </w:rPr>
                    <w:t>（D</w:t>
                  </w:r>
                  <w:r>
                    <w:rPr>
                      <w:color w:val="auto"/>
                      <w:lang w:eastAsia="zh-CN"/>
                    </w:rPr>
                    <w:t>A003</w:t>
                  </w:r>
                  <w:r>
                    <w:rPr>
                      <w:rFonts w:hint="eastAsia"/>
                      <w:color w:val="auto"/>
                      <w:lang w:eastAsia="zh-CN"/>
                    </w:rPr>
                    <w:t>）</w:t>
                  </w:r>
                </w:p>
              </w:tc>
              <w:tc>
                <w:tcPr>
                  <w:tcW w:w="724" w:type="pct"/>
                  <w:vAlign w:val="center"/>
                </w:tcPr>
                <w:p>
                  <w:pPr>
                    <w:pStyle w:val="63"/>
                    <w:rPr>
                      <w:color w:val="auto"/>
                    </w:rPr>
                  </w:pPr>
                  <w:r>
                    <w:rPr>
                      <w:rFonts w:hint="eastAsia"/>
                      <w:color w:val="auto"/>
                    </w:rPr>
                    <w:t>颗粒物</w:t>
                  </w:r>
                </w:p>
              </w:tc>
              <w:tc>
                <w:tcPr>
                  <w:tcW w:w="1538" w:type="pct"/>
                  <w:vAlign w:val="center"/>
                </w:tcPr>
                <w:p>
                  <w:pPr>
                    <w:pStyle w:val="63"/>
                    <w:rPr>
                      <w:color w:val="auto"/>
                      <w:lang w:eastAsia="zh-CN"/>
                    </w:rPr>
                  </w:pPr>
                  <w:r>
                    <w:rPr>
                      <w:color w:val="auto"/>
                      <w:lang w:val="en-US" w:eastAsia="zh-CN"/>
                    </w:rPr>
                    <w:t>1.8t/a</w:t>
                  </w:r>
                  <w:r>
                    <w:rPr>
                      <w:rFonts w:hint="eastAsia"/>
                      <w:color w:val="auto"/>
                      <w:lang w:val="en-US" w:eastAsia="zh-CN"/>
                    </w:rPr>
                    <w:t>，</w:t>
                  </w:r>
                  <w:r>
                    <w:rPr>
                      <w:color w:val="auto"/>
                      <w:lang w:val="en-US" w:eastAsia="zh-CN"/>
                    </w:rPr>
                    <w:t>15.58mg/m</w:t>
                  </w:r>
                  <w:r>
                    <w:rPr>
                      <w:color w:val="auto"/>
                      <w:vertAlign w:val="superscript"/>
                      <w:lang w:val="en-US" w:eastAsia="zh-CN"/>
                    </w:rPr>
                    <w:t>3</w:t>
                  </w:r>
                </w:p>
              </w:tc>
              <w:tc>
                <w:tcPr>
                  <w:tcW w:w="1494" w:type="pct"/>
                  <w:vAlign w:val="center"/>
                </w:tcPr>
                <w:p>
                  <w:pPr>
                    <w:pStyle w:val="63"/>
                    <w:rPr>
                      <w:color w:val="auto"/>
                    </w:rPr>
                  </w:pPr>
                  <w:r>
                    <w:rPr>
                      <w:color w:val="auto"/>
                      <w:lang w:val="en-US" w:eastAsia="zh-CN"/>
                    </w:rPr>
                    <w:t>1.8t/a</w:t>
                  </w:r>
                  <w:r>
                    <w:rPr>
                      <w:rFonts w:hint="eastAsia"/>
                      <w:color w:val="auto"/>
                      <w:lang w:val="en-US" w:eastAsia="zh-CN"/>
                    </w:rPr>
                    <w:t>，</w:t>
                  </w:r>
                  <w:r>
                    <w:rPr>
                      <w:color w:val="auto"/>
                      <w:lang w:val="en-US" w:eastAsia="zh-CN"/>
                    </w:rPr>
                    <w:t>15.58mg/m</w:t>
                  </w:r>
                  <w:r>
                    <w:rPr>
                      <w:color w:val="auto"/>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75" w:type="pct"/>
                  <w:vMerge w:val="continue"/>
                  <w:vAlign w:val="center"/>
                </w:tcPr>
                <w:p>
                  <w:pPr>
                    <w:pStyle w:val="63"/>
                    <w:rPr>
                      <w:color w:val="auto"/>
                      <w:lang w:eastAsia="zh-CN"/>
                    </w:rPr>
                  </w:pPr>
                </w:p>
              </w:tc>
              <w:tc>
                <w:tcPr>
                  <w:tcW w:w="769" w:type="pct"/>
                  <w:vMerge w:val="continue"/>
                  <w:vAlign w:val="center"/>
                </w:tcPr>
                <w:p>
                  <w:pPr>
                    <w:pStyle w:val="63"/>
                    <w:rPr>
                      <w:color w:val="auto"/>
                      <w:lang w:eastAsia="zh-CN"/>
                    </w:rPr>
                  </w:pPr>
                </w:p>
              </w:tc>
              <w:tc>
                <w:tcPr>
                  <w:tcW w:w="724" w:type="pct"/>
                  <w:vAlign w:val="center"/>
                </w:tcPr>
                <w:p>
                  <w:pPr>
                    <w:pStyle w:val="63"/>
                    <w:rPr>
                      <w:color w:val="auto"/>
                    </w:rPr>
                  </w:pPr>
                  <w:r>
                    <w:rPr>
                      <w:rFonts w:hint="eastAsia"/>
                      <w:color w:val="auto"/>
                    </w:rPr>
                    <w:t>二氧化硫</w:t>
                  </w:r>
                </w:p>
              </w:tc>
              <w:tc>
                <w:tcPr>
                  <w:tcW w:w="1538" w:type="pct"/>
                  <w:vAlign w:val="center"/>
                </w:tcPr>
                <w:p>
                  <w:pPr>
                    <w:pStyle w:val="63"/>
                    <w:rPr>
                      <w:color w:val="auto"/>
                      <w:lang w:val="en-US"/>
                    </w:rPr>
                  </w:pPr>
                  <w:r>
                    <w:rPr>
                      <w:color w:val="auto"/>
                      <w:lang w:val="en-US" w:eastAsia="zh-CN"/>
                    </w:rPr>
                    <w:t>2.534t/a</w:t>
                  </w:r>
                  <w:r>
                    <w:rPr>
                      <w:rFonts w:hint="eastAsia"/>
                      <w:color w:val="auto"/>
                      <w:lang w:val="en-US" w:eastAsia="zh-CN"/>
                    </w:rPr>
                    <w:t>，</w:t>
                  </w:r>
                  <w:r>
                    <w:rPr>
                      <w:color w:val="auto"/>
                      <w:lang w:val="en-US" w:eastAsia="zh-CN"/>
                    </w:rPr>
                    <w:t>21.93mg/m</w:t>
                  </w:r>
                  <w:r>
                    <w:rPr>
                      <w:color w:val="auto"/>
                      <w:vertAlign w:val="superscript"/>
                      <w:lang w:val="en-US" w:eastAsia="zh-CN"/>
                    </w:rPr>
                    <w:t>3</w:t>
                  </w:r>
                </w:p>
              </w:tc>
              <w:tc>
                <w:tcPr>
                  <w:tcW w:w="1494" w:type="pct"/>
                  <w:vAlign w:val="center"/>
                </w:tcPr>
                <w:p>
                  <w:pPr>
                    <w:pStyle w:val="63"/>
                    <w:rPr>
                      <w:color w:val="auto"/>
                      <w:lang w:val="en-US"/>
                    </w:rPr>
                  </w:pPr>
                  <w:r>
                    <w:rPr>
                      <w:color w:val="auto"/>
                      <w:lang w:val="en-US" w:eastAsia="zh-CN"/>
                    </w:rPr>
                    <w:t>2.534t/a</w:t>
                  </w:r>
                  <w:r>
                    <w:rPr>
                      <w:rFonts w:hint="eastAsia"/>
                      <w:color w:val="auto"/>
                      <w:lang w:val="en-US" w:eastAsia="zh-CN"/>
                    </w:rPr>
                    <w:t>，</w:t>
                  </w:r>
                  <w:r>
                    <w:rPr>
                      <w:color w:val="auto"/>
                      <w:lang w:val="en-US" w:eastAsia="zh-CN"/>
                    </w:rPr>
                    <w:t>21.93mg/m</w:t>
                  </w:r>
                  <w:r>
                    <w:rPr>
                      <w:color w:val="auto"/>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75" w:type="pct"/>
                  <w:vMerge w:val="continue"/>
                  <w:vAlign w:val="center"/>
                </w:tcPr>
                <w:p>
                  <w:pPr>
                    <w:pStyle w:val="63"/>
                    <w:rPr>
                      <w:color w:val="auto"/>
                      <w:lang w:eastAsia="zh-CN"/>
                    </w:rPr>
                  </w:pPr>
                </w:p>
              </w:tc>
              <w:tc>
                <w:tcPr>
                  <w:tcW w:w="769" w:type="pct"/>
                  <w:vMerge w:val="continue"/>
                  <w:vAlign w:val="center"/>
                </w:tcPr>
                <w:p>
                  <w:pPr>
                    <w:pStyle w:val="63"/>
                    <w:rPr>
                      <w:color w:val="auto"/>
                      <w:lang w:eastAsia="zh-CN"/>
                    </w:rPr>
                  </w:pPr>
                </w:p>
              </w:tc>
              <w:tc>
                <w:tcPr>
                  <w:tcW w:w="724" w:type="pct"/>
                  <w:vAlign w:val="center"/>
                </w:tcPr>
                <w:p>
                  <w:pPr>
                    <w:pStyle w:val="63"/>
                    <w:rPr>
                      <w:color w:val="auto"/>
                    </w:rPr>
                  </w:pPr>
                  <w:r>
                    <w:rPr>
                      <w:rFonts w:hint="eastAsia"/>
                      <w:color w:val="auto"/>
                    </w:rPr>
                    <w:t>氮氧化物</w:t>
                  </w:r>
                </w:p>
              </w:tc>
              <w:tc>
                <w:tcPr>
                  <w:tcW w:w="1538" w:type="pct"/>
                  <w:vAlign w:val="center"/>
                </w:tcPr>
                <w:p>
                  <w:pPr>
                    <w:pStyle w:val="63"/>
                    <w:rPr>
                      <w:color w:val="auto"/>
                      <w:lang w:eastAsia="zh-CN"/>
                    </w:rPr>
                  </w:pPr>
                  <w:r>
                    <w:rPr>
                      <w:color w:val="auto"/>
                      <w:lang w:val="en-US" w:eastAsia="zh-CN"/>
                    </w:rPr>
                    <w:t>9.408t/a</w:t>
                  </w:r>
                  <w:r>
                    <w:rPr>
                      <w:rFonts w:hint="eastAsia"/>
                      <w:color w:val="auto"/>
                      <w:lang w:val="en-US" w:eastAsia="zh-CN"/>
                    </w:rPr>
                    <w:t>，</w:t>
                  </w:r>
                  <w:r>
                    <w:rPr>
                      <w:color w:val="auto"/>
                    </w:rPr>
                    <w:t>81.41</w:t>
                  </w:r>
                  <w:r>
                    <w:rPr>
                      <w:color w:val="auto"/>
                      <w:lang w:val="en-US" w:eastAsia="zh-CN"/>
                    </w:rPr>
                    <w:t>mg/m</w:t>
                  </w:r>
                  <w:r>
                    <w:rPr>
                      <w:color w:val="auto"/>
                      <w:vertAlign w:val="superscript"/>
                      <w:lang w:val="en-US" w:eastAsia="zh-CN"/>
                    </w:rPr>
                    <w:t>3</w:t>
                  </w:r>
                </w:p>
              </w:tc>
              <w:tc>
                <w:tcPr>
                  <w:tcW w:w="1494" w:type="pct"/>
                  <w:vAlign w:val="center"/>
                </w:tcPr>
                <w:p>
                  <w:pPr>
                    <w:pStyle w:val="63"/>
                    <w:rPr>
                      <w:color w:val="auto"/>
                      <w:lang w:val="en-US"/>
                    </w:rPr>
                  </w:pPr>
                  <w:r>
                    <w:rPr>
                      <w:color w:val="auto"/>
                      <w:lang w:val="en-US" w:eastAsia="zh-CN"/>
                    </w:rPr>
                    <w:t>9.408t/a</w:t>
                  </w:r>
                  <w:r>
                    <w:rPr>
                      <w:rFonts w:hint="eastAsia"/>
                      <w:color w:val="auto"/>
                      <w:lang w:val="en-US" w:eastAsia="zh-CN"/>
                    </w:rPr>
                    <w:t>，</w:t>
                  </w:r>
                  <w:r>
                    <w:rPr>
                      <w:color w:val="auto"/>
                    </w:rPr>
                    <w:t>81.41</w:t>
                  </w:r>
                  <w:r>
                    <w:rPr>
                      <w:color w:val="auto"/>
                      <w:lang w:val="en-US" w:eastAsia="zh-CN"/>
                    </w:rPr>
                    <w:t>mg/m</w:t>
                  </w:r>
                  <w:r>
                    <w:rPr>
                      <w:color w:val="auto"/>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75" w:type="pct"/>
                  <w:vAlign w:val="center"/>
                </w:tcPr>
                <w:p>
                  <w:pPr>
                    <w:pStyle w:val="63"/>
                    <w:rPr>
                      <w:color w:val="auto"/>
                    </w:rPr>
                  </w:pPr>
                  <w:r>
                    <w:rPr>
                      <w:color w:val="auto"/>
                    </w:rPr>
                    <w:t>噪声</w:t>
                  </w:r>
                </w:p>
              </w:tc>
              <w:tc>
                <w:tcPr>
                  <w:tcW w:w="4525" w:type="pct"/>
                  <w:gridSpan w:val="4"/>
                  <w:vAlign w:val="center"/>
                </w:tcPr>
                <w:p>
                  <w:pPr>
                    <w:pStyle w:val="63"/>
                    <w:rPr>
                      <w:color w:val="auto"/>
                    </w:rPr>
                  </w:pPr>
                  <w:r>
                    <w:rPr>
                      <w:color w:val="auto"/>
                    </w:rPr>
                    <w:t>设备噪声：</w:t>
                  </w:r>
                  <w:r>
                    <w:rPr>
                      <w:color w:val="auto"/>
                      <w:lang w:eastAsia="zh-CN"/>
                    </w:rPr>
                    <w:t>90</w:t>
                  </w:r>
                  <w:r>
                    <w:rPr>
                      <w:color w:val="auto"/>
                    </w:rPr>
                    <w:t>~10</w:t>
                  </w:r>
                  <w:r>
                    <w:rPr>
                      <w:rFonts w:hint="eastAsia"/>
                      <w:color w:val="auto"/>
                    </w:rPr>
                    <w:t>0</w:t>
                  </w:r>
                  <w:r>
                    <w:rPr>
                      <w:color w:val="auto"/>
                    </w:rPr>
                    <w:t>dB(A)</w:t>
                  </w:r>
                </w:p>
              </w:tc>
            </w:tr>
          </w:tbl>
          <w:p>
            <w:pPr>
              <w:pStyle w:val="51"/>
              <w:spacing w:before="120" w:after="120"/>
              <w:rPr>
                <w:color w:val="auto"/>
              </w:rPr>
            </w:pPr>
            <w:r>
              <w:rPr>
                <w:rFonts w:hint="eastAsia"/>
                <w:color w:val="auto"/>
              </w:rPr>
              <w:t>4</w:t>
            </w:r>
            <w:r>
              <w:rPr>
                <w:color w:val="auto"/>
              </w:rPr>
              <w:t>.4</w:t>
            </w:r>
            <w:r>
              <w:rPr>
                <w:rFonts w:hint="eastAsia"/>
                <w:color w:val="auto"/>
              </w:rPr>
              <w:t>“三本账”核算</w:t>
            </w:r>
          </w:p>
          <w:p>
            <w:pPr>
              <w:ind w:firstLine="480"/>
              <w:rPr>
                <w:color w:val="auto"/>
              </w:rPr>
            </w:pPr>
            <w:r>
              <w:rPr>
                <w:rFonts w:hint="eastAsia"/>
                <w:color w:val="auto"/>
              </w:rPr>
              <w:t>本项目“三本账”核算情况见下表。</w:t>
            </w:r>
          </w:p>
          <w:p>
            <w:pPr>
              <w:pStyle w:val="66"/>
              <w:rPr>
                <w:color w:val="auto"/>
              </w:rPr>
            </w:pPr>
            <w:r>
              <w:rPr>
                <w:rFonts w:hint="eastAsia"/>
                <w:color w:val="auto"/>
              </w:rPr>
              <w:t>表4</w:t>
            </w:r>
            <w:r>
              <w:rPr>
                <w:color w:val="auto"/>
              </w:rPr>
              <w:t xml:space="preserve">.4-1 </w:t>
            </w:r>
            <w:r>
              <w:rPr>
                <w:rFonts w:hint="eastAsia"/>
                <w:color w:val="auto"/>
              </w:rPr>
              <w:t xml:space="preserve">项目“三本账”核算一览表 </w:t>
            </w:r>
            <w:r>
              <w:rPr>
                <w:color w:val="auto"/>
              </w:rPr>
              <w:t xml:space="preserve">   </w:t>
            </w:r>
            <w:r>
              <w:rPr>
                <w:rFonts w:hint="eastAsia"/>
                <w:color w:val="auto"/>
              </w:rPr>
              <w:t>单位：t/a</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986"/>
              <w:gridCol w:w="706"/>
              <w:gridCol w:w="848"/>
              <w:gridCol w:w="704"/>
              <w:gridCol w:w="677"/>
              <w:gridCol w:w="889"/>
              <w:gridCol w:w="867"/>
              <w:gridCol w:w="869"/>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75" w:type="pct"/>
                  <w:vMerge w:val="restart"/>
                  <w:vAlign w:val="center"/>
                </w:tcPr>
                <w:p>
                  <w:pPr>
                    <w:pStyle w:val="63"/>
                    <w:rPr>
                      <w:color w:val="auto"/>
                      <w:lang w:val="en-US"/>
                    </w:rPr>
                  </w:pPr>
                  <w:r>
                    <w:rPr>
                      <w:color w:val="auto"/>
                    </w:rPr>
                    <w:t>分类</w:t>
                  </w:r>
                </w:p>
              </w:tc>
              <w:tc>
                <w:tcPr>
                  <w:tcW w:w="629" w:type="pct"/>
                  <w:vMerge w:val="restart"/>
                  <w:vAlign w:val="center"/>
                </w:tcPr>
                <w:p>
                  <w:pPr>
                    <w:pStyle w:val="63"/>
                    <w:rPr>
                      <w:color w:val="auto"/>
                      <w:lang w:val="en-US"/>
                    </w:rPr>
                  </w:pPr>
                  <w:r>
                    <w:rPr>
                      <w:color w:val="auto"/>
                    </w:rPr>
                    <w:t>污染物名称</w:t>
                  </w:r>
                </w:p>
              </w:tc>
              <w:tc>
                <w:tcPr>
                  <w:tcW w:w="450" w:type="pct"/>
                  <w:vMerge w:val="restart"/>
                  <w:vAlign w:val="center"/>
                </w:tcPr>
                <w:p>
                  <w:pPr>
                    <w:pStyle w:val="63"/>
                    <w:rPr>
                      <w:color w:val="auto"/>
                      <w:lang w:val="en-US"/>
                    </w:rPr>
                  </w:pPr>
                  <w:r>
                    <w:rPr>
                      <w:color w:val="auto"/>
                    </w:rPr>
                    <w:t>现有排放量</w:t>
                  </w:r>
                  <w:r>
                    <w:rPr>
                      <w:rFonts w:hint="eastAsia"/>
                      <w:color w:val="auto"/>
                    </w:rPr>
                    <w:t>/固废产生量</w:t>
                  </w:r>
                </w:p>
              </w:tc>
              <w:tc>
                <w:tcPr>
                  <w:tcW w:w="541" w:type="pct"/>
                  <w:vMerge w:val="restart"/>
                  <w:vAlign w:val="center"/>
                </w:tcPr>
                <w:p>
                  <w:pPr>
                    <w:pStyle w:val="63"/>
                    <w:rPr>
                      <w:color w:val="auto"/>
                      <w:lang w:val="en-US"/>
                    </w:rPr>
                  </w:pPr>
                  <w:r>
                    <w:rPr>
                      <w:rFonts w:hint="eastAsia"/>
                      <w:color w:val="auto"/>
                      <w:lang w:eastAsia="zh-CN"/>
                    </w:rPr>
                    <w:t>在建工程</w:t>
                  </w:r>
                  <w:r>
                    <w:rPr>
                      <w:color w:val="auto"/>
                    </w:rPr>
                    <w:t>排放量</w:t>
                  </w:r>
                  <w:r>
                    <w:rPr>
                      <w:rFonts w:hint="eastAsia"/>
                      <w:color w:val="auto"/>
                    </w:rPr>
                    <w:t>/固废产生量</w:t>
                  </w:r>
                </w:p>
              </w:tc>
              <w:tc>
                <w:tcPr>
                  <w:tcW w:w="1448" w:type="pct"/>
                  <w:gridSpan w:val="3"/>
                  <w:vAlign w:val="center"/>
                </w:tcPr>
                <w:p>
                  <w:pPr>
                    <w:pStyle w:val="63"/>
                    <w:rPr>
                      <w:color w:val="auto"/>
                      <w:lang w:val="en-US"/>
                    </w:rPr>
                  </w:pPr>
                  <w:r>
                    <w:rPr>
                      <w:color w:val="auto"/>
                    </w:rPr>
                    <w:t>本项目</w:t>
                  </w:r>
                </w:p>
              </w:tc>
              <w:tc>
                <w:tcPr>
                  <w:tcW w:w="553" w:type="pct"/>
                  <w:vMerge w:val="restart"/>
                  <w:vAlign w:val="center"/>
                </w:tcPr>
                <w:p>
                  <w:pPr>
                    <w:pStyle w:val="63"/>
                    <w:rPr>
                      <w:color w:val="auto"/>
                      <w:lang w:val="en-US"/>
                    </w:rPr>
                  </w:pPr>
                  <w:r>
                    <w:rPr>
                      <w:color w:val="auto"/>
                      <w:lang w:val="en-US"/>
                    </w:rPr>
                    <w:t>“</w:t>
                  </w:r>
                  <w:r>
                    <w:rPr>
                      <w:color w:val="auto"/>
                    </w:rPr>
                    <w:t>以新代</w:t>
                  </w:r>
                  <w:r>
                    <w:rPr>
                      <w:rFonts w:hint="eastAsia"/>
                      <w:color w:val="auto"/>
                    </w:rPr>
                    <w:t>老</w:t>
                  </w:r>
                  <w:r>
                    <w:rPr>
                      <w:color w:val="auto"/>
                      <w:lang w:val="en-US"/>
                    </w:rPr>
                    <w:t>”</w:t>
                  </w:r>
                  <w:r>
                    <w:rPr>
                      <w:color w:val="auto"/>
                    </w:rPr>
                    <w:t>消减量</w:t>
                  </w:r>
                </w:p>
              </w:tc>
              <w:tc>
                <w:tcPr>
                  <w:tcW w:w="554" w:type="pct"/>
                  <w:vMerge w:val="restart"/>
                  <w:vAlign w:val="center"/>
                </w:tcPr>
                <w:p>
                  <w:pPr>
                    <w:pStyle w:val="63"/>
                    <w:rPr>
                      <w:color w:val="auto"/>
                      <w:lang w:val="en-US"/>
                    </w:rPr>
                  </w:pPr>
                  <w:r>
                    <w:rPr>
                      <w:color w:val="auto"/>
                    </w:rPr>
                    <w:t>预测排放总量</w:t>
                  </w:r>
                  <w:r>
                    <w:rPr>
                      <w:rFonts w:hint="eastAsia"/>
                      <w:color w:val="auto"/>
                    </w:rPr>
                    <w:t>/固废产生量</w:t>
                  </w:r>
                </w:p>
              </w:tc>
              <w:tc>
                <w:tcPr>
                  <w:tcW w:w="550" w:type="pct"/>
                  <w:vMerge w:val="restart"/>
                  <w:vAlign w:val="center"/>
                </w:tcPr>
                <w:p>
                  <w:pPr>
                    <w:pStyle w:val="63"/>
                    <w:rPr>
                      <w:color w:val="auto"/>
                      <w:lang w:val="en-US"/>
                    </w:rPr>
                  </w:pPr>
                  <w:r>
                    <w:rPr>
                      <w:color w:val="auto"/>
                    </w:rPr>
                    <w:t>增减变化量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continue"/>
                  <w:vAlign w:val="center"/>
                </w:tcPr>
                <w:p>
                  <w:pPr>
                    <w:pStyle w:val="63"/>
                    <w:rPr>
                      <w:color w:val="auto"/>
                      <w:lang w:val="en-US"/>
                    </w:rPr>
                  </w:pPr>
                </w:p>
              </w:tc>
              <w:tc>
                <w:tcPr>
                  <w:tcW w:w="629" w:type="pct"/>
                  <w:vMerge w:val="continue"/>
                  <w:vAlign w:val="center"/>
                </w:tcPr>
                <w:p>
                  <w:pPr>
                    <w:pStyle w:val="63"/>
                    <w:rPr>
                      <w:color w:val="auto"/>
                      <w:lang w:val="en-US"/>
                    </w:rPr>
                  </w:pPr>
                </w:p>
              </w:tc>
              <w:tc>
                <w:tcPr>
                  <w:tcW w:w="450" w:type="pct"/>
                  <w:vMerge w:val="continue"/>
                  <w:vAlign w:val="center"/>
                </w:tcPr>
                <w:p>
                  <w:pPr>
                    <w:pStyle w:val="63"/>
                    <w:rPr>
                      <w:color w:val="auto"/>
                      <w:lang w:val="en-US"/>
                    </w:rPr>
                  </w:pPr>
                </w:p>
              </w:tc>
              <w:tc>
                <w:tcPr>
                  <w:tcW w:w="541" w:type="pct"/>
                  <w:vMerge w:val="continue"/>
                  <w:vAlign w:val="center"/>
                </w:tcPr>
                <w:p>
                  <w:pPr>
                    <w:pStyle w:val="63"/>
                    <w:rPr>
                      <w:color w:val="auto"/>
                      <w:lang w:val="en-US"/>
                    </w:rPr>
                  </w:pPr>
                </w:p>
              </w:tc>
              <w:tc>
                <w:tcPr>
                  <w:tcW w:w="449" w:type="pct"/>
                  <w:vAlign w:val="center"/>
                </w:tcPr>
                <w:p>
                  <w:pPr>
                    <w:pStyle w:val="63"/>
                    <w:rPr>
                      <w:color w:val="auto"/>
                      <w:lang w:val="en-US"/>
                    </w:rPr>
                  </w:pPr>
                  <w:r>
                    <w:rPr>
                      <w:color w:val="auto"/>
                    </w:rPr>
                    <w:t>产生量</w:t>
                  </w:r>
                </w:p>
              </w:tc>
              <w:tc>
                <w:tcPr>
                  <w:tcW w:w="432" w:type="pct"/>
                  <w:vAlign w:val="center"/>
                </w:tcPr>
                <w:p>
                  <w:pPr>
                    <w:pStyle w:val="63"/>
                    <w:rPr>
                      <w:color w:val="auto"/>
                      <w:lang w:val="en-US"/>
                    </w:rPr>
                  </w:pPr>
                  <w:r>
                    <w:rPr>
                      <w:color w:val="auto"/>
                    </w:rPr>
                    <w:t>自身消纳量</w:t>
                  </w:r>
                </w:p>
              </w:tc>
              <w:tc>
                <w:tcPr>
                  <w:tcW w:w="567" w:type="pct"/>
                  <w:vAlign w:val="center"/>
                </w:tcPr>
                <w:p>
                  <w:pPr>
                    <w:pStyle w:val="63"/>
                    <w:rPr>
                      <w:color w:val="auto"/>
                      <w:lang w:val="en-US"/>
                    </w:rPr>
                  </w:pPr>
                  <w:r>
                    <w:rPr>
                      <w:color w:val="auto"/>
                    </w:rPr>
                    <w:t>排放量</w:t>
                  </w:r>
                </w:p>
              </w:tc>
              <w:tc>
                <w:tcPr>
                  <w:tcW w:w="553" w:type="pct"/>
                  <w:vMerge w:val="continue"/>
                  <w:vAlign w:val="center"/>
                </w:tcPr>
                <w:p>
                  <w:pPr>
                    <w:pStyle w:val="63"/>
                    <w:rPr>
                      <w:color w:val="auto"/>
                      <w:lang w:val="en-US"/>
                    </w:rPr>
                  </w:pPr>
                </w:p>
              </w:tc>
              <w:tc>
                <w:tcPr>
                  <w:tcW w:w="554" w:type="pct"/>
                  <w:vMerge w:val="continue"/>
                  <w:vAlign w:val="center"/>
                </w:tcPr>
                <w:p>
                  <w:pPr>
                    <w:pStyle w:val="63"/>
                    <w:rPr>
                      <w:color w:val="auto"/>
                      <w:lang w:val="en-US"/>
                    </w:rPr>
                  </w:pPr>
                </w:p>
              </w:tc>
              <w:tc>
                <w:tcPr>
                  <w:tcW w:w="550" w:type="pct"/>
                  <w:vMerge w:val="continue"/>
                  <w:vAlign w:val="center"/>
                </w:tcPr>
                <w:p>
                  <w:pPr>
                    <w:pStyle w:val="63"/>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restart"/>
                  <w:vAlign w:val="center"/>
                </w:tcPr>
                <w:p>
                  <w:pPr>
                    <w:pStyle w:val="63"/>
                    <w:rPr>
                      <w:color w:val="auto"/>
                      <w:lang w:val="en-US"/>
                    </w:rPr>
                  </w:pPr>
                  <w:r>
                    <w:rPr>
                      <w:color w:val="auto"/>
                    </w:rPr>
                    <w:t>废气</w:t>
                  </w:r>
                </w:p>
              </w:tc>
              <w:tc>
                <w:tcPr>
                  <w:tcW w:w="629" w:type="pct"/>
                  <w:vAlign w:val="center"/>
                </w:tcPr>
                <w:p>
                  <w:pPr>
                    <w:pStyle w:val="63"/>
                    <w:rPr>
                      <w:color w:val="auto"/>
                      <w:lang w:val="en-US"/>
                    </w:rPr>
                  </w:pPr>
                  <w:r>
                    <w:rPr>
                      <w:rFonts w:hint="eastAsia"/>
                      <w:color w:val="auto"/>
                    </w:rPr>
                    <w:t>颗粒物</w:t>
                  </w:r>
                  <w:r>
                    <w:rPr>
                      <w:rFonts w:hint="eastAsia"/>
                      <w:color w:val="auto"/>
                      <w:lang w:eastAsia="zh-CN"/>
                    </w:rPr>
                    <w:t>（有组织）</w:t>
                  </w:r>
                </w:p>
              </w:tc>
              <w:tc>
                <w:tcPr>
                  <w:tcW w:w="450" w:type="pct"/>
                  <w:vAlign w:val="center"/>
                </w:tcPr>
                <w:p>
                  <w:pPr>
                    <w:pStyle w:val="63"/>
                    <w:rPr>
                      <w:color w:val="auto"/>
                      <w:lang w:val="en-US"/>
                    </w:rPr>
                  </w:pPr>
                  <w:r>
                    <w:rPr>
                      <w:color w:val="auto"/>
                    </w:rPr>
                    <w:t>4.7083</w:t>
                  </w:r>
                </w:p>
              </w:tc>
              <w:tc>
                <w:tcPr>
                  <w:tcW w:w="541" w:type="pct"/>
                  <w:vAlign w:val="center"/>
                </w:tcPr>
                <w:p>
                  <w:pPr>
                    <w:pStyle w:val="63"/>
                    <w:rPr>
                      <w:color w:val="auto"/>
                      <w:lang w:val="en-US" w:eastAsia="zh-CN"/>
                    </w:rPr>
                  </w:pPr>
                  <w:r>
                    <w:rPr>
                      <w:color w:val="auto"/>
                      <w:lang w:val="en-US" w:eastAsia="zh-CN"/>
                    </w:rPr>
                    <w:t>0</w:t>
                  </w:r>
                </w:p>
              </w:tc>
              <w:tc>
                <w:tcPr>
                  <w:tcW w:w="449" w:type="pct"/>
                  <w:vAlign w:val="center"/>
                </w:tcPr>
                <w:p>
                  <w:pPr>
                    <w:pStyle w:val="63"/>
                    <w:rPr>
                      <w:color w:val="auto"/>
                      <w:lang w:val="en-US"/>
                    </w:rPr>
                  </w:pPr>
                  <w:r>
                    <w:rPr>
                      <w:rFonts w:hint="eastAsia"/>
                      <w:color w:val="auto"/>
                      <w:lang w:val="en-US"/>
                    </w:rPr>
                    <w:t>1</w:t>
                  </w:r>
                  <w:r>
                    <w:rPr>
                      <w:color w:val="auto"/>
                      <w:lang w:val="en-US"/>
                    </w:rPr>
                    <w:t>.8</w:t>
                  </w:r>
                </w:p>
              </w:tc>
              <w:tc>
                <w:tcPr>
                  <w:tcW w:w="432" w:type="pct"/>
                  <w:vAlign w:val="center"/>
                </w:tcPr>
                <w:p>
                  <w:pPr>
                    <w:pStyle w:val="63"/>
                    <w:rPr>
                      <w:color w:val="auto"/>
                      <w:lang w:val="en-US" w:eastAsia="zh-CN"/>
                    </w:rPr>
                  </w:pPr>
                  <w:r>
                    <w:rPr>
                      <w:rFonts w:hint="eastAsia"/>
                      <w:color w:val="auto"/>
                      <w:lang w:val="en-US" w:eastAsia="zh-CN"/>
                    </w:rPr>
                    <w:t>0</w:t>
                  </w:r>
                </w:p>
              </w:tc>
              <w:tc>
                <w:tcPr>
                  <w:tcW w:w="567" w:type="pct"/>
                  <w:vAlign w:val="center"/>
                </w:tcPr>
                <w:p>
                  <w:pPr>
                    <w:pStyle w:val="63"/>
                    <w:rPr>
                      <w:color w:val="auto"/>
                      <w:lang w:val="en-US"/>
                    </w:rPr>
                  </w:pPr>
                  <w:r>
                    <w:rPr>
                      <w:rFonts w:hint="eastAsia"/>
                      <w:color w:val="auto"/>
                      <w:lang w:val="en-US"/>
                    </w:rPr>
                    <w:t>1</w:t>
                  </w:r>
                  <w:r>
                    <w:rPr>
                      <w:color w:val="auto"/>
                      <w:lang w:val="en-US"/>
                    </w:rPr>
                    <w:t>.8</w:t>
                  </w:r>
                </w:p>
              </w:tc>
              <w:tc>
                <w:tcPr>
                  <w:tcW w:w="553" w:type="pct"/>
                  <w:vAlign w:val="center"/>
                </w:tcPr>
                <w:p>
                  <w:pPr>
                    <w:pStyle w:val="63"/>
                    <w:rPr>
                      <w:color w:val="auto"/>
                      <w:lang w:val="en-US"/>
                    </w:rPr>
                  </w:pPr>
                  <w:r>
                    <w:rPr>
                      <w:color w:val="auto"/>
                      <w:lang w:val="en-US"/>
                    </w:rPr>
                    <w:t>1.88</w:t>
                  </w:r>
                </w:p>
              </w:tc>
              <w:tc>
                <w:tcPr>
                  <w:tcW w:w="554" w:type="pct"/>
                  <w:vAlign w:val="center"/>
                </w:tcPr>
                <w:p>
                  <w:pPr>
                    <w:pStyle w:val="63"/>
                    <w:rPr>
                      <w:color w:val="auto"/>
                      <w:lang w:eastAsia="zh-CN"/>
                    </w:rPr>
                  </w:pPr>
                  <w:r>
                    <w:rPr>
                      <w:color w:val="auto"/>
                    </w:rPr>
                    <w:t>4.6283</w:t>
                  </w:r>
                </w:p>
              </w:tc>
              <w:tc>
                <w:tcPr>
                  <w:tcW w:w="550" w:type="pct"/>
                  <w:vAlign w:val="center"/>
                </w:tcPr>
                <w:p>
                  <w:pPr>
                    <w:pStyle w:val="63"/>
                    <w:rPr>
                      <w:color w:val="auto"/>
                      <w:lang w:val="en-US"/>
                    </w:rPr>
                  </w:pPr>
                  <w:r>
                    <w:rPr>
                      <w:rFonts w:hint="eastAsia" w:hAnsi="宋体"/>
                      <w:snapToGrid w:val="0"/>
                      <w:color w:val="auto"/>
                      <w:lang w:eastAsia="zh-CN"/>
                    </w:rPr>
                    <w:t>-</w:t>
                  </w:r>
                  <w:r>
                    <w:rPr>
                      <w:rFonts w:hAnsi="宋体"/>
                      <w:snapToGrid w:val="0"/>
                      <w:color w:val="auto"/>
                      <w:lang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continue"/>
                  <w:vAlign w:val="center"/>
                </w:tcPr>
                <w:p>
                  <w:pPr>
                    <w:pStyle w:val="63"/>
                    <w:rPr>
                      <w:color w:val="auto"/>
                      <w:lang w:val="en-US"/>
                    </w:rPr>
                  </w:pPr>
                </w:p>
              </w:tc>
              <w:tc>
                <w:tcPr>
                  <w:tcW w:w="629" w:type="pct"/>
                  <w:vAlign w:val="center"/>
                </w:tcPr>
                <w:p>
                  <w:pPr>
                    <w:pStyle w:val="63"/>
                    <w:rPr>
                      <w:color w:val="auto"/>
                      <w:lang w:val="en-US"/>
                    </w:rPr>
                  </w:pPr>
                  <w:r>
                    <w:rPr>
                      <w:rFonts w:hint="eastAsia"/>
                      <w:color w:val="auto"/>
                    </w:rPr>
                    <w:t>S</w:t>
                  </w:r>
                  <w:r>
                    <w:rPr>
                      <w:color w:val="auto"/>
                    </w:rPr>
                    <w:t>O</w:t>
                  </w:r>
                  <w:r>
                    <w:rPr>
                      <w:color w:val="auto"/>
                      <w:vertAlign w:val="subscript"/>
                    </w:rPr>
                    <w:t>2</w:t>
                  </w:r>
                </w:p>
              </w:tc>
              <w:tc>
                <w:tcPr>
                  <w:tcW w:w="450" w:type="pct"/>
                  <w:vAlign w:val="center"/>
                </w:tcPr>
                <w:p>
                  <w:pPr>
                    <w:pStyle w:val="63"/>
                    <w:rPr>
                      <w:color w:val="auto"/>
                      <w:lang w:val="en-US"/>
                    </w:rPr>
                  </w:pPr>
                  <w:r>
                    <w:rPr>
                      <w:rFonts w:hint="eastAsia"/>
                      <w:color w:val="auto"/>
                    </w:rPr>
                    <w:t>6</w:t>
                  </w:r>
                  <w:r>
                    <w:rPr>
                      <w:color w:val="auto"/>
                    </w:rPr>
                    <w:t>.498</w:t>
                  </w:r>
                </w:p>
              </w:tc>
              <w:tc>
                <w:tcPr>
                  <w:tcW w:w="541" w:type="pct"/>
                  <w:vAlign w:val="center"/>
                </w:tcPr>
                <w:p>
                  <w:pPr>
                    <w:pStyle w:val="63"/>
                    <w:rPr>
                      <w:color w:val="auto"/>
                      <w:lang w:val="en-US" w:eastAsia="zh-CN"/>
                    </w:rPr>
                  </w:pPr>
                  <w:r>
                    <w:rPr>
                      <w:color w:val="auto"/>
                      <w:lang w:val="en-US" w:eastAsia="zh-CN"/>
                    </w:rPr>
                    <w:t>0</w:t>
                  </w:r>
                </w:p>
              </w:tc>
              <w:tc>
                <w:tcPr>
                  <w:tcW w:w="449" w:type="pct"/>
                  <w:vAlign w:val="center"/>
                </w:tcPr>
                <w:p>
                  <w:pPr>
                    <w:pStyle w:val="63"/>
                    <w:rPr>
                      <w:color w:val="auto"/>
                      <w:lang w:val="en-US"/>
                    </w:rPr>
                  </w:pPr>
                  <w:r>
                    <w:rPr>
                      <w:color w:val="auto"/>
                      <w:lang w:val="en-US"/>
                    </w:rPr>
                    <w:t>2.534</w:t>
                  </w:r>
                </w:p>
              </w:tc>
              <w:tc>
                <w:tcPr>
                  <w:tcW w:w="432" w:type="pct"/>
                  <w:vAlign w:val="center"/>
                </w:tcPr>
                <w:p>
                  <w:pPr>
                    <w:pStyle w:val="63"/>
                    <w:rPr>
                      <w:color w:val="auto"/>
                      <w:lang w:val="en-US" w:eastAsia="zh-CN"/>
                    </w:rPr>
                  </w:pPr>
                  <w:r>
                    <w:rPr>
                      <w:rFonts w:hint="eastAsia"/>
                      <w:color w:val="auto"/>
                      <w:lang w:val="en-US" w:eastAsia="zh-CN"/>
                    </w:rPr>
                    <w:t>0</w:t>
                  </w:r>
                </w:p>
              </w:tc>
              <w:tc>
                <w:tcPr>
                  <w:tcW w:w="567" w:type="pct"/>
                  <w:vAlign w:val="center"/>
                </w:tcPr>
                <w:p>
                  <w:pPr>
                    <w:pStyle w:val="63"/>
                    <w:rPr>
                      <w:color w:val="auto"/>
                      <w:lang w:val="en-US"/>
                    </w:rPr>
                  </w:pPr>
                  <w:r>
                    <w:rPr>
                      <w:color w:val="auto"/>
                      <w:lang w:val="en-US"/>
                    </w:rPr>
                    <w:t>2.534</w:t>
                  </w:r>
                </w:p>
              </w:tc>
              <w:tc>
                <w:tcPr>
                  <w:tcW w:w="553" w:type="pct"/>
                  <w:vAlign w:val="center"/>
                </w:tcPr>
                <w:p>
                  <w:pPr>
                    <w:pStyle w:val="63"/>
                    <w:rPr>
                      <w:color w:val="auto"/>
                      <w:lang w:val="en-US"/>
                    </w:rPr>
                  </w:pPr>
                  <w:r>
                    <w:rPr>
                      <w:color w:val="auto"/>
                      <w:lang w:val="en-US"/>
                    </w:rPr>
                    <w:t>5.85</w:t>
                  </w:r>
                </w:p>
              </w:tc>
              <w:tc>
                <w:tcPr>
                  <w:tcW w:w="554" w:type="pct"/>
                  <w:vAlign w:val="center"/>
                </w:tcPr>
                <w:p>
                  <w:pPr>
                    <w:pStyle w:val="63"/>
                    <w:rPr>
                      <w:color w:val="auto"/>
                      <w:lang w:eastAsia="zh-CN"/>
                    </w:rPr>
                  </w:pPr>
                  <w:r>
                    <w:rPr>
                      <w:color w:val="auto"/>
                    </w:rPr>
                    <w:t>3.182</w:t>
                  </w:r>
                </w:p>
              </w:tc>
              <w:tc>
                <w:tcPr>
                  <w:tcW w:w="550" w:type="pct"/>
                  <w:vAlign w:val="center"/>
                </w:tcPr>
                <w:p>
                  <w:pPr>
                    <w:pStyle w:val="63"/>
                    <w:rPr>
                      <w:color w:val="auto"/>
                      <w:lang w:val="en-US"/>
                    </w:rPr>
                  </w:pPr>
                  <w:r>
                    <w:rPr>
                      <w:rFonts w:hint="eastAsia" w:hAnsi="宋体"/>
                      <w:snapToGrid w:val="0"/>
                      <w:color w:val="auto"/>
                      <w:lang w:eastAsia="zh-CN"/>
                    </w:rPr>
                    <w:t>-</w:t>
                  </w:r>
                  <w:r>
                    <w:rPr>
                      <w:rFonts w:hAnsi="宋体"/>
                      <w:snapToGrid w:val="0"/>
                      <w:color w:val="auto"/>
                      <w:lang w:eastAsia="zh-CN"/>
                    </w:rPr>
                    <w:t>3.316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continue"/>
                  <w:vAlign w:val="center"/>
                </w:tcPr>
                <w:p>
                  <w:pPr>
                    <w:pStyle w:val="63"/>
                    <w:rPr>
                      <w:color w:val="auto"/>
                      <w:lang w:val="en-US"/>
                    </w:rPr>
                  </w:pPr>
                </w:p>
              </w:tc>
              <w:tc>
                <w:tcPr>
                  <w:tcW w:w="629" w:type="pct"/>
                  <w:vAlign w:val="center"/>
                </w:tcPr>
                <w:p>
                  <w:pPr>
                    <w:pStyle w:val="63"/>
                    <w:rPr>
                      <w:color w:val="auto"/>
                      <w:lang w:val="en-US"/>
                    </w:rPr>
                  </w:pPr>
                  <w:r>
                    <w:rPr>
                      <w:rFonts w:hint="eastAsia"/>
                      <w:color w:val="auto"/>
                    </w:rPr>
                    <w:t>N</w:t>
                  </w:r>
                  <w:r>
                    <w:rPr>
                      <w:color w:val="auto"/>
                    </w:rPr>
                    <w:t>O</w:t>
                  </w:r>
                  <w:r>
                    <w:rPr>
                      <w:rFonts w:hint="eastAsia"/>
                      <w:color w:val="auto"/>
                    </w:rPr>
                    <w:t>x</w:t>
                  </w:r>
                </w:p>
              </w:tc>
              <w:tc>
                <w:tcPr>
                  <w:tcW w:w="450" w:type="pct"/>
                  <w:vAlign w:val="center"/>
                </w:tcPr>
                <w:p>
                  <w:pPr>
                    <w:pStyle w:val="63"/>
                    <w:rPr>
                      <w:color w:val="auto"/>
                      <w:lang w:val="en-US"/>
                    </w:rPr>
                  </w:pPr>
                  <w:r>
                    <w:rPr>
                      <w:rFonts w:hint="eastAsia"/>
                      <w:color w:val="auto"/>
                    </w:rPr>
                    <w:t>3</w:t>
                  </w:r>
                  <w:r>
                    <w:rPr>
                      <w:color w:val="auto"/>
                    </w:rPr>
                    <w:t>6.399</w:t>
                  </w:r>
                </w:p>
              </w:tc>
              <w:tc>
                <w:tcPr>
                  <w:tcW w:w="541" w:type="pct"/>
                  <w:vAlign w:val="center"/>
                </w:tcPr>
                <w:p>
                  <w:pPr>
                    <w:pStyle w:val="63"/>
                    <w:rPr>
                      <w:color w:val="auto"/>
                      <w:lang w:val="en-US" w:eastAsia="zh-CN"/>
                    </w:rPr>
                  </w:pPr>
                  <w:r>
                    <w:rPr>
                      <w:color w:val="auto"/>
                      <w:lang w:val="en-US" w:eastAsia="zh-CN"/>
                    </w:rPr>
                    <w:t>0</w:t>
                  </w:r>
                </w:p>
              </w:tc>
              <w:tc>
                <w:tcPr>
                  <w:tcW w:w="449" w:type="pct"/>
                  <w:vAlign w:val="center"/>
                </w:tcPr>
                <w:p>
                  <w:pPr>
                    <w:pStyle w:val="63"/>
                    <w:rPr>
                      <w:color w:val="auto"/>
                      <w:lang w:val="en-US"/>
                    </w:rPr>
                  </w:pPr>
                  <w:r>
                    <w:rPr>
                      <w:color w:val="auto"/>
                      <w:lang w:val="en-US"/>
                    </w:rPr>
                    <w:t>9.408</w:t>
                  </w:r>
                </w:p>
              </w:tc>
              <w:tc>
                <w:tcPr>
                  <w:tcW w:w="432" w:type="pct"/>
                  <w:vAlign w:val="center"/>
                </w:tcPr>
                <w:p>
                  <w:pPr>
                    <w:pStyle w:val="63"/>
                    <w:rPr>
                      <w:color w:val="auto"/>
                      <w:lang w:val="en-US" w:eastAsia="zh-CN"/>
                    </w:rPr>
                  </w:pPr>
                  <w:r>
                    <w:rPr>
                      <w:rFonts w:hint="eastAsia"/>
                      <w:color w:val="auto"/>
                      <w:lang w:val="en-US" w:eastAsia="zh-CN"/>
                    </w:rPr>
                    <w:t>0</w:t>
                  </w:r>
                </w:p>
              </w:tc>
              <w:tc>
                <w:tcPr>
                  <w:tcW w:w="567" w:type="pct"/>
                  <w:vAlign w:val="center"/>
                </w:tcPr>
                <w:p>
                  <w:pPr>
                    <w:pStyle w:val="63"/>
                    <w:rPr>
                      <w:color w:val="auto"/>
                      <w:lang w:val="en-US"/>
                    </w:rPr>
                  </w:pPr>
                  <w:r>
                    <w:rPr>
                      <w:color w:val="auto"/>
                      <w:lang w:val="en-US"/>
                    </w:rPr>
                    <w:t>9.408</w:t>
                  </w:r>
                </w:p>
              </w:tc>
              <w:tc>
                <w:tcPr>
                  <w:tcW w:w="553" w:type="pct"/>
                  <w:vAlign w:val="center"/>
                </w:tcPr>
                <w:p>
                  <w:pPr>
                    <w:pStyle w:val="63"/>
                    <w:rPr>
                      <w:color w:val="auto"/>
                      <w:lang w:val="en-US"/>
                    </w:rPr>
                  </w:pPr>
                  <w:r>
                    <w:rPr>
                      <w:color w:val="auto"/>
                      <w:lang w:val="en-US"/>
                    </w:rPr>
                    <w:t>7.5</w:t>
                  </w:r>
                </w:p>
              </w:tc>
              <w:tc>
                <w:tcPr>
                  <w:tcW w:w="554" w:type="pct"/>
                  <w:vAlign w:val="center"/>
                </w:tcPr>
                <w:p>
                  <w:pPr>
                    <w:pStyle w:val="63"/>
                    <w:rPr>
                      <w:color w:val="auto"/>
                      <w:lang w:eastAsia="zh-CN"/>
                    </w:rPr>
                  </w:pPr>
                  <w:r>
                    <w:rPr>
                      <w:color w:val="auto"/>
                    </w:rPr>
                    <w:t>38.307</w:t>
                  </w:r>
                </w:p>
              </w:tc>
              <w:tc>
                <w:tcPr>
                  <w:tcW w:w="550" w:type="pct"/>
                  <w:vAlign w:val="center"/>
                </w:tcPr>
                <w:p>
                  <w:pPr>
                    <w:pStyle w:val="63"/>
                    <w:rPr>
                      <w:color w:val="auto"/>
                      <w:lang w:val="en-US"/>
                    </w:rPr>
                  </w:pPr>
                  <w:r>
                    <w:rPr>
                      <w:rFonts w:hAnsi="宋体"/>
                      <w:snapToGrid w:val="0"/>
                      <w:color w:val="auto"/>
                      <w:lang w:eastAsia="zh-CN"/>
                    </w:rPr>
                    <w:t>+1.908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continue"/>
                  <w:vAlign w:val="center"/>
                </w:tcPr>
                <w:p>
                  <w:pPr>
                    <w:pStyle w:val="63"/>
                    <w:rPr>
                      <w:color w:val="auto"/>
                      <w:lang w:val="en-US"/>
                    </w:rPr>
                  </w:pPr>
                </w:p>
              </w:tc>
              <w:tc>
                <w:tcPr>
                  <w:tcW w:w="629" w:type="pct"/>
                  <w:vAlign w:val="center"/>
                </w:tcPr>
                <w:p>
                  <w:pPr>
                    <w:pStyle w:val="63"/>
                    <w:rPr>
                      <w:color w:val="auto"/>
                      <w:lang w:val="en-US"/>
                    </w:rPr>
                  </w:pPr>
                  <w:r>
                    <w:rPr>
                      <w:rFonts w:hint="eastAsia"/>
                      <w:color w:val="auto"/>
                    </w:rPr>
                    <w:t>氟化物</w:t>
                  </w:r>
                </w:p>
              </w:tc>
              <w:tc>
                <w:tcPr>
                  <w:tcW w:w="450" w:type="pct"/>
                  <w:vAlign w:val="center"/>
                </w:tcPr>
                <w:p>
                  <w:pPr>
                    <w:pStyle w:val="63"/>
                    <w:rPr>
                      <w:color w:val="auto"/>
                      <w:lang w:val="en-US"/>
                    </w:rPr>
                  </w:pPr>
                  <w:r>
                    <w:rPr>
                      <w:rFonts w:hint="eastAsia"/>
                      <w:color w:val="auto"/>
                    </w:rPr>
                    <w:t>0</w:t>
                  </w:r>
                  <w:r>
                    <w:rPr>
                      <w:color w:val="auto"/>
                    </w:rPr>
                    <w:t>.071</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lang w:val="en-US" w:eastAsia="zh-CN"/>
                    </w:rPr>
                  </w:pPr>
                  <w:r>
                    <w:rPr>
                      <w:rFonts w:hint="eastAsia"/>
                      <w:color w:val="auto"/>
                      <w:lang w:val="en-US" w:eastAsia="zh-CN"/>
                    </w:rPr>
                    <w:t>0</w:t>
                  </w:r>
                </w:p>
              </w:tc>
              <w:tc>
                <w:tcPr>
                  <w:tcW w:w="432" w:type="pct"/>
                  <w:vAlign w:val="center"/>
                </w:tcPr>
                <w:p>
                  <w:pPr>
                    <w:pStyle w:val="63"/>
                    <w:rPr>
                      <w:color w:val="auto"/>
                      <w:lang w:val="en-US" w:eastAsia="zh-CN"/>
                    </w:rPr>
                  </w:pPr>
                  <w:r>
                    <w:rPr>
                      <w:rFonts w:hint="eastAsia"/>
                      <w:color w:val="auto"/>
                      <w:lang w:val="en-US" w:eastAsia="zh-CN"/>
                    </w:rPr>
                    <w:t>0</w:t>
                  </w:r>
                </w:p>
              </w:tc>
              <w:tc>
                <w:tcPr>
                  <w:tcW w:w="567" w:type="pct"/>
                  <w:vAlign w:val="center"/>
                </w:tcPr>
                <w:p>
                  <w:pPr>
                    <w:pStyle w:val="63"/>
                    <w:rPr>
                      <w:color w:val="auto"/>
                      <w:lang w:val="en-US" w:eastAsia="zh-CN"/>
                    </w:rPr>
                  </w:pPr>
                  <w:r>
                    <w:rPr>
                      <w:rFonts w:hint="eastAsia"/>
                      <w:color w:val="auto"/>
                      <w:lang w:val="en-US" w:eastAsia="zh-CN"/>
                    </w:rPr>
                    <w:t>0</w:t>
                  </w:r>
                </w:p>
              </w:tc>
              <w:tc>
                <w:tcPr>
                  <w:tcW w:w="553" w:type="pct"/>
                  <w:vAlign w:val="center"/>
                </w:tcPr>
                <w:p>
                  <w:pPr>
                    <w:pStyle w:val="63"/>
                    <w:rPr>
                      <w:color w:val="auto"/>
                      <w:lang w:val="en-US"/>
                    </w:rPr>
                  </w:pPr>
                  <w:r>
                    <w:rPr>
                      <w:color w:val="auto"/>
                      <w:lang w:val="en-US"/>
                    </w:rPr>
                    <w:t>0</w:t>
                  </w:r>
                </w:p>
              </w:tc>
              <w:tc>
                <w:tcPr>
                  <w:tcW w:w="554" w:type="pct"/>
                  <w:vAlign w:val="center"/>
                </w:tcPr>
                <w:p>
                  <w:pPr>
                    <w:pStyle w:val="63"/>
                    <w:rPr>
                      <w:color w:val="auto"/>
                      <w:lang w:val="en-US"/>
                    </w:rPr>
                  </w:pPr>
                  <w:r>
                    <w:rPr>
                      <w:rFonts w:hint="eastAsia"/>
                      <w:color w:val="auto"/>
                    </w:rPr>
                    <w:t>0</w:t>
                  </w:r>
                  <w:r>
                    <w:rPr>
                      <w:color w:val="auto"/>
                    </w:rPr>
                    <w:t>.071</w:t>
                  </w:r>
                </w:p>
              </w:tc>
              <w:tc>
                <w:tcPr>
                  <w:tcW w:w="550" w:type="pct"/>
                  <w:vAlign w:val="center"/>
                </w:tcPr>
                <w:p>
                  <w:pPr>
                    <w:pStyle w:val="63"/>
                    <w:rPr>
                      <w:color w:val="auto"/>
                      <w:lang w:val="en-US"/>
                    </w:rPr>
                  </w:pPr>
                  <w:r>
                    <w:rPr>
                      <w:color w:val="auto"/>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continue"/>
                  <w:vAlign w:val="center"/>
                </w:tcPr>
                <w:p>
                  <w:pPr>
                    <w:pStyle w:val="63"/>
                    <w:rPr>
                      <w:color w:val="auto"/>
                      <w:lang w:val="en-US"/>
                    </w:rPr>
                  </w:pPr>
                </w:p>
              </w:tc>
              <w:tc>
                <w:tcPr>
                  <w:tcW w:w="629" w:type="pct"/>
                  <w:vAlign w:val="center"/>
                </w:tcPr>
                <w:p>
                  <w:pPr>
                    <w:pStyle w:val="63"/>
                    <w:rPr>
                      <w:color w:val="auto"/>
                      <w:lang w:val="en-US"/>
                    </w:rPr>
                  </w:pPr>
                  <w:r>
                    <w:rPr>
                      <w:rFonts w:hint="eastAsia"/>
                      <w:color w:val="auto"/>
                    </w:rPr>
                    <w:t>硫酸雾</w:t>
                  </w:r>
                </w:p>
              </w:tc>
              <w:tc>
                <w:tcPr>
                  <w:tcW w:w="450" w:type="pct"/>
                  <w:vAlign w:val="center"/>
                </w:tcPr>
                <w:p>
                  <w:pPr>
                    <w:pStyle w:val="63"/>
                    <w:rPr>
                      <w:color w:val="auto"/>
                      <w:lang w:val="en-US"/>
                    </w:rPr>
                  </w:pPr>
                  <w:r>
                    <w:rPr>
                      <w:rFonts w:hint="eastAsia"/>
                      <w:color w:val="auto"/>
                    </w:rPr>
                    <w:t>0</w:t>
                  </w:r>
                  <w:r>
                    <w:rPr>
                      <w:color w:val="auto"/>
                    </w:rPr>
                    <w:t>.247</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lang w:val="en-US" w:eastAsia="zh-CN"/>
                    </w:rPr>
                  </w:pPr>
                  <w:r>
                    <w:rPr>
                      <w:rFonts w:hint="eastAsia"/>
                      <w:color w:val="auto"/>
                      <w:lang w:val="en-US" w:eastAsia="zh-CN"/>
                    </w:rPr>
                    <w:t>0</w:t>
                  </w:r>
                </w:p>
              </w:tc>
              <w:tc>
                <w:tcPr>
                  <w:tcW w:w="432" w:type="pct"/>
                  <w:vAlign w:val="center"/>
                </w:tcPr>
                <w:p>
                  <w:pPr>
                    <w:pStyle w:val="63"/>
                    <w:rPr>
                      <w:color w:val="auto"/>
                      <w:lang w:val="en-US" w:eastAsia="zh-CN"/>
                    </w:rPr>
                  </w:pPr>
                  <w:r>
                    <w:rPr>
                      <w:rFonts w:hint="eastAsia"/>
                      <w:color w:val="auto"/>
                      <w:lang w:val="en-US" w:eastAsia="zh-CN"/>
                    </w:rPr>
                    <w:t>0</w:t>
                  </w:r>
                </w:p>
              </w:tc>
              <w:tc>
                <w:tcPr>
                  <w:tcW w:w="567" w:type="pct"/>
                  <w:vAlign w:val="center"/>
                </w:tcPr>
                <w:p>
                  <w:pPr>
                    <w:pStyle w:val="63"/>
                    <w:rPr>
                      <w:color w:val="auto"/>
                      <w:lang w:val="en-US" w:eastAsia="zh-CN"/>
                    </w:rPr>
                  </w:pPr>
                  <w:r>
                    <w:rPr>
                      <w:rFonts w:hint="eastAsia"/>
                      <w:color w:val="auto"/>
                      <w:lang w:val="en-US" w:eastAsia="zh-CN"/>
                    </w:rPr>
                    <w:t>0</w:t>
                  </w:r>
                </w:p>
              </w:tc>
              <w:tc>
                <w:tcPr>
                  <w:tcW w:w="553" w:type="pct"/>
                  <w:vAlign w:val="center"/>
                </w:tcPr>
                <w:p>
                  <w:pPr>
                    <w:pStyle w:val="63"/>
                    <w:rPr>
                      <w:color w:val="auto"/>
                      <w:lang w:val="en-US"/>
                    </w:rPr>
                  </w:pPr>
                  <w:r>
                    <w:rPr>
                      <w:color w:val="auto"/>
                      <w:lang w:val="en-US"/>
                    </w:rPr>
                    <w:t>0</w:t>
                  </w:r>
                </w:p>
              </w:tc>
              <w:tc>
                <w:tcPr>
                  <w:tcW w:w="554" w:type="pct"/>
                  <w:vAlign w:val="center"/>
                </w:tcPr>
                <w:p>
                  <w:pPr>
                    <w:pStyle w:val="63"/>
                    <w:rPr>
                      <w:color w:val="auto"/>
                      <w:lang w:val="en-US"/>
                    </w:rPr>
                  </w:pPr>
                  <w:r>
                    <w:rPr>
                      <w:rFonts w:hint="eastAsia"/>
                      <w:color w:val="auto"/>
                    </w:rPr>
                    <w:t>0</w:t>
                  </w:r>
                  <w:r>
                    <w:rPr>
                      <w:color w:val="auto"/>
                    </w:rPr>
                    <w:t>.247</w:t>
                  </w:r>
                </w:p>
              </w:tc>
              <w:tc>
                <w:tcPr>
                  <w:tcW w:w="550" w:type="pct"/>
                  <w:vAlign w:val="center"/>
                </w:tcPr>
                <w:p>
                  <w:pPr>
                    <w:pStyle w:val="63"/>
                    <w:rPr>
                      <w:color w:val="auto"/>
                      <w:lang w:val="en-US"/>
                    </w:rPr>
                  </w:pPr>
                  <w:r>
                    <w:rPr>
                      <w:color w:val="auto"/>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continue"/>
                  <w:vAlign w:val="center"/>
                </w:tcPr>
                <w:p>
                  <w:pPr>
                    <w:pStyle w:val="63"/>
                    <w:rPr>
                      <w:color w:val="auto"/>
                      <w:lang w:val="en-US"/>
                    </w:rPr>
                  </w:pPr>
                </w:p>
              </w:tc>
              <w:tc>
                <w:tcPr>
                  <w:tcW w:w="629" w:type="pct"/>
                  <w:vAlign w:val="center"/>
                </w:tcPr>
                <w:p>
                  <w:pPr>
                    <w:pStyle w:val="63"/>
                    <w:rPr>
                      <w:color w:val="auto"/>
                      <w:lang w:val="en-US"/>
                    </w:rPr>
                  </w:pPr>
                  <w:r>
                    <w:rPr>
                      <w:rFonts w:hint="eastAsia"/>
                      <w:color w:val="auto"/>
                    </w:rPr>
                    <w:t>硝酸雾</w:t>
                  </w:r>
                </w:p>
              </w:tc>
              <w:tc>
                <w:tcPr>
                  <w:tcW w:w="450" w:type="pct"/>
                  <w:vAlign w:val="center"/>
                </w:tcPr>
                <w:p>
                  <w:pPr>
                    <w:pStyle w:val="63"/>
                    <w:rPr>
                      <w:color w:val="auto"/>
                      <w:lang w:val="en-US"/>
                    </w:rPr>
                  </w:pPr>
                  <w:r>
                    <w:rPr>
                      <w:rFonts w:hint="eastAsia"/>
                      <w:color w:val="auto"/>
                    </w:rPr>
                    <w:t>0</w:t>
                  </w:r>
                  <w:r>
                    <w:rPr>
                      <w:color w:val="auto"/>
                    </w:rPr>
                    <w:t>.985</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lang w:val="en-US" w:eastAsia="zh-CN"/>
                    </w:rPr>
                  </w:pPr>
                  <w:r>
                    <w:rPr>
                      <w:rFonts w:hint="eastAsia"/>
                      <w:color w:val="auto"/>
                      <w:lang w:val="en-US" w:eastAsia="zh-CN"/>
                    </w:rPr>
                    <w:t>0</w:t>
                  </w:r>
                </w:p>
              </w:tc>
              <w:tc>
                <w:tcPr>
                  <w:tcW w:w="432" w:type="pct"/>
                  <w:vAlign w:val="center"/>
                </w:tcPr>
                <w:p>
                  <w:pPr>
                    <w:pStyle w:val="63"/>
                    <w:rPr>
                      <w:color w:val="auto"/>
                      <w:lang w:val="en-US" w:eastAsia="zh-CN"/>
                    </w:rPr>
                  </w:pPr>
                  <w:r>
                    <w:rPr>
                      <w:rFonts w:hint="eastAsia"/>
                      <w:color w:val="auto"/>
                      <w:lang w:val="en-US" w:eastAsia="zh-CN"/>
                    </w:rPr>
                    <w:t>0</w:t>
                  </w:r>
                </w:p>
              </w:tc>
              <w:tc>
                <w:tcPr>
                  <w:tcW w:w="567" w:type="pct"/>
                  <w:vAlign w:val="center"/>
                </w:tcPr>
                <w:p>
                  <w:pPr>
                    <w:pStyle w:val="63"/>
                    <w:rPr>
                      <w:color w:val="auto"/>
                      <w:lang w:val="en-US" w:eastAsia="zh-CN"/>
                    </w:rPr>
                  </w:pPr>
                  <w:r>
                    <w:rPr>
                      <w:rFonts w:hint="eastAsia"/>
                      <w:color w:val="auto"/>
                      <w:lang w:val="en-US" w:eastAsia="zh-CN"/>
                    </w:rPr>
                    <w:t>0</w:t>
                  </w:r>
                </w:p>
              </w:tc>
              <w:tc>
                <w:tcPr>
                  <w:tcW w:w="553" w:type="pct"/>
                  <w:vAlign w:val="center"/>
                </w:tcPr>
                <w:p>
                  <w:pPr>
                    <w:pStyle w:val="63"/>
                    <w:rPr>
                      <w:color w:val="auto"/>
                      <w:lang w:val="en-US" w:eastAsia="zh-CN"/>
                    </w:rPr>
                  </w:pPr>
                  <w:r>
                    <w:rPr>
                      <w:rFonts w:hint="eastAsia"/>
                      <w:color w:val="auto"/>
                      <w:lang w:val="en-US" w:eastAsia="zh-CN"/>
                    </w:rPr>
                    <w:t>0</w:t>
                  </w:r>
                </w:p>
              </w:tc>
              <w:tc>
                <w:tcPr>
                  <w:tcW w:w="554" w:type="pct"/>
                  <w:vAlign w:val="center"/>
                </w:tcPr>
                <w:p>
                  <w:pPr>
                    <w:pStyle w:val="63"/>
                    <w:rPr>
                      <w:color w:val="auto"/>
                      <w:lang w:val="en-US" w:eastAsia="zh-CN"/>
                    </w:rPr>
                  </w:pPr>
                  <w:r>
                    <w:rPr>
                      <w:rFonts w:hint="eastAsia"/>
                      <w:color w:val="auto"/>
                    </w:rPr>
                    <w:t>0</w:t>
                  </w:r>
                  <w:r>
                    <w:rPr>
                      <w:color w:val="auto"/>
                    </w:rPr>
                    <w:t>.985</w:t>
                  </w:r>
                </w:p>
              </w:tc>
              <w:tc>
                <w:tcPr>
                  <w:tcW w:w="550" w:type="pct"/>
                  <w:vAlign w:val="center"/>
                </w:tcPr>
                <w:p>
                  <w:pPr>
                    <w:pStyle w:val="63"/>
                    <w:rPr>
                      <w:color w:val="auto"/>
                      <w:lang w:val="en-US" w:eastAsia="zh-CN"/>
                    </w:rPr>
                  </w:pP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continue"/>
                  <w:vAlign w:val="center"/>
                </w:tcPr>
                <w:p>
                  <w:pPr>
                    <w:pStyle w:val="63"/>
                    <w:rPr>
                      <w:color w:val="auto"/>
                      <w:lang w:val="en-US"/>
                    </w:rPr>
                  </w:pPr>
                </w:p>
              </w:tc>
              <w:tc>
                <w:tcPr>
                  <w:tcW w:w="629" w:type="pct"/>
                  <w:vAlign w:val="center"/>
                </w:tcPr>
                <w:p>
                  <w:pPr>
                    <w:pStyle w:val="63"/>
                    <w:rPr>
                      <w:color w:val="auto"/>
                    </w:rPr>
                  </w:pPr>
                  <w:r>
                    <w:rPr>
                      <w:rFonts w:hint="eastAsia"/>
                      <w:color w:val="auto"/>
                    </w:rPr>
                    <w:t>颗粒物</w:t>
                  </w:r>
                  <w:r>
                    <w:rPr>
                      <w:rFonts w:hint="eastAsia"/>
                      <w:color w:val="auto"/>
                      <w:lang w:eastAsia="zh-CN"/>
                    </w:rPr>
                    <w:t>（无组织）</w:t>
                  </w:r>
                </w:p>
              </w:tc>
              <w:tc>
                <w:tcPr>
                  <w:tcW w:w="450" w:type="pct"/>
                  <w:vAlign w:val="center"/>
                </w:tcPr>
                <w:p>
                  <w:pPr>
                    <w:pStyle w:val="63"/>
                    <w:rPr>
                      <w:color w:val="auto"/>
                      <w:lang w:val="en-US"/>
                    </w:rPr>
                  </w:pPr>
                  <w:r>
                    <w:rPr>
                      <w:rFonts w:hint="eastAsia"/>
                      <w:color w:val="auto"/>
                      <w:lang w:val="en-US"/>
                    </w:rPr>
                    <w:t>5</w:t>
                  </w:r>
                  <w:r>
                    <w:rPr>
                      <w:color w:val="auto"/>
                      <w:lang w:val="en-US"/>
                    </w:rPr>
                    <w:t>2.86</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lang w:val="en-US" w:eastAsia="zh-CN"/>
                    </w:rPr>
                  </w:pPr>
                  <w:r>
                    <w:rPr>
                      <w:rFonts w:hint="eastAsia"/>
                      <w:color w:val="auto"/>
                      <w:lang w:val="en-US" w:eastAsia="zh-CN"/>
                    </w:rPr>
                    <w:t>0</w:t>
                  </w:r>
                </w:p>
              </w:tc>
              <w:tc>
                <w:tcPr>
                  <w:tcW w:w="432" w:type="pct"/>
                  <w:vAlign w:val="center"/>
                </w:tcPr>
                <w:p>
                  <w:pPr>
                    <w:pStyle w:val="63"/>
                    <w:rPr>
                      <w:color w:val="auto"/>
                      <w:lang w:val="en-US" w:eastAsia="zh-CN"/>
                    </w:rPr>
                  </w:pPr>
                  <w:r>
                    <w:rPr>
                      <w:rFonts w:hint="eastAsia"/>
                      <w:color w:val="auto"/>
                      <w:lang w:val="en-US" w:eastAsia="zh-CN"/>
                    </w:rPr>
                    <w:t>0</w:t>
                  </w:r>
                </w:p>
              </w:tc>
              <w:tc>
                <w:tcPr>
                  <w:tcW w:w="567" w:type="pct"/>
                  <w:vAlign w:val="center"/>
                </w:tcPr>
                <w:p>
                  <w:pPr>
                    <w:pStyle w:val="63"/>
                    <w:rPr>
                      <w:color w:val="auto"/>
                      <w:lang w:val="en-US" w:eastAsia="zh-CN"/>
                    </w:rPr>
                  </w:pPr>
                  <w:r>
                    <w:rPr>
                      <w:rFonts w:hint="eastAsia"/>
                      <w:color w:val="auto"/>
                      <w:lang w:val="en-US" w:eastAsia="zh-CN"/>
                    </w:rPr>
                    <w:t>0</w:t>
                  </w:r>
                </w:p>
              </w:tc>
              <w:tc>
                <w:tcPr>
                  <w:tcW w:w="553" w:type="pct"/>
                  <w:vAlign w:val="center"/>
                </w:tcPr>
                <w:p>
                  <w:pPr>
                    <w:pStyle w:val="63"/>
                    <w:rPr>
                      <w:color w:val="auto"/>
                      <w:lang w:val="en-US" w:eastAsia="zh-CN"/>
                    </w:rPr>
                  </w:pPr>
                  <w:r>
                    <w:rPr>
                      <w:rFonts w:hint="eastAsia"/>
                      <w:color w:val="auto"/>
                      <w:lang w:val="en-US" w:eastAsia="zh-CN"/>
                    </w:rPr>
                    <w:t>0</w:t>
                  </w:r>
                </w:p>
              </w:tc>
              <w:tc>
                <w:tcPr>
                  <w:tcW w:w="554" w:type="pct"/>
                  <w:vAlign w:val="center"/>
                </w:tcPr>
                <w:p>
                  <w:pPr>
                    <w:pStyle w:val="63"/>
                    <w:rPr>
                      <w:color w:val="auto"/>
                    </w:rPr>
                  </w:pPr>
                  <w:r>
                    <w:rPr>
                      <w:rFonts w:hint="eastAsia"/>
                      <w:color w:val="auto"/>
                      <w:lang w:val="en-US"/>
                    </w:rPr>
                    <w:t>5</w:t>
                  </w:r>
                  <w:r>
                    <w:rPr>
                      <w:color w:val="auto"/>
                      <w:lang w:val="en-US"/>
                    </w:rPr>
                    <w:t>2.86</w:t>
                  </w:r>
                </w:p>
              </w:tc>
              <w:tc>
                <w:tcPr>
                  <w:tcW w:w="550" w:type="pct"/>
                  <w:vAlign w:val="center"/>
                </w:tcPr>
                <w:p>
                  <w:pPr>
                    <w:pStyle w:val="63"/>
                    <w:rPr>
                      <w:color w:val="auto"/>
                      <w:lang w:val="en-US" w:eastAsia="zh-CN"/>
                    </w:rPr>
                  </w:pP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restart"/>
                  <w:vAlign w:val="center"/>
                </w:tcPr>
                <w:p>
                  <w:pPr>
                    <w:pStyle w:val="63"/>
                    <w:rPr>
                      <w:color w:val="auto"/>
                      <w:lang w:val="en-US"/>
                    </w:rPr>
                  </w:pPr>
                  <w:r>
                    <w:rPr>
                      <w:color w:val="auto"/>
                    </w:rPr>
                    <w:t>废水</w:t>
                  </w:r>
                </w:p>
              </w:tc>
              <w:tc>
                <w:tcPr>
                  <w:tcW w:w="629" w:type="pct"/>
                  <w:vAlign w:val="center"/>
                </w:tcPr>
                <w:p>
                  <w:pPr>
                    <w:pStyle w:val="63"/>
                    <w:rPr>
                      <w:color w:val="auto"/>
                      <w:lang w:val="en-US"/>
                    </w:rPr>
                  </w:pPr>
                  <w:r>
                    <w:rPr>
                      <w:color w:val="auto"/>
                    </w:rPr>
                    <w:t>废水量</w:t>
                  </w:r>
                </w:p>
              </w:tc>
              <w:tc>
                <w:tcPr>
                  <w:tcW w:w="450" w:type="pct"/>
                  <w:vAlign w:val="center"/>
                </w:tcPr>
                <w:p>
                  <w:pPr>
                    <w:pStyle w:val="63"/>
                    <w:rPr>
                      <w:color w:val="auto"/>
                      <w:lang w:val="en-US" w:eastAsia="zh-CN"/>
                    </w:rPr>
                  </w:pPr>
                  <w:r>
                    <w:rPr>
                      <w:rFonts w:hint="eastAsia"/>
                      <w:color w:val="auto"/>
                      <w:lang w:val="en-US" w:eastAsia="zh-CN"/>
                    </w:rPr>
                    <w:t>0</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lang w:val="en-US" w:eastAsia="zh-CN"/>
                    </w:rPr>
                  </w:pPr>
                  <w:r>
                    <w:rPr>
                      <w:rFonts w:hint="eastAsia"/>
                      <w:color w:val="auto"/>
                      <w:lang w:val="en-US" w:eastAsia="zh-CN"/>
                    </w:rPr>
                    <w:t>0</w:t>
                  </w:r>
                </w:p>
              </w:tc>
              <w:tc>
                <w:tcPr>
                  <w:tcW w:w="432" w:type="pct"/>
                  <w:vAlign w:val="center"/>
                </w:tcPr>
                <w:p>
                  <w:pPr>
                    <w:pStyle w:val="63"/>
                    <w:rPr>
                      <w:color w:val="auto"/>
                      <w:lang w:val="en-US" w:eastAsia="zh-CN"/>
                    </w:rPr>
                  </w:pPr>
                  <w:r>
                    <w:rPr>
                      <w:rFonts w:hint="eastAsia"/>
                      <w:color w:val="auto"/>
                      <w:lang w:val="en-US" w:eastAsia="zh-CN"/>
                    </w:rPr>
                    <w:t>0</w:t>
                  </w:r>
                </w:p>
              </w:tc>
              <w:tc>
                <w:tcPr>
                  <w:tcW w:w="567" w:type="pct"/>
                  <w:vAlign w:val="center"/>
                </w:tcPr>
                <w:p>
                  <w:pPr>
                    <w:pStyle w:val="63"/>
                    <w:rPr>
                      <w:color w:val="auto"/>
                      <w:lang w:val="en-US" w:eastAsia="zh-CN"/>
                    </w:rPr>
                  </w:pPr>
                  <w:r>
                    <w:rPr>
                      <w:rFonts w:hint="eastAsia"/>
                      <w:color w:val="auto"/>
                      <w:lang w:val="en-US" w:eastAsia="zh-CN"/>
                    </w:rPr>
                    <w:t>0</w:t>
                  </w:r>
                </w:p>
              </w:tc>
              <w:tc>
                <w:tcPr>
                  <w:tcW w:w="553" w:type="pct"/>
                  <w:vAlign w:val="center"/>
                </w:tcPr>
                <w:p>
                  <w:pPr>
                    <w:pStyle w:val="63"/>
                    <w:rPr>
                      <w:color w:val="auto"/>
                      <w:lang w:val="en-US" w:eastAsia="zh-CN"/>
                    </w:rPr>
                  </w:pPr>
                  <w:r>
                    <w:rPr>
                      <w:rFonts w:hint="eastAsia"/>
                      <w:color w:val="auto"/>
                      <w:lang w:val="en-US" w:eastAsia="zh-CN"/>
                    </w:rPr>
                    <w:t>0</w:t>
                  </w:r>
                </w:p>
              </w:tc>
              <w:tc>
                <w:tcPr>
                  <w:tcW w:w="554" w:type="pct"/>
                  <w:vAlign w:val="center"/>
                </w:tcPr>
                <w:p>
                  <w:pPr>
                    <w:pStyle w:val="63"/>
                    <w:rPr>
                      <w:color w:val="auto"/>
                      <w:lang w:val="en-US" w:eastAsia="zh-CN"/>
                    </w:rPr>
                  </w:pPr>
                  <w:r>
                    <w:rPr>
                      <w:rFonts w:hint="eastAsia"/>
                      <w:color w:val="auto"/>
                      <w:lang w:val="en-US" w:eastAsia="zh-CN"/>
                    </w:rPr>
                    <w:t>0</w:t>
                  </w:r>
                </w:p>
              </w:tc>
              <w:tc>
                <w:tcPr>
                  <w:tcW w:w="550" w:type="pct"/>
                  <w:vAlign w:val="center"/>
                </w:tcPr>
                <w:p>
                  <w:pPr>
                    <w:pStyle w:val="63"/>
                    <w:rPr>
                      <w:color w:val="auto"/>
                      <w:lang w:val="en-US" w:eastAsia="zh-CN"/>
                    </w:rPr>
                  </w:pP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continue"/>
                  <w:vAlign w:val="center"/>
                </w:tcPr>
                <w:p>
                  <w:pPr>
                    <w:pStyle w:val="63"/>
                    <w:rPr>
                      <w:color w:val="auto"/>
                      <w:lang w:val="en-US"/>
                    </w:rPr>
                  </w:pPr>
                </w:p>
              </w:tc>
              <w:tc>
                <w:tcPr>
                  <w:tcW w:w="629" w:type="pct"/>
                  <w:vAlign w:val="center"/>
                </w:tcPr>
                <w:p>
                  <w:pPr>
                    <w:pStyle w:val="63"/>
                    <w:rPr>
                      <w:color w:val="auto"/>
                      <w:lang w:val="en-US"/>
                    </w:rPr>
                  </w:pPr>
                  <w:r>
                    <w:rPr>
                      <w:color w:val="auto"/>
                      <w:lang w:val="en-US"/>
                    </w:rPr>
                    <w:t>COD</w:t>
                  </w:r>
                </w:p>
              </w:tc>
              <w:tc>
                <w:tcPr>
                  <w:tcW w:w="450" w:type="pct"/>
                  <w:vAlign w:val="center"/>
                </w:tcPr>
                <w:p>
                  <w:pPr>
                    <w:pStyle w:val="63"/>
                    <w:rPr>
                      <w:color w:val="auto"/>
                      <w:lang w:val="en-US"/>
                    </w:rPr>
                  </w:pPr>
                  <w:r>
                    <w:rPr>
                      <w:color w:val="auto"/>
                      <w:lang w:val="en-US"/>
                    </w:rPr>
                    <w:t>0</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rPr>
                  </w:pPr>
                  <w:r>
                    <w:rPr>
                      <w:color w:val="auto"/>
                    </w:rPr>
                    <w:t>0</w:t>
                  </w:r>
                </w:p>
              </w:tc>
              <w:tc>
                <w:tcPr>
                  <w:tcW w:w="432" w:type="pct"/>
                  <w:vAlign w:val="center"/>
                </w:tcPr>
                <w:p>
                  <w:pPr>
                    <w:pStyle w:val="63"/>
                    <w:rPr>
                      <w:color w:val="auto"/>
                      <w:lang w:eastAsia="zh-CN"/>
                    </w:rPr>
                  </w:pPr>
                  <w:r>
                    <w:rPr>
                      <w:rFonts w:hint="eastAsia"/>
                      <w:color w:val="auto"/>
                      <w:lang w:eastAsia="zh-CN"/>
                    </w:rPr>
                    <w:t>0</w:t>
                  </w:r>
                </w:p>
              </w:tc>
              <w:tc>
                <w:tcPr>
                  <w:tcW w:w="567" w:type="pct"/>
                  <w:vAlign w:val="center"/>
                </w:tcPr>
                <w:p>
                  <w:pPr>
                    <w:pStyle w:val="63"/>
                    <w:rPr>
                      <w:color w:val="auto"/>
                    </w:rPr>
                  </w:pPr>
                  <w:r>
                    <w:rPr>
                      <w:color w:val="auto"/>
                    </w:rPr>
                    <w:t>0</w:t>
                  </w:r>
                </w:p>
              </w:tc>
              <w:tc>
                <w:tcPr>
                  <w:tcW w:w="553" w:type="pct"/>
                  <w:vAlign w:val="center"/>
                </w:tcPr>
                <w:p>
                  <w:pPr>
                    <w:pStyle w:val="63"/>
                    <w:rPr>
                      <w:color w:val="auto"/>
                    </w:rPr>
                  </w:pPr>
                  <w:r>
                    <w:rPr>
                      <w:color w:val="auto"/>
                    </w:rPr>
                    <w:t>0</w:t>
                  </w:r>
                </w:p>
              </w:tc>
              <w:tc>
                <w:tcPr>
                  <w:tcW w:w="554" w:type="pct"/>
                  <w:vAlign w:val="center"/>
                </w:tcPr>
                <w:p>
                  <w:pPr>
                    <w:pStyle w:val="63"/>
                    <w:rPr>
                      <w:color w:val="auto"/>
                    </w:rPr>
                  </w:pPr>
                  <w:r>
                    <w:rPr>
                      <w:color w:val="auto"/>
                    </w:rPr>
                    <w:t>0</w:t>
                  </w:r>
                </w:p>
              </w:tc>
              <w:tc>
                <w:tcPr>
                  <w:tcW w:w="550" w:type="pct"/>
                  <w:vAlign w:val="center"/>
                </w:tcPr>
                <w:p>
                  <w:pPr>
                    <w:pStyle w:val="63"/>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continue"/>
                  <w:vAlign w:val="center"/>
                </w:tcPr>
                <w:p>
                  <w:pPr>
                    <w:pStyle w:val="63"/>
                    <w:rPr>
                      <w:color w:val="auto"/>
                      <w:lang w:val="en-US"/>
                    </w:rPr>
                  </w:pPr>
                </w:p>
              </w:tc>
              <w:tc>
                <w:tcPr>
                  <w:tcW w:w="629" w:type="pct"/>
                  <w:vAlign w:val="center"/>
                </w:tcPr>
                <w:p>
                  <w:pPr>
                    <w:pStyle w:val="63"/>
                    <w:rPr>
                      <w:color w:val="auto"/>
                      <w:lang w:val="en-US"/>
                    </w:rPr>
                  </w:pPr>
                  <w:r>
                    <w:rPr>
                      <w:color w:val="auto"/>
                    </w:rPr>
                    <w:t>氨氮</w:t>
                  </w:r>
                </w:p>
              </w:tc>
              <w:tc>
                <w:tcPr>
                  <w:tcW w:w="450" w:type="pct"/>
                  <w:vAlign w:val="center"/>
                </w:tcPr>
                <w:p>
                  <w:pPr>
                    <w:pStyle w:val="63"/>
                    <w:rPr>
                      <w:color w:val="auto"/>
                      <w:lang w:val="en-US"/>
                    </w:rPr>
                  </w:pPr>
                  <w:r>
                    <w:rPr>
                      <w:color w:val="auto"/>
                      <w:lang w:val="en-US"/>
                    </w:rPr>
                    <w:t>0</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rPr>
                  </w:pPr>
                  <w:r>
                    <w:rPr>
                      <w:color w:val="auto"/>
                    </w:rPr>
                    <w:t>0</w:t>
                  </w:r>
                </w:p>
              </w:tc>
              <w:tc>
                <w:tcPr>
                  <w:tcW w:w="432" w:type="pct"/>
                  <w:vAlign w:val="center"/>
                </w:tcPr>
                <w:p>
                  <w:pPr>
                    <w:pStyle w:val="63"/>
                    <w:rPr>
                      <w:color w:val="auto"/>
                      <w:lang w:eastAsia="zh-CN"/>
                    </w:rPr>
                  </w:pPr>
                  <w:r>
                    <w:rPr>
                      <w:rFonts w:hint="eastAsia"/>
                      <w:color w:val="auto"/>
                      <w:lang w:eastAsia="zh-CN"/>
                    </w:rPr>
                    <w:t>0</w:t>
                  </w:r>
                </w:p>
              </w:tc>
              <w:tc>
                <w:tcPr>
                  <w:tcW w:w="567" w:type="pct"/>
                  <w:vAlign w:val="center"/>
                </w:tcPr>
                <w:p>
                  <w:pPr>
                    <w:pStyle w:val="63"/>
                    <w:rPr>
                      <w:color w:val="auto"/>
                    </w:rPr>
                  </w:pPr>
                  <w:r>
                    <w:rPr>
                      <w:color w:val="auto"/>
                    </w:rPr>
                    <w:t>0</w:t>
                  </w:r>
                </w:p>
              </w:tc>
              <w:tc>
                <w:tcPr>
                  <w:tcW w:w="553" w:type="pct"/>
                  <w:vAlign w:val="center"/>
                </w:tcPr>
                <w:p>
                  <w:pPr>
                    <w:pStyle w:val="63"/>
                    <w:rPr>
                      <w:color w:val="auto"/>
                    </w:rPr>
                  </w:pPr>
                  <w:r>
                    <w:rPr>
                      <w:color w:val="auto"/>
                    </w:rPr>
                    <w:t>0</w:t>
                  </w:r>
                </w:p>
              </w:tc>
              <w:tc>
                <w:tcPr>
                  <w:tcW w:w="554" w:type="pct"/>
                  <w:vAlign w:val="center"/>
                </w:tcPr>
                <w:p>
                  <w:pPr>
                    <w:pStyle w:val="63"/>
                    <w:rPr>
                      <w:color w:val="auto"/>
                    </w:rPr>
                  </w:pPr>
                  <w:r>
                    <w:rPr>
                      <w:color w:val="auto"/>
                    </w:rPr>
                    <w:t>0</w:t>
                  </w:r>
                </w:p>
              </w:tc>
              <w:tc>
                <w:tcPr>
                  <w:tcW w:w="550" w:type="pct"/>
                  <w:vAlign w:val="center"/>
                </w:tcPr>
                <w:p>
                  <w:pPr>
                    <w:pStyle w:val="63"/>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75" w:type="pct"/>
                  <w:vMerge w:val="restart"/>
                  <w:vAlign w:val="center"/>
                </w:tcPr>
                <w:p>
                  <w:pPr>
                    <w:pStyle w:val="63"/>
                    <w:rPr>
                      <w:color w:val="auto"/>
                      <w:lang w:val="en-US"/>
                    </w:rPr>
                  </w:pPr>
                  <w:r>
                    <w:rPr>
                      <w:color w:val="auto"/>
                    </w:rPr>
                    <w:t>一般固废</w:t>
                  </w:r>
                </w:p>
              </w:tc>
              <w:tc>
                <w:tcPr>
                  <w:tcW w:w="629" w:type="pct"/>
                  <w:vAlign w:val="center"/>
                </w:tcPr>
                <w:p>
                  <w:pPr>
                    <w:pStyle w:val="63"/>
                    <w:rPr>
                      <w:color w:val="auto"/>
                      <w:lang w:val="en-US"/>
                    </w:rPr>
                  </w:pPr>
                  <w:r>
                    <w:rPr>
                      <w:rFonts w:hint="eastAsia"/>
                      <w:color w:val="auto"/>
                    </w:rPr>
                    <w:t>收尘灰</w:t>
                  </w:r>
                </w:p>
              </w:tc>
              <w:tc>
                <w:tcPr>
                  <w:tcW w:w="450" w:type="pct"/>
                  <w:vAlign w:val="center"/>
                </w:tcPr>
                <w:p>
                  <w:pPr>
                    <w:pStyle w:val="63"/>
                    <w:rPr>
                      <w:color w:val="auto"/>
                      <w:lang w:val="en-US"/>
                    </w:rPr>
                  </w:pPr>
                  <w:r>
                    <w:rPr>
                      <w:color w:val="auto"/>
                      <w:lang w:val="en-US"/>
                    </w:rPr>
                    <w:t>728.3</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lang w:val="en-US" w:eastAsia="zh-CN"/>
                    </w:rPr>
                  </w:pPr>
                  <w:r>
                    <w:rPr>
                      <w:rFonts w:hint="eastAsia"/>
                      <w:color w:val="auto"/>
                      <w:lang w:val="en-US" w:eastAsia="zh-CN"/>
                    </w:rPr>
                    <w:t>0</w:t>
                  </w:r>
                </w:p>
              </w:tc>
              <w:tc>
                <w:tcPr>
                  <w:tcW w:w="432" w:type="pct"/>
                  <w:vAlign w:val="center"/>
                </w:tcPr>
                <w:p>
                  <w:pPr>
                    <w:pStyle w:val="63"/>
                    <w:rPr>
                      <w:color w:val="auto"/>
                      <w:lang w:val="en-US"/>
                    </w:rPr>
                  </w:pPr>
                  <w:r>
                    <w:rPr>
                      <w:rFonts w:hint="eastAsia"/>
                      <w:color w:val="auto"/>
                      <w:lang w:val="en-US"/>
                    </w:rPr>
                    <w:t>0</w:t>
                  </w:r>
                </w:p>
              </w:tc>
              <w:tc>
                <w:tcPr>
                  <w:tcW w:w="567" w:type="pct"/>
                  <w:vAlign w:val="center"/>
                </w:tcPr>
                <w:p>
                  <w:pPr>
                    <w:pStyle w:val="63"/>
                    <w:rPr>
                      <w:color w:val="auto"/>
                      <w:lang w:val="en-US"/>
                    </w:rPr>
                  </w:pPr>
                  <w:r>
                    <w:rPr>
                      <w:rFonts w:hint="eastAsia"/>
                      <w:color w:val="auto"/>
                      <w:lang w:val="en-US"/>
                    </w:rPr>
                    <w:t>0</w:t>
                  </w:r>
                </w:p>
              </w:tc>
              <w:tc>
                <w:tcPr>
                  <w:tcW w:w="553" w:type="pct"/>
                  <w:vAlign w:val="center"/>
                </w:tcPr>
                <w:p>
                  <w:pPr>
                    <w:pStyle w:val="63"/>
                    <w:rPr>
                      <w:color w:val="auto"/>
                      <w:lang w:val="en-US"/>
                    </w:rPr>
                  </w:pPr>
                  <w:r>
                    <w:rPr>
                      <w:rFonts w:hint="eastAsia"/>
                      <w:color w:val="auto"/>
                      <w:lang w:val="en-US"/>
                    </w:rPr>
                    <w:t>0</w:t>
                  </w:r>
                </w:p>
              </w:tc>
              <w:tc>
                <w:tcPr>
                  <w:tcW w:w="554" w:type="pct"/>
                  <w:vAlign w:val="center"/>
                </w:tcPr>
                <w:p>
                  <w:pPr>
                    <w:pStyle w:val="63"/>
                    <w:rPr>
                      <w:color w:val="auto"/>
                      <w:lang w:val="en-US"/>
                    </w:rPr>
                  </w:pPr>
                  <w:r>
                    <w:rPr>
                      <w:color w:val="auto"/>
                      <w:lang w:val="en-US"/>
                    </w:rPr>
                    <w:t>728.3</w:t>
                  </w:r>
                </w:p>
              </w:tc>
              <w:tc>
                <w:tcPr>
                  <w:tcW w:w="550" w:type="pct"/>
                  <w:vAlign w:val="center"/>
                </w:tcPr>
                <w:p>
                  <w:pPr>
                    <w:pStyle w:val="63"/>
                    <w:rPr>
                      <w:color w:val="auto"/>
                      <w:lang w:val="en-US"/>
                    </w:rPr>
                  </w:pPr>
                  <w:r>
                    <w:rPr>
                      <w:color w:val="auto"/>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75" w:type="pct"/>
                  <w:vMerge w:val="continue"/>
                  <w:vAlign w:val="center"/>
                </w:tcPr>
                <w:p>
                  <w:pPr>
                    <w:pStyle w:val="63"/>
                    <w:rPr>
                      <w:color w:val="auto"/>
                    </w:rPr>
                  </w:pPr>
                </w:p>
              </w:tc>
              <w:tc>
                <w:tcPr>
                  <w:tcW w:w="629" w:type="pct"/>
                  <w:vAlign w:val="center"/>
                </w:tcPr>
                <w:p>
                  <w:pPr>
                    <w:pStyle w:val="63"/>
                    <w:rPr>
                      <w:color w:val="auto"/>
                      <w:lang w:val="en-US"/>
                    </w:rPr>
                  </w:pPr>
                  <w:r>
                    <w:rPr>
                      <w:color w:val="auto"/>
                      <w:lang w:val="en-US"/>
                    </w:rPr>
                    <w:t>废钢</w:t>
                  </w:r>
                  <w:r>
                    <w:rPr>
                      <w:rFonts w:hint="eastAsia"/>
                      <w:color w:val="auto"/>
                    </w:rPr>
                    <w:t>及边角料</w:t>
                  </w:r>
                </w:p>
              </w:tc>
              <w:tc>
                <w:tcPr>
                  <w:tcW w:w="450" w:type="pct"/>
                  <w:vAlign w:val="center"/>
                </w:tcPr>
                <w:p>
                  <w:pPr>
                    <w:pStyle w:val="63"/>
                    <w:rPr>
                      <w:color w:val="auto"/>
                      <w:lang w:val="en-US"/>
                    </w:rPr>
                  </w:pPr>
                  <w:r>
                    <w:rPr>
                      <w:color w:val="auto"/>
                      <w:lang w:val="en-US"/>
                    </w:rPr>
                    <w:t>2170</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lang w:val="en-US" w:eastAsia="zh-CN"/>
                    </w:rPr>
                  </w:pPr>
                  <w:r>
                    <w:rPr>
                      <w:rFonts w:hint="eastAsia"/>
                      <w:color w:val="auto"/>
                      <w:lang w:val="en-US" w:eastAsia="zh-CN"/>
                    </w:rPr>
                    <w:t>0</w:t>
                  </w:r>
                </w:p>
              </w:tc>
              <w:tc>
                <w:tcPr>
                  <w:tcW w:w="432" w:type="pct"/>
                  <w:vAlign w:val="center"/>
                </w:tcPr>
                <w:p>
                  <w:pPr>
                    <w:pStyle w:val="63"/>
                    <w:rPr>
                      <w:color w:val="auto"/>
                      <w:lang w:val="en-US"/>
                    </w:rPr>
                  </w:pPr>
                  <w:r>
                    <w:rPr>
                      <w:rFonts w:hint="eastAsia"/>
                      <w:color w:val="auto"/>
                      <w:lang w:val="en-US"/>
                    </w:rPr>
                    <w:t>0</w:t>
                  </w:r>
                </w:p>
              </w:tc>
              <w:tc>
                <w:tcPr>
                  <w:tcW w:w="567" w:type="pct"/>
                  <w:vAlign w:val="center"/>
                </w:tcPr>
                <w:p>
                  <w:pPr>
                    <w:pStyle w:val="63"/>
                    <w:rPr>
                      <w:color w:val="auto"/>
                      <w:lang w:val="en-US"/>
                    </w:rPr>
                  </w:pPr>
                  <w:r>
                    <w:rPr>
                      <w:rFonts w:hint="eastAsia"/>
                      <w:color w:val="auto"/>
                      <w:lang w:val="en-US"/>
                    </w:rPr>
                    <w:t>0</w:t>
                  </w:r>
                </w:p>
              </w:tc>
              <w:tc>
                <w:tcPr>
                  <w:tcW w:w="553" w:type="pct"/>
                  <w:vAlign w:val="center"/>
                </w:tcPr>
                <w:p>
                  <w:pPr>
                    <w:pStyle w:val="63"/>
                    <w:rPr>
                      <w:color w:val="auto"/>
                      <w:lang w:val="en-US"/>
                    </w:rPr>
                  </w:pPr>
                  <w:r>
                    <w:rPr>
                      <w:rFonts w:hint="eastAsia"/>
                      <w:color w:val="auto"/>
                      <w:lang w:val="en-US"/>
                    </w:rPr>
                    <w:t>0</w:t>
                  </w:r>
                </w:p>
              </w:tc>
              <w:tc>
                <w:tcPr>
                  <w:tcW w:w="554" w:type="pct"/>
                  <w:vAlign w:val="center"/>
                </w:tcPr>
                <w:p>
                  <w:pPr>
                    <w:pStyle w:val="63"/>
                    <w:rPr>
                      <w:color w:val="auto"/>
                      <w:lang w:val="en-US"/>
                    </w:rPr>
                  </w:pPr>
                  <w:r>
                    <w:rPr>
                      <w:color w:val="auto"/>
                      <w:lang w:val="en-US"/>
                    </w:rPr>
                    <w:t>2170</w:t>
                  </w:r>
                </w:p>
              </w:tc>
              <w:tc>
                <w:tcPr>
                  <w:tcW w:w="550" w:type="pct"/>
                  <w:vAlign w:val="center"/>
                </w:tcPr>
                <w:p>
                  <w:pPr>
                    <w:pStyle w:val="63"/>
                    <w:rPr>
                      <w:color w:val="auto"/>
                      <w:lang w:val="en-US"/>
                    </w:rPr>
                  </w:pPr>
                  <w:r>
                    <w:rPr>
                      <w:color w:val="auto"/>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75" w:type="pct"/>
                  <w:vMerge w:val="continue"/>
                  <w:vAlign w:val="center"/>
                </w:tcPr>
                <w:p>
                  <w:pPr>
                    <w:pStyle w:val="63"/>
                    <w:rPr>
                      <w:color w:val="auto"/>
                    </w:rPr>
                  </w:pPr>
                </w:p>
              </w:tc>
              <w:tc>
                <w:tcPr>
                  <w:tcW w:w="629" w:type="pct"/>
                  <w:vAlign w:val="center"/>
                </w:tcPr>
                <w:p>
                  <w:pPr>
                    <w:pStyle w:val="63"/>
                    <w:rPr>
                      <w:color w:val="auto"/>
                      <w:lang w:val="en-US"/>
                    </w:rPr>
                  </w:pPr>
                  <w:r>
                    <w:rPr>
                      <w:color w:val="auto"/>
                      <w:lang w:val="en-US"/>
                    </w:rPr>
                    <w:t>湿式除尘污泥</w:t>
                  </w:r>
                </w:p>
              </w:tc>
              <w:tc>
                <w:tcPr>
                  <w:tcW w:w="450" w:type="pct"/>
                  <w:vAlign w:val="center"/>
                </w:tcPr>
                <w:p>
                  <w:pPr>
                    <w:pStyle w:val="63"/>
                    <w:rPr>
                      <w:color w:val="auto"/>
                      <w:lang w:val="en-US"/>
                    </w:rPr>
                  </w:pPr>
                  <w:r>
                    <w:rPr>
                      <w:color w:val="auto"/>
                      <w:lang w:val="en-US"/>
                    </w:rPr>
                    <w:t>72</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lang w:val="en-US" w:eastAsia="zh-CN"/>
                    </w:rPr>
                  </w:pPr>
                  <w:r>
                    <w:rPr>
                      <w:rFonts w:hint="eastAsia"/>
                      <w:color w:val="auto"/>
                      <w:lang w:val="en-US" w:eastAsia="zh-CN"/>
                    </w:rPr>
                    <w:t>0</w:t>
                  </w:r>
                </w:p>
              </w:tc>
              <w:tc>
                <w:tcPr>
                  <w:tcW w:w="432" w:type="pct"/>
                  <w:vAlign w:val="center"/>
                </w:tcPr>
                <w:p>
                  <w:pPr>
                    <w:pStyle w:val="63"/>
                    <w:rPr>
                      <w:color w:val="auto"/>
                      <w:lang w:val="en-US"/>
                    </w:rPr>
                  </w:pPr>
                  <w:r>
                    <w:rPr>
                      <w:rFonts w:hint="eastAsia"/>
                      <w:color w:val="auto"/>
                      <w:lang w:val="en-US"/>
                    </w:rPr>
                    <w:t>0</w:t>
                  </w:r>
                </w:p>
              </w:tc>
              <w:tc>
                <w:tcPr>
                  <w:tcW w:w="567" w:type="pct"/>
                  <w:vAlign w:val="center"/>
                </w:tcPr>
                <w:p>
                  <w:pPr>
                    <w:pStyle w:val="63"/>
                    <w:rPr>
                      <w:color w:val="auto"/>
                      <w:lang w:val="en-US"/>
                    </w:rPr>
                  </w:pPr>
                  <w:r>
                    <w:rPr>
                      <w:rFonts w:hint="eastAsia"/>
                      <w:color w:val="auto"/>
                      <w:lang w:val="en-US"/>
                    </w:rPr>
                    <w:t>0</w:t>
                  </w:r>
                </w:p>
              </w:tc>
              <w:tc>
                <w:tcPr>
                  <w:tcW w:w="553" w:type="pct"/>
                  <w:vAlign w:val="center"/>
                </w:tcPr>
                <w:p>
                  <w:pPr>
                    <w:pStyle w:val="63"/>
                    <w:rPr>
                      <w:color w:val="auto"/>
                      <w:lang w:val="en-US"/>
                    </w:rPr>
                  </w:pPr>
                  <w:r>
                    <w:rPr>
                      <w:rFonts w:hint="eastAsia"/>
                      <w:color w:val="auto"/>
                      <w:lang w:val="en-US"/>
                    </w:rPr>
                    <w:t>0</w:t>
                  </w:r>
                </w:p>
              </w:tc>
              <w:tc>
                <w:tcPr>
                  <w:tcW w:w="554" w:type="pct"/>
                  <w:vAlign w:val="center"/>
                </w:tcPr>
                <w:p>
                  <w:pPr>
                    <w:pStyle w:val="63"/>
                    <w:rPr>
                      <w:color w:val="auto"/>
                      <w:lang w:val="en-US"/>
                    </w:rPr>
                  </w:pPr>
                  <w:r>
                    <w:rPr>
                      <w:color w:val="auto"/>
                      <w:lang w:val="en-US"/>
                    </w:rPr>
                    <w:t>72</w:t>
                  </w:r>
                </w:p>
              </w:tc>
              <w:tc>
                <w:tcPr>
                  <w:tcW w:w="550" w:type="pct"/>
                  <w:vAlign w:val="center"/>
                </w:tcPr>
                <w:p>
                  <w:pPr>
                    <w:pStyle w:val="63"/>
                    <w:rPr>
                      <w:color w:val="auto"/>
                      <w:lang w:val="en-US"/>
                    </w:rPr>
                  </w:pPr>
                  <w:r>
                    <w:rPr>
                      <w:color w:val="auto"/>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75" w:type="pct"/>
                  <w:vMerge w:val="continue"/>
                  <w:vAlign w:val="center"/>
                </w:tcPr>
                <w:p>
                  <w:pPr>
                    <w:pStyle w:val="63"/>
                    <w:rPr>
                      <w:color w:val="auto"/>
                    </w:rPr>
                  </w:pPr>
                </w:p>
              </w:tc>
              <w:tc>
                <w:tcPr>
                  <w:tcW w:w="629" w:type="pct"/>
                  <w:vAlign w:val="center"/>
                </w:tcPr>
                <w:p>
                  <w:pPr>
                    <w:pStyle w:val="63"/>
                    <w:rPr>
                      <w:color w:val="auto"/>
                      <w:lang w:val="en-US"/>
                    </w:rPr>
                  </w:pPr>
                  <w:r>
                    <w:rPr>
                      <w:rFonts w:hint="eastAsia"/>
                      <w:color w:val="auto"/>
                    </w:rPr>
                    <w:t>氧化铁皮</w:t>
                  </w:r>
                </w:p>
              </w:tc>
              <w:tc>
                <w:tcPr>
                  <w:tcW w:w="450" w:type="pct"/>
                  <w:vAlign w:val="center"/>
                </w:tcPr>
                <w:p>
                  <w:pPr>
                    <w:pStyle w:val="63"/>
                    <w:rPr>
                      <w:color w:val="auto"/>
                      <w:lang w:val="en-US"/>
                    </w:rPr>
                  </w:pPr>
                  <w:r>
                    <w:rPr>
                      <w:rFonts w:hint="eastAsia"/>
                      <w:color w:val="auto"/>
                      <w:lang w:val="en-US"/>
                    </w:rPr>
                    <w:t>6514.961</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lang w:val="en-US"/>
                    </w:rPr>
                  </w:pPr>
                  <w:r>
                    <w:rPr>
                      <w:rFonts w:hint="eastAsia"/>
                      <w:color w:val="auto"/>
                      <w:lang w:val="en-US"/>
                    </w:rPr>
                    <w:t>0</w:t>
                  </w:r>
                </w:p>
              </w:tc>
              <w:tc>
                <w:tcPr>
                  <w:tcW w:w="432" w:type="pct"/>
                  <w:vAlign w:val="center"/>
                </w:tcPr>
                <w:p>
                  <w:pPr>
                    <w:pStyle w:val="63"/>
                    <w:rPr>
                      <w:color w:val="auto"/>
                      <w:lang w:val="en-US"/>
                    </w:rPr>
                  </w:pPr>
                  <w:r>
                    <w:rPr>
                      <w:rFonts w:hint="eastAsia"/>
                      <w:color w:val="auto"/>
                      <w:lang w:val="en-US"/>
                    </w:rPr>
                    <w:t>0</w:t>
                  </w:r>
                </w:p>
              </w:tc>
              <w:tc>
                <w:tcPr>
                  <w:tcW w:w="567" w:type="pct"/>
                  <w:vAlign w:val="center"/>
                </w:tcPr>
                <w:p>
                  <w:pPr>
                    <w:pStyle w:val="63"/>
                    <w:rPr>
                      <w:color w:val="auto"/>
                      <w:lang w:val="en-US"/>
                    </w:rPr>
                  </w:pPr>
                  <w:r>
                    <w:rPr>
                      <w:rFonts w:hint="eastAsia"/>
                      <w:color w:val="auto"/>
                      <w:lang w:val="en-US"/>
                    </w:rPr>
                    <w:t>0</w:t>
                  </w:r>
                </w:p>
              </w:tc>
              <w:tc>
                <w:tcPr>
                  <w:tcW w:w="553" w:type="pct"/>
                  <w:vAlign w:val="center"/>
                </w:tcPr>
                <w:p>
                  <w:pPr>
                    <w:pStyle w:val="63"/>
                    <w:rPr>
                      <w:color w:val="auto"/>
                      <w:lang w:val="en-US"/>
                    </w:rPr>
                  </w:pPr>
                  <w:r>
                    <w:rPr>
                      <w:rFonts w:hint="eastAsia"/>
                      <w:color w:val="auto"/>
                      <w:lang w:val="en-US"/>
                    </w:rPr>
                    <w:t>0</w:t>
                  </w:r>
                </w:p>
              </w:tc>
              <w:tc>
                <w:tcPr>
                  <w:tcW w:w="554" w:type="pct"/>
                  <w:vAlign w:val="center"/>
                </w:tcPr>
                <w:p>
                  <w:pPr>
                    <w:pStyle w:val="63"/>
                    <w:rPr>
                      <w:color w:val="auto"/>
                      <w:lang w:val="en-US"/>
                    </w:rPr>
                  </w:pPr>
                  <w:r>
                    <w:rPr>
                      <w:rFonts w:hint="eastAsia"/>
                      <w:color w:val="auto"/>
                      <w:lang w:val="en-US"/>
                    </w:rPr>
                    <w:t>6514.961</w:t>
                  </w:r>
                </w:p>
              </w:tc>
              <w:tc>
                <w:tcPr>
                  <w:tcW w:w="550" w:type="pct"/>
                  <w:vAlign w:val="center"/>
                </w:tcPr>
                <w:p>
                  <w:pPr>
                    <w:pStyle w:val="63"/>
                    <w:rPr>
                      <w:color w:val="auto"/>
                      <w:lang w:val="en-US"/>
                    </w:rPr>
                  </w:pPr>
                  <w:r>
                    <w:rPr>
                      <w:rFonts w:hint="eastAsia"/>
                      <w:color w:val="auto"/>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restart"/>
                  <w:vAlign w:val="center"/>
                </w:tcPr>
                <w:p>
                  <w:pPr>
                    <w:pStyle w:val="63"/>
                    <w:rPr>
                      <w:color w:val="auto"/>
                      <w:lang w:val="en-US"/>
                    </w:rPr>
                  </w:pPr>
                  <w:r>
                    <w:rPr>
                      <w:color w:val="auto"/>
                    </w:rPr>
                    <w:t>危险废物</w:t>
                  </w:r>
                </w:p>
              </w:tc>
              <w:tc>
                <w:tcPr>
                  <w:tcW w:w="629" w:type="pct"/>
                  <w:vAlign w:val="center"/>
                </w:tcPr>
                <w:p>
                  <w:pPr>
                    <w:pStyle w:val="63"/>
                    <w:rPr>
                      <w:color w:val="auto"/>
                      <w:lang w:val="en-US"/>
                    </w:rPr>
                  </w:pPr>
                  <w:r>
                    <w:rPr>
                      <w:rFonts w:hint="eastAsia"/>
                      <w:color w:val="auto"/>
                    </w:rPr>
                    <w:t>废矿物油</w:t>
                  </w:r>
                </w:p>
              </w:tc>
              <w:tc>
                <w:tcPr>
                  <w:tcW w:w="450" w:type="pct"/>
                  <w:vAlign w:val="center"/>
                </w:tcPr>
                <w:p>
                  <w:pPr>
                    <w:pStyle w:val="63"/>
                    <w:rPr>
                      <w:color w:val="auto"/>
                      <w:lang w:val="en-US" w:eastAsia="zh-CN"/>
                    </w:rPr>
                  </w:pPr>
                  <w:r>
                    <w:rPr>
                      <w:rFonts w:hint="eastAsia"/>
                      <w:color w:val="auto"/>
                      <w:lang w:val="en-US" w:eastAsia="zh-CN"/>
                    </w:rPr>
                    <w:t>1</w:t>
                  </w:r>
                  <w:r>
                    <w:rPr>
                      <w:color w:val="auto"/>
                      <w:lang w:val="en-US" w:eastAsia="zh-CN"/>
                    </w:rPr>
                    <w:t>.0</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lang w:val="en-US"/>
                    </w:rPr>
                  </w:pPr>
                  <w:r>
                    <w:rPr>
                      <w:color w:val="auto"/>
                      <w:lang w:val="en-US"/>
                    </w:rPr>
                    <w:t>0</w:t>
                  </w:r>
                </w:p>
              </w:tc>
              <w:tc>
                <w:tcPr>
                  <w:tcW w:w="432" w:type="pct"/>
                  <w:vAlign w:val="center"/>
                </w:tcPr>
                <w:p>
                  <w:pPr>
                    <w:pStyle w:val="63"/>
                    <w:rPr>
                      <w:color w:val="auto"/>
                      <w:lang w:val="en-US"/>
                    </w:rPr>
                  </w:pPr>
                  <w:r>
                    <w:rPr>
                      <w:rFonts w:hint="eastAsia"/>
                      <w:color w:val="auto"/>
                      <w:lang w:val="en-US"/>
                    </w:rPr>
                    <w:t>0</w:t>
                  </w:r>
                </w:p>
              </w:tc>
              <w:tc>
                <w:tcPr>
                  <w:tcW w:w="567" w:type="pct"/>
                  <w:vAlign w:val="center"/>
                </w:tcPr>
                <w:p>
                  <w:pPr>
                    <w:pStyle w:val="63"/>
                    <w:rPr>
                      <w:color w:val="auto"/>
                      <w:lang w:val="en-US"/>
                    </w:rPr>
                  </w:pPr>
                  <w:r>
                    <w:rPr>
                      <w:rFonts w:hint="eastAsia"/>
                      <w:color w:val="auto"/>
                      <w:lang w:val="en-US"/>
                    </w:rPr>
                    <w:t>0</w:t>
                  </w:r>
                </w:p>
              </w:tc>
              <w:tc>
                <w:tcPr>
                  <w:tcW w:w="553" w:type="pct"/>
                  <w:vAlign w:val="center"/>
                </w:tcPr>
                <w:p>
                  <w:pPr>
                    <w:pStyle w:val="63"/>
                    <w:rPr>
                      <w:color w:val="auto"/>
                      <w:lang w:val="en-US"/>
                    </w:rPr>
                  </w:pPr>
                  <w:r>
                    <w:rPr>
                      <w:rFonts w:hint="eastAsia"/>
                      <w:color w:val="auto"/>
                      <w:lang w:val="en-US"/>
                    </w:rPr>
                    <w:t>0</w:t>
                  </w:r>
                </w:p>
              </w:tc>
              <w:tc>
                <w:tcPr>
                  <w:tcW w:w="554" w:type="pct"/>
                  <w:vAlign w:val="center"/>
                </w:tcPr>
                <w:p>
                  <w:pPr>
                    <w:pStyle w:val="63"/>
                    <w:rPr>
                      <w:color w:val="auto"/>
                      <w:lang w:val="en-US" w:eastAsia="zh-CN"/>
                    </w:rPr>
                  </w:pPr>
                  <w:r>
                    <w:rPr>
                      <w:rFonts w:hint="eastAsia"/>
                      <w:color w:val="auto"/>
                      <w:lang w:val="en-US" w:eastAsia="zh-CN"/>
                    </w:rPr>
                    <w:t>1</w:t>
                  </w:r>
                  <w:r>
                    <w:rPr>
                      <w:color w:val="auto"/>
                      <w:lang w:val="en-US" w:eastAsia="zh-CN"/>
                    </w:rPr>
                    <w:t>.0</w:t>
                  </w:r>
                </w:p>
              </w:tc>
              <w:tc>
                <w:tcPr>
                  <w:tcW w:w="550" w:type="pct"/>
                  <w:vAlign w:val="center"/>
                </w:tcPr>
                <w:p>
                  <w:pPr>
                    <w:pStyle w:val="63"/>
                    <w:rPr>
                      <w:color w:val="auto"/>
                      <w:lang w:val="en-US" w:eastAsia="zh-CN"/>
                    </w:rPr>
                  </w:pP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continue"/>
                  <w:vAlign w:val="center"/>
                </w:tcPr>
                <w:p>
                  <w:pPr>
                    <w:pStyle w:val="63"/>
                    <w:rPr>
                      <w:color w:val="auto"/>
                      <w:lang w:val="en-US"/>
                    </w:rPr>
                  </w:pPr>
                </w:p>
              </w:tc>
              <w:tc>
                <w:tcPr>
                  <w:tcW w:w="629" w:type="pct"/>
                  <w:vAlign w:val="center"/>
                </w:tcPr>
                <w:p>
                  <w:pPr>
                    <w:pStyle w:val="63"/>
                    <w:rPr>
                      <w:color w:val="auto"/>
                      <w:lang w:val="en-US"/>
                    </w:rPr>
                  </w:pPr>
                  <w:r>
                    <w:rPr>
                      <w:rFonts w:hint="eastAsia"/>
                      <w:color w:val="auto"/>
                    </w:rPr>
                    <w:t>酸性废水处理污泥</w:t>
                  </w:r>
                </w:p>
              </w:tc>
              <w:tc>
                <w:tcPr>
                  <w:tcW w:w="450" w:type="pct"/>
                  <w:vAlign w:val="center"/>
                </w:tcPr>
                <w:p>
                  <w:pPr>
                    <w:pStyle w:val="63"/>
                    <w:rPr>
                      <w:color w:val="auto"/>
                      <w:lang w:val="en-US" w:eastAsia="zh-CN"/>
                    </w:rPr>
                  </w:pPr>
                  <w:r>
                    <w:rPr>
                      <w:rFonts w:hint="eastAsia"/>
                      <w:color w:val="auto"/>
                      <w:lang w:val="en-US" w:eastAsia="zh-CN"/>
                    </w:rPr>
                    <w:t>1</w:t>
                  </w:r>
                  <w:r>
                    <w:rPr>
                      <w:color w:val="auto"/>
                      <w:lang w:val="en-US" w:eastAsia="zh-CN"/>
                    </w:rPr>
                    <w:t>1000</w:t>
                  </w:r>
                </w:p>
              </w:tc>
              <w:tc>
                <w:tcPr>
                  <w:tcW w:w="541" w:type="pct"/>
                  <w:vAlign w:val="center"/>
                </w:tcPr>
                <w:p>
                  <w:pPr>
                    <w:pStyle w:val="63"/>
                    <w:rPr>
                      <w:color w:val="auto"/>
                      <w:lang w:val="en-US" w:eastAsia="zh-CN"/>
                    </w:rPr>
                  </w:pPr>
                  <w:r>
                    <w:rPr>
                      <w:rFonts w:hint="eastAsia"/>
                      <w:color w:val="auto"/>
                      <w:lang w:val="en-US" w:eastAsia="zh-CN"/>
                    </w:rPr>
                    <w:t>0</w:t>
                  </w:r>
                </w:p>
              </w:tc>
              <w:tc>
                <w:tcPr>
                  <w:tcW w:w="449" w:type="pct"/>
                  <w:vAlign w:val="center"/>
                </w:tcPr>
                <w:p>
                  <w:pPr>
                    <w:pStyle w:val="63"/>
                    <w:rPr>
                      <w:color w:val="auto"/>
                      <w:lang w:val="en-US"/>
                    </w:rPr>
                  </w:pPr>
                  <w:r>
                    <w:rPr>
                      <w:rFonts w:hint="eastAsia"/>
                      <w:color w:val="auto"/>
                      <w:lang w:val="en-US"/>
                    </w:rPr>
                    <w:t>0</w:t>
                  </w:r>
                </w:p>
              </w:tc>
              <w:tc>
                <w:tcPr>
                  <w:tcW w:w="432" w:type="pct"/>
                  <w:vAlign w:val="center"/>
                </w:tcPr>
                <w:p>
                  <w:pPr>
                    <w:pStyle w:val="63"/>
                    <w:rPr>
                      <w:color w:val="auto"/>
                      <w:lang w:val="en-US"/>
                    </w:rPr>
                  </w:pPr>
                  <w:r>
                    <w:rPr>
                      <w:rFonts w:hint="eastAsia"/>
                      <w:color w:val="auto"/>
                      <w:lang w:val="en-US"/>
                    </w:rPr>
                    <w:t>0</w:t>
                  </w:r>
                </w:p>
              </w:tc>
              <w:tc>
                <w:tcPr>
                  <w:tcW w:w="567" w:type="pct"/>
                  <w:vAlign w:val="center"/>
                </w:tcPr>
                <w:p>
                  <w:pPr>
                    <w:pStyle w:val="63"/>
                    <w:rPr>
                      <w:color w:val="auto"/>
                      <w:lang w:val="en-US"/>
                    </w:rPr>
                  </w:pPr>
                  <w:r>
                    <w:rPr>
                      <w:rFonts w:hint="eastAsia"/>
                      <w:color w:val="auto"/>
                      <w:lang w:val="en-US"/>
                    </w:rPr>
                    <w:t>0</w:t>
                  </w:r>
                </w:p>
              </w:tc>
              <w:tc>
                <w:tcPr>
                  <w:tcW w:w="553" w:type="pct"/>
                  <w:vAlign w:val="center"/>
                </w:tcPr>
                <w:p>
                  <w:pPr>
                    <w:pStyle w:val="63"/>
                    <w:rPr>
                      <w:color w:val="auto"/>
                      <w:lang w:val="en-US"/>
                    </w:rPr>
                  </w:pPr>
                  <w:r>
                    <w:rPr>
                      <w:rFonts w:hint="eastAsia"/>
                      <w:color w:val="auto"/>
                      <w:lang w:val="en-US"/>
                    </w:rPr>
                    <w:t>0</w:t>
                  </w:r>
                </w:p>
              </w:tc>
              <w:tc>
                <w:tcPr>
                  <w:tcW w:w="554" w:type="pct"/>
                  <w:vAlign w:val="center"/>
                </w:tcPr>
                <w:p>
                  <w:pPr>
                    <w:pStyle w:val="63"/>
                    <w:rPr>
                      <w:color w:val="auto"/>
                      <w:lang w:val="en-US" w:eastAsia="zh-CN"/>
                    </w:rPr>
                  </w:pPr>
                  <w:r>
                    <w:rPr>
                      <w:rFonts w:hint="eastAsia"/>
                      <w:color w:val="auto"/>
                      <w:lang w:val="en-US" w:eastAsia="zh-CN"/>
                    </w:rPr>
                    <w:t>1</w:t>
                  </w:r>
                  <w:r>
                    <w:rPr>
                      <w:color w:val="auto"/>
                      <w:lang w:val="en-US" w:eastAsia="zh-CN"/>
                    </w:rPr>
                    <w:t>1000</w:t>
                  </w:r>
                </w:p>
              </w:tc>
              <w:tc>
                <w:tcPr>
                  <w:tcW w:w="550" w:type="pct"/>
                  <w:vAlign w:val="center"/>
                </w:tcPr>
                <w:p>
                  <w:pPr>
                    <w:pStyle w:val="63"/>
                    <w:rPr>
                      <w:color w:val="auto"/>
                      <w:lang w:val="en-US" w:eastAsia="zh-CN"/>
                    </w:rPr>
                  </w:pPr>
                  <w:r>
                    <w:rPr>
                      <w:rFonts w:hint="eastAsia"/>
                      <w:color w:val="auto"/>
                      <w:lang w:val="en-US" w:eastAsia="zh-CN"/>
                    </w:rPr>
                    <w:t>0</w:t>
                  </w:r>
                </w:p>
              </w:tc>
            </w:tr>
          </w:tbl>
          <w:p>
            <w:pPr>
              <w:pStyle w:val="51"/>
              <w:spacing w:before="120" w:after="120"/>
              <w:rPr>
                <w:color w:val="auto"/>
              </w:rPr>
            </w:pPr>
            <w:r>
              <w:rPr>
                <w:rFonts w:hint="eastAsia"/>
                <w:color w:val="auto"/>
              </w:rPr>
              <w:t>4.</w:t>
            </w:r>
            <w:r>
              <w:rPr>
                <w:color w:val="auto"/>
              </w:rPr>
              <w:t>5</w:t>
            </w:r>
            <w:r>
              <w:rPr>
                <w:rFonts w:hint="eastAsia"/>
                <w:color w:val="auto"/>
              </w:rPr>
              <w:t>环境保护投资</w:t>
            </w:r>
          </w:p>
          <w:p>
            <w:pPr>
              <w:ind w:firstLine="480"/>
              <w:rPr>
                <w:color w:val="auto"/>
              </w:rPr>
            </w:pPr>
            <w:r>
              <w:rPr>
                <w:rFonts w:hint="eastAsia"/>
                <w:color w:val="auto"/>
              </w:rPr>
              <w:t>本</w:t>
            </w:r>
            <w:r>
              <w:rPr>
                <w:color w:val="auto"/>
              </w:rPr>
              <w:t>项目</w:t>
            </w:r>
            <w:r>
              <w:rPr>
                <w:rFonts w:hint="eastAsia"/>
                <w:color w:val="auto"/>
              </w:rPr>
              <w:t>工程投资为</w:t>
            </w:r>
            <w:r>
              <w:rPr>
                <w:color w:val="auto"/>
              </w:rPr>
              <w:t>150</w:t>
            </w:r>
            <w:r>
              <w:rPr>
                <w:rFonts w:hint="eastAsia"/>
                <w:color w:val="auto"/>
              </w:rPr>
              <w:t>万元</w:t>
            </w:r>
            <w:r>
              <w:rPr>
                <w:color w:val="auto"/>
              </w:rPr>
              <w:t>，环保投资估算9.0万元人民币，约占工程总投资的6%，其环保设施投资情况见表</w:t>
            </w:r>
            <w:r>
              <w:rPr>
                <w:rFonts w:hint="eastAsia"/>
                <w:color w:val="auto"/>
              </w:rPr>
              <w:t>4.</w:t>
            </w:r>
            <w:r>
              <w:rPr>
                <w:color w:val="auto"/>
              </w:rPr>
              <w:t>5</w:t>
            </w:r>
            <w:r>
              <w:rPr>
                <w:rFonts w:hint="eastAsia"/>
                <w:color w:val="auto"/>
              </w:rPr>
              <w:t>-1</w:t>
            </w:r>
            <w:r>
              <w:rPr>
                <w:color w:val="auto"/>
              </w:rPr>
              <w:t>。</w:t>
            </w:r>
          </w:p>
          <w:p>
            <w:pPr>
              <w:pStyle w:val="66"/>
              <w:rPr>
                <w:color w:val="auto"/>
              </w:rPr>
            </w:pPr>
            <w:r>
              <w:rPr>
                <w:color w:val="auto"/>
              </w:rPr>
              <w:t>表</w:t>
            </w:r>
            <w:r>
              <w:rPr>
                <w:rFonts w:hint="eastAsia"/>
                <w:color w:val="auto"/>
              </w:rPr>
              <w:t>4.</w:t>
            </w:r>
            <w:r>
              <w:rPr>
                <w:color w:val="auto"/>
              </w:rPr>
              <w:t>5</w:t>
            </w:r>
            <w:r>
              <w:rPr>
                <w:rFonts w:hint="eastAsia"/>
                <w:color w:val="auto"/>
              </w:rPr>
              <w:t>-1</w:t>
            </w:r>
            <w:r>
              <w:rPr>
                <w:color w:val="auto"/>
              </w:rPr>
              <w:t xml:space="preserve"> 环保投资估算一览表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703"/>
              <w:gridCol w:w="4154"/>
              <w:gridCol w:w="1287"/>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shd w:val="clear" w:color="auto" w:fill="auto"/>
                  <w:vAlign w:val="center"/>
                </w:tcPr>
                <w:p>
                  <w:pPr>
                    <w:pStyle w:val="63"/>
                    <w:rPr>
                      <w:color w:val="auto"/>
                    </w:rPr>
                  </w:pPr>
                  <w:r>
                    <w:rPr>
                      <w:color w:val="auto"/>
                    </w:rPr>
                    <w:t>类别</w:t>
                  </w:r>
                </w:p>
              </w:tc>
              <w:tc>
                <w:tcPr>
                  <w:tcW w:w="448" w:type="pct"/>
                  <w:shd w:val="clear" w:color="auto" w:fill="auto"/>
                  <w:vAlign w:val="center"/>
                </w:tcPr>
                <w:p>
                  <w:pPr>
                    <w:pStyle w:val="63"/>
                    <w:rPr>
                      <w:color w:val="auto"/>
                    </w:rPr>
                  </w:pPr>
                  <w:r>
                    <w:rPr>
                      <w:color w:val="auto"/>
                    </w:rPr>
                    <w:t>保护对象</w:t>
                  </w:r>
                </w:p>
              </w:tc>
              <w:tc>
                <w:tcPr>
                  <w:tcW w:w="2649" w:type="pct"/>
                  <w:shd w:val="clear" w:color="auto" w:fill="auto"/>
                  <w:vAlign w:val="center"/>
                </w:tcPr>
                <w:p>
                  <w:pPr>
                    <w:pStyle w:val="63"/>
                    <w:rPr>
                      <w:color w:val="auto"/>
                    </w:rPr>
                  </w:pPr>
                  <w:r>
                    <w:rPr>
                      <w:color w:val="auto"/>
                    </w:rPr>
                    <w:t>环保措施</w:t>
                  </w:r>
                </w:p>
              </w:tc>
              <w:tc>
                <w:tcPr>
                  <w:tcW w:w="821" w:type="pct"/>
                  <w:shd w:val="clear" w:color="auto" w:fill="auto"/>
                  <w:vAlign w:val="center"/>
                </w:tcPr>
                <w:p>
                  <w:pPr>
                    <w:pStyle w:val="63"/>
                    <w:rPr>
                      <w:color w:val="auto"/>
                    </w:rPr>
                  </w:pPr>
                  <w:r>
                    <w:rPr>
                      <w:color w:val="auto"/>
                    </w:rPr>
                    <w:t>投资估算</w:t>
                  </w:r>
                </w:p>
                <w:p>
                  <w:pPr>
                    <w:pStyle w:val="63"/>
                    <w:rPr>
                      <w:color w:val="auto"/>
                    </w:rPr>
                  </w:pPr>
                  <w:r>
                    <w:rPr>
                      <w:color w:val="auto"/>
                    </w:rPr>
                    <w:t>（万元）</w:t>
                  </w:r>
                </w:p>
              </w:tc>
              <w:tc>
                <w:tcPr>
                  <w:tcW w:w="688" w:type="pct"/>
                  <w:shd w:val="clear" w:color="auto" w:fill="auto"/>
                  <w:vAlign w:val="center"/>
                </w:tcPr>
                <w:p>
                  <w:pPr>
                    <w:pStyle w:val="63"/>
                    <w:rPr>
                      <w:color w:val="auto"/>
                    </w:rPr>
                  </w:pPr>
                  <w:r>
                    <w:rPr>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restart"/>
                  <w:shd w:val="clear" w:color="auto" w:fill="auto"/>
                  <w:vAlign w:val="center"/>
                </w:tcPr>
                <w:p>
                  <w:pPr>
                    <w:pStyle w:val="63"/>
                    <w:rPr>
                      <w:color w:val="auto"/>
                    </w:rPr>
                  </w:pPr>
                  <w:r>
                    <w:rPr>
                      <w:color w:val="auto"/>
                    </w:rPr>
                    <w:t>施工期</w:t>
                  </w:r>
                </w:p>
              </w:tc>
              <w:tc>
                <w:tcPr>
                  <w:tcW w:w="448" w:type="pct"/>
                  <w:vMerge w:val="restart"/>
                  <w:shd w:val="clear" w:color="auto" w:fill="auto"/>
                  <w:vAlign w:val="center"/>
                </w:tcPr>
                <w:p>
                  <w:pPr>
                    <w:pStyle w:val="63"/>
                    <w:rPr>
                      <w:color w:val="auto"/>
                    </w:rPr>
                  </w:pPr>
                  <w:r>
                    <w:rPr>
                      <w:color w:val="auto"/>
                    </w:rPr>
                    <w:t>大气环境</w:t>
                  </w:r>
                </w:p>
              </w:tc>
              <w:tc>
                <w:tcPr>
                  <w:tcW w:w="2649" w:type="pct"/>
                  <w:shd w:val="clear" w:color="auto" w:fill="auto"/>
                  <w:vAlign w:val="center"/>
                </w:tcPr>
                <w:p>
                  <w:pPr>
                    <w:pStyle w:val="63"/>
                    <w:rPr>
                      <w:color w:val="auto"/>
                    </w:rPr>
                  </w:pPr>
                  <w:r>
                    <w:rPr>
                      <w:color w:val="auto"/>
                    </w:rPr>
                    <w:t>施工期场地内洒水降尘，建材篷布遮盖</w:t>
                  </w:r>
                </w:p>
              </w:tc>
              <w:tc>
                <w:tcPr>
                  <w:tcW w:w="821" w:type="pct"/>
                  <w:shd w:val="clear" w:color="auto" w:fill="auto"/>
                  <w:vAlign w:val="center"/>
                </w:tcPr>
                <w:p>
                  <w:pPr>
                    <w:pStyle w:val="63"/>
                    <w:rPr>
                      <w:color w:val="auto"/>
                    </w:rPr>
                  </w:pPr>
                  <w:r>
                    <w:rPr>
                      <w:color w:val="auto"/>
                    </w:rPr>
                    <w:t>0.5</w:t>
                  </w:r>
                </w:p>
              </w:tc>
              <w:tc>
                <w:tcPr>
                  <w:tcW w:w="688" w:type="pct"/>
                  <w:vMerge w:val="restart"/>
                  <w:shd w:val="clear" w:color="auto" w:fill="auto"/>
                  <w:vAlign w:val="center"/>
                </w:tcPr>
                <w:p>
                  <w:pPr>
                    <w:pStyle w:val="63"/>
                    <w:rPr>
                      <w:color w:val="auto"/>
                    </w:rPr>
                  </w:pPr>
                  <w:r>
                    <w:rPr>
                      <w:color w:val="auto"/>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shd w:val="clear" w:color="auto" w:fill="auto"/>
                  <w:vAlign w:val="center"/>
                </w:tcPr>
                <w:p>
                  <w:pPr>
                    <w:pStyle w:val="63"/>
                    <w:rPr>
                      <w:color w:val="auto"/>
                    </w:rPr>
                  </w:pPr>
                </w:p>
              </w:tc>
              <w:tc>
                <w:tcPr>
                  <w:tcW w:w="448" w:type="pct"/>
                  <w:vMerge w:val="continue"/>
                  <w:shd w:val="clear" w:color="auto" w:fill="auto"/>
                  <w:vAlign w:val="center"/>
                </w:tcPr>
                <w:p>
                  <w:pPr>
                    <w:pStyle w:val="63"/>
                    <w:rPr>
                      <w:color w:val="auto"/>
                    </w:rPr>
                  </w:pPr>
                </w:p>
              </w:tc>
              <w:tc>
                <w:tcPr>
                  <w:tcW w:w="2649" w:type="pct"/>
                  <w:shd w:val="clear" w:color="auto" w:fill="auto"/>
                  <w:vAlign w:val="center"/>
                </w:tcPr>
                <w:p>
                  <w:pPr>
                    <w:pStyle w:val="63"/>
                    <w:rPr>
                      <w:color w:val="auto"/>
                    </w:rPr>
                  </w:pPr>
                  <w:r>
                    <w:rPr>
                      <w:color w:val="auto"/>
                    </w:rPr>
                    <w:t>运输车辆篷布遮盖</w:t>
                  </w:r>
                </w:p>
              </w:tc>
              <w:tc>
                <w:tcPr>
                  <w:tcW w:w="821" w:type="pct"/>
                  <w:shd w:val="clear" w:color="auto" w:fill="auto"/>
                  <w:vAlign w:val="center"/>
                </w:tcPr>
                <w:p>
                  <w:pPr>
                    <w:pStyle w:val="63"/>
                    <w:rPr>
                      <w:color w:val="auto"/>
                    </w:rPr>
                  </w:pPr>
                  <w:r>
                    <w:rPr>
                      <w:rFonts w:hint="eastAsia"/>
                      <w:color w:val="auto"/>
                    </w:rPr>
                    <w:t>0.5</w:t>
                  </w:r>
                </w:p>
              </w:tc>
              <w:tc>
                <w:tcPr>
                  <w:tcW w:w="688" w:type="pct"/>
                  <w:vMerge w:val="continue"/>
                  <w:shd w:val="clear" w:color="auto" w:fill="auto"/>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shd w:val="clear" w:color="auto" w:fill="auto"/>
                  <w:vAlign w:val="center"/>
                </w:tcPr>
                <w:p>
                  <w:pPr>
                    <w:pStyle w:val="63"/>
                    <w:rPr>
                      <w:color w:val="auto"/>
                    </w:rPr>
                  </w:pPr>
                </w:p>
              </w:tc>
              <w:tc>
                <w:tcPr>
                  <w:tcW w:w="448" w:type="pct"/>
                  <w:shd w:val="clear" w:color="auto" w:fill="auto"/>
                  <w:vAlign w:val="center"/>
                </w:tcPr>
                <w:p>
                  <w:pPr>
                    <w:pStyle w:val="63"/>
                    <w:rPr>
                      <w:color w:val="auto"/>
                    </w:rPr>
                  </w:pPr>
                  <w:r>
                    <w:rPr>
                      <w:color w:val="auto"/>
                    </w:rPr>
                    <w:t>声环境</w:t>
                  </w:r>
                </w:p>
              </w:tc>
              <w:tc>
                <w:tcPr>
                  <w:tcW w:w="2649" w:type="pct"/>
                  <w:shd w:val="clear" w:color="auto" w:fill="auto"/>
                  <w:vAlign w:val="center"/>
                </w:tcPr>
                <w:p>
                  <w:pPr>
                    <w:pStyle w:val="63"/>
                    <w:rPr>
                      <w:color w:val="auto"/>
                    </w:rPr>
                  </w:pPr>
                  <w:r>
                    <w:rPr>
                      <w:color w:val="auto"/>
                    </w:rPr>
                    <w:t>机械降噪措施、加强管理文明施工等</w:t>
                  </w:r>
                </w:p>
              </w:tc>
              <w:tc>
                <w:tcPr>
                  <w:tcW w:w="821" w:type="pct"/>
                  <w:shd w:val="clear" w:color="auto" w:fill="auto"/>
                  <w:vAlign w:val="center"/>
                </w:tcPr>
                <w:p>
                  <w:pPr>
                    <w:pStyle w:val="63"/>
                    <w:rPr>
                      <w:color w:val="auto"/>
                    </w:rPr>
                  </w:pPr>
                  <w:r>
                    <w:rPr>
                      <w:rFonts w:hint="eastAsia"/>
                      <w:color w:val="auto"/>
                    </w:rPr>
                    <w:t>0.5</w:t>
                  </w:r>
                </w:p>
              </w:tc>
              <w:tc>
                <w:tcPr>
                  <w:tcW w:w="688" w:type="pct"/>
                  <w:vMerge w:val="continue"/>
                  <w:shd w:val="clear" w:color="auto" w:fill="auto"/>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94" w:type="pct"/>
                  <w:vMerge w:val="continue"/>
                  <w:shd w:val="clear" w:color="auto" w:fill="auto"/>
                  <w:vAlign w:val="center"/>
                </w:tcPr>
                <w:p>
                  <w:pPr>
                    <w:pStyle w:val="63"/>
                    <w:rPr>
                      <w:color w:val="auto"/>
                    </w:rPr>
                  </w:pPr>
                </w:p>
              </w:tc>
              <w:tc>
                <w:tcPr>
                  <w:tcW w:w="448" w:type="pct"/>
                  <w:shd w:val="clear" w:color="auto" w:fill="auto"/>
                  <w:vAlign w:val="center"/>
                </w:tcPr>
                <w:p>
                  <w:pPr>
                    <w:pStyle w:val="63"/>
                    <w:rPr>
                      <w:color w:val="auto"/>
                    </w:rPr>
                  </w:pPr>
                  <w:r>
                    <w:rPr>
                      <w:color w:val="auto"/>
                    </w:rPr>
                    <w:t>固废</w:t>
                  </w:r>
                </w:p>
              </w:tc>
              <w:tc>
                <w:tcPr>
                  <w:tcW w:w="2649" w:type="pct"/>
                  <w:shd w:val="clear" w:color="auto" w:fill="auto"/>
                  <w:vAlign w:val="center"/>
                </w:tcPr>
                <w:p>
                  <w:pPr>
                    <w:pStyle w:val="63"/>
                    <w:rPr>
                      <w:color w:val="auto"/>
                    </w:rPr>
                  </w:pPr>
                  <w:r>
                    <w:rPr>
                      <w:rFonts w:hint="eastAsia"/>
                      <w:color w:val="auto"/>
                      <w:lang w:eastAsia="zh-CN"/>
                    </w:rPr>
                    <w:t>拆除管线</w:t>
                  </w:r>
                  <w:r>
                    <w:rPr>
                      <w:color w:val="auto"/>
                    </w:rPr>
                    <w:t>清运</w:t>
                  </w:r>
                </w:p>
              </w:tc>
              <w:tc>
                <w:tcPr>
                  <w:tcW w:w="821" w:type="pct"/>
                  <w:shd w:val="clear" w:color="auto" w:fill="auto"/>
                  <w:vAlign w:val="center"/>
                </w:tcPr>
                <w:p>
                  <w:pPr>
                    <w:pStyle w:val="63"/>
                    <w:rPr>
                      <w:color w:val="auto"/>
                    </w:rPr>
                  </w:pPr>
                  <w:r>
                    <w:rPr>
                      <w:color w:val="auto"/>
                    </w:rPr>
                    <w:t>0.5</w:t>
                  </w:r>
                </w:p>
              </w:tc>
              <w:tc>
                <w:tcPr>
                  <w:tcW w:w="688" w:type="pct"/>
                  <w:vMerge w:val="continue"/>
                  <w:shd w:val="clear" w:color="auto" w:fill="auto"/>
                  <w:vAlign w:val="center"/>
                </w:tcPr>
                <w:p>
                  <w:pPr>
                    <w:pStyle w:val="6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491" w:type="pct"/>
                  <w:gridSpan w:val="3"/>
                  <w:shd w:val="clear" w:color="auto" w:fill="auto"/>
                  <w:vAlign w:val="center"/>
                </w:tcPr>
                <w:p>
                  <w:pPr>
                    <w:pStyle w:val="63"/>
                    <w:rPr>
                      <w:color w:val="auto"/>
                    </w:rPr>
                  </w:pPr>
                  <w:r>
                    <w:rPr>
                      <w:rFonts w:hint="eastAsia"/>
                      <w:color w:val="auto"/>
                      <w:lang w:eastAsia="zh-CN"/>
                    </w:rPr>
                    <w:t>小计</w:t>
                  </w:r>
                </w:p>
              </w:tc>
              <w:tc>
                <w:tcPr>
                  <w:tcW w:w="821" w:type="pct"/>
                  <w:shd w:val="clear" w:color="auto" w:fill="auto"/>
                  <w:vAlign w:val="center"/>
                </w:tcPr>
                <w:p>
                  <w:pPr>
                    <w:pStyle w:val="63"/>
                    <w:rPr>
                      <w:color w:val="auto"/>
                      <w:lang w:eastAsia="zh-CN"/>
                    </w:rPr>
                  </w:pPr>
                  <w:r>
                    <w:rPr>
                      <w:color w:val="auto"/>
                      <w:lang w:eastAsia="zh-CN"/>
                    </w:rPr>
                    <w:t>2.0</w:t>
                  </w:r>
                </w:p>
              </w:tc>
              <w:tc>
                <w:tcPr>
                  <w:tcW w:w="688" w:type="pct"/>
                  <w:shd w:val="clear" w:color="auto" w:fill="auto"/>
                  <w:vAlign w:val="center"/>
                </w:tcPr>
                <w:p>
                  <w:pPr>
                    <w:pStyle w:val="63"/>
                    <w:rPr>
                      <w:color w:val="auto"/>
                      <w:lang w:eastAsia="zh-CN"/>
                    </w:rPr>
                  </w:pP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394" w:type="pct"/>
                  <w:vMerge w:val="restart"/>
                  <w:shd w:val="clear" w:color="auto" w:fill="auto"/>
                  <w:vAlign w:val="center"/>
                </w:tcPr>
                <w:p>
                  <w:pPr>
                    <w:pStyle w:val="63"/>
                    <w:rPr>
                      <w:color w:val="auto"/>
                    </w:rPr>
                  </w:pPr>
                  <w:r>
                    <w:rPr>
                      <w:color w:val="auto"/>
                    </w:rPr>
                    <w:t>运营期</w:t>
                  </w:r>
                </w:p>
              </w:tc>
              <w:tc>
                <w:tcPr>
                  <w:tcW w:w="448" w:type="pct"/>
                  <w:vMerge w:val="restart"/>
                  <w:shd w:val="clear" w:color="auto" w:fill="auto"/>
                  <w:vAlign w:val="center"/>
                </w:tcPr>
                <w:p>
                  <w:pPr>
                    <w:pStyle w:val="63"/>
                    <w:rPr>
                      <w:color w:val="auto"/>
                    </w:rPr>
                  </w:pPr>
                  <w:r>
                    <w:rPr>
                      <w:color w:val="auto"/>
                    </w:rPr>
                    <w:t>大气环境</w:t>
                  </w:r>
                </w:p>
              </w:tc>
              <w:tc>
                <w:tcPr>
                  <w:tcW w:w="2649" w:type="pct"/>
                  <w:shd w:val="clear" w:color="auto" w:fill="auto"/>
                  <w:vAlign w:val="center"/>
                </w:tcPr>
                <w:p>
                  <w:pPr>
                    <w:pStyle w:val="63"/>
                    <w:rPr>
                      <w:color w:val="auto"/>
                      <w:lang w:eastAsia="zh-CN"/>
                    </w:rPr>
                  </w:pPr>
                  <w:r>
                    <w:rPr>
                      <w:rFonts w:hint="eastAsia"/>
                      <w:color w:val="auto"/>
                      <w:lang w:eastAsia="zh-CN"/>
                    </w:rPr>
                    <w:t>燃烧后产生的退火炉烟气经管道引入热风干燥和烘干工序作为热源，最后经直径为800mm、高18m的</w:t>
                  </w:r>
                  <w:r>
                    <w:rPr>
                      <w:color w:val="auto"/>
                      <w:lang w:val="en-US" w:eastAsia="zh-CN"/>
                    </w:rPr>
                    <w:t>DA003</w:t>
                  </w:r>
                  <w:r>
                    <w:rPr>
                      <w:rFonts w:hint="eastAsia"/>
                      <w:color w:val="auto"/>
                      <w:lang w:val="en-US" w:eastAsia="zh-CN"/>
                    </w:rPr>
                    <w:t>废气排放口</w:t>
                  </w:r>
                  <w:r>
                    <w:rPr>
                      <w:rFonts w:hint="eastAsia"/>
                      <w:color w:val="auto"/>
                      <w:lang w:eastAsia="zh-CN"/>
                    </w:rPr>
                    <w:t>排放</w:t>
                  </w:r>
                </w:p>
              </w:tc>
              <w:tc>
                <w:tcPr>
                  <w:tcW w:w="821" w:type="pct"/>
                  <w:shd w:val="clear" w:color="auto" w:fill="auto"/>
                  <w:vAlign w:val="center"/>
                </w:tcPr>
                <w:p>
                  <w:pPr>
                    <w:pStyle w:val="63"/>
                    <w:rPr>
                      <w:color w:val="auto"/>
                    </w:rPr>
                  </w:pPr>
                  <w:r>
                    <w:rPr>
                      <w:color w:val="auto"/>
                    </w:rPr>
                    <w:t>/</w:t>
                  </w:r>
                </w:p>
              </w:tc>
              <w:tc>
                <w:tcPr>
                  <w:tcW w:w="688" w:type="pct"/>
                  <w:shd w:val="clear" w:color="auto" w:fill="auto"/>
                  <w:vAlign w:val="center"/>
                </w:tcPr>
                <w:p>
                  <w:pPr>
                    <w:pStyle w:val="63"/>
                    <w:rPr>
                      <w:color w:val="auto"/>
                      <w:lang w:eastAsia="zh-CN"/>
                    </w:rPr>
                  </w:pPr>
                  <w:r>
                    <w:rPr>
                      <w:rFonts w:hint="eastAsia"/>
                      <w:color w:val="auto"/>
                      <w:lang w:eastAsia="zh-CN"/>
                    </w:rPr>
                    <w:t>纳入主体工程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shd w:val="clear" w:color="auto" w:fill="auto"/>
                  <w:vAlign w:val="center"/>
                </w:tcPr>
                <w:p>
                  <w:pPr>
                    <w:pStyle w:val="63"/>
                    <w:rPr>
                      <w:color w:val="auto"/>
                    </w:rPr>
                  </w:pPr>
                </w:p>
              </w:tc>
              <w:tc>
                <w:tcPr>
                  <w:tcW w:w="448" w:type="pct"/>
                  <w:vMerge w:val="continue"/>
                  <w:shd w:val="clear" w:color="auto" w:fill="auto"/>
                  <w:vAlign w:val="center"/>
                </w:tcPr>
                <w:p>
                  <w:pPr>
                    <w:pStyle w:val="63"/>
                    <w:rPr>
                      <w:color w:val="auto"/>
                    </w:rPr>
                  </w:pPr>
                </w:p>
              </w:tc>
              <w:tc>
                <w:tcPr>
                  <w:tcW w:w="2649" w:type="pct"/>
                  <w:shd w:val="clear" w:color="auto" w:fill="auto"/>
                  <w:vAlign w:val="center"/>
                </w:tcPr>
                <w:p>
                  <w:pPr>
                    <w:pStyle w:val="63"/>
                    <w:rPr>
                      <w:color w:val="auto"/>
                      <w:lang w:val="en-US" w:eastAsia="zh-CN"/>
                    </w:rPr>
                  </w:pPr>
                  <w:r>
                    <w:rPr>
                      <w:rFonts w:hint="eastAsia"/>
                      <w:color w:val="auto"/>
                      <w:lang w:val="en-US" w:eastAsia="zh-CN"/>
                    </w:rPr>
                    <w:t>定期开展自行监测</w:t>
                  </w:r>
                </w:p>
              </w:tc>
              <w:tc>
                <w:tcPr>
                  <w:tcW w:w="821" w:type="pct"/>
                  <w:shd w:val="clear" w:color="auto" w:fill="auto"/>
                  <w:vAlign w:val="center"/>
                </w:tcPr>
                <w:p>
                  <w:pPr>
                    <w:pStyle w:val="63"/>
                    <w:rPr>
                      <w:color w:val="auto"/>
                    </w:rPr>
                  </w:pPr>
                  <w:r>
                    <w:rPr>
                      <w:color w:val="auto"/>
                    </w:rPr>
                    <w:t>5.0</w:t>
                  </w:r>
                </w:p>
              </w:tc>
              <w:tc>
                <w:tcPr>
                  <w:tcW w:w="688" w:type="pct"/>
                  <w:shd w:val="clear" w:color="auto" w:fill="auto"/>
                  <w:vAlign w:val="center"/>
                </w:tcPr>
                <w:p>
                  <w:pPr>
                    <w:pStyle w:val="63"/>
                    <w:rPr>
                      <w:color w:val="auto"/>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vMerge w:val="continue"/>
                  <w:shd w:val="clear" w:color="auto" w:fill="auto"/>
                  <w:vAlign w:val="center"/>
                </w:tcPr>
                <w:p>
                  <w:pPr>
                    <w:pStyle w:val="63"/>
                    <w:rPr>
                      <w:color w:val="auto"/>
                    </w:rPr>
                  </w:pPr>
                </w:p>
              </w:tc>
              <w:tc>
                <w:tcPr>
                  <w:tcW w:w="448" w:type="pct"/>
                  <w:shd w:val="clear" w:color="auto" w:fill="auto"/>
                  <w:vAlign w:val="center"/>
                </w:tcPr>
                <w:p>
                  <w:pPr>
                    <w:pStyle w:val="63"/>
                    <w:rPr>
                      <w:color w:val="auto"/>
                    </w:rPr>
                  </w:pPr>
                  <w:r>
                    <w:rPr>
                      <w:color w:val="auto"/>
                    </w:rPr>
                    <w:t>声环境</w:t>
                  </w:r>
                </w:p>
              </w:tc>
              <w:tc>
                <w:tcPr>
                  <w:tcW w:w="2649" w:type="pct"/>
                  <w:shd w:val="clear" w:color="auto" w:fill="auto"/>
                  <w:vAlign w:val="center"/>
                </w:tcPr>
                <w:p>
                  <w:pPr>
                    <w:pStyle w:val="63"/>
                    <w:rPr>
                      <w:color w:val="auto"/>
                    </w:rPr>
                  </w:pPr>
                  <w:r>
                    <w:rPr>
                      <w:color w:val="auto"/>
                    </w:rPr>
                    <w:t>选用低噪声设备、密闭隔声、减震等</w:t>
                  </w:r>
                </w:p>
              </w:tc>
              <w:tc>
                <w:tcPr>
                  <w:tcW w:w="821" w:type="pct"/>
                  <w:shd w:val="clear" w:color="auto" w:fill="auto"/>
                  <w:vAlign w:val="center"/>
                </w:tcPr>
                <w:p>
                  <w:pPr>
                    <w:pStyle w:val="63"/>
                    <w:rPr>
                      <w:color w:val="auto"/>
                    </w:rPr>
                  </w:pPr>
                  <w:r>
                    <w:rPr>
                      <w:color w:val="auto"/>
                    </w:rPr>
                    <w:t>2.0</w:t>
                  </w:r>
                </w:p>
              </w:tc>
              <w:tc>
                <w:tcPr>
                  <w:tcW w:w="688" w:type="pct"/>
                  <w:shd w:val="clear" w:color="auto" w:fill="auto"/>
                  <w:vAlign w:val="center"/>
                </w:tcPr>
                <w:p>
                  <w:pPr>
                    <w:pStyle w:val="63"/>
                    <w:rPr>
                      <w:color w:val="auto"/>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1" w:type="pct"/>
                  <w:gridSpan w:val="3"/>
                  <w:shd w:val="clear" w:color="auto" w:fill="auto"/>
                  <w:vAlign w:val="center"/>
                </w:tcPr>
                <w:p>
                  <w:pPr>
                    <w:pStyle w:val="63"/>
                    <w:rPr>
                      <w:color w:val="auto"/>
                      <w:lang w:eastAsia="zh-CN"/>
                    </w:rPr>
                  </w:pPr>
                  <w:r>
                    <w:rPr>
                      <w:rFonts w:hint="eastAsia"/>
                      <w:color w:val="auto"/>
                      <w:lang w:eastAsia="zh-CN"/>
                    </w:rPr>
                    <w:t>小计</w:t>
                  </w:r>
                </w:p>
              </w:tc>
              <w:tc>
                <w:tcPr>
                  <w:tcW w:w="821" w:type="pct"/>
                  <w:shd w:val="clear" w:color="auto" w:fill="auto"/>
                  <w:vAlign w:val="center"/>
                </w:tcPr>
                <w:p>
                  <w:pPr>
                    <w:pStyle w:val="63"/>
                    <w:rPr>
                      <w:color w:val="auto"/>
                      <w:lang w:eastAsia="zh-CN"/>
                    </w:rPr>
                  </w:pPr>
                  <w:r>
                    <w:rPr>
                      <w:color w:val="auto"/>
                      <w:lang w:eastAsia="zh-CN"/>
                    </w:rPr>
                    <w:t>7.0</w:t>
                  </w:r>
                </w:p>
              </w:tc>
              <w:tc>
                <w:tcPr>
                  <w:tcW w:w="688" w:type="pct"/>
                  <w:shd w:val="clear" w:color="auto" w:fill="auto"/>
                  <w:vAlign w:val="center"/>
                </w:tcPr>
                <w:p>
                  <w:pPr>
                    <w:pStyle w:val="63"/>
                    <w:rPr>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1" w:type="pct"/>
                  <w:gridSpan w:val="3"/>
                  <w:shd w:val="clear" w:color="auto" w:fill="auto"/>
                  <w:vAlign w:val="center"/>
                </w:tcPr>
                <w:p>
                  <w:pPr>
                    <w:pStyle w:val="63"/>
                    <w:rPr>
                      <w:color w:val="auto"/>
                    </w:rPr>
                  </w:pPr>
                  <w:r>
                    <w:rPr>
                      <w:color w:val="auto"/>
                    </w:rPr>
                    <w:t>合计</w:t>
                  </w:r>
                </w:p>
              </w:tc>
              <w:tc>
                <w:tcPr>
                  <w:tcW w:w="821" w:type="pct"/>
                  <w:shd w:val="clear" w:color="auto" w:fill="auto"/>
                  <w:vAlign w:val="center"/>
                </w:tcPr>
                <w:p>
                  <w:pPr>
                    <w:pStyle w:val="63"/>
                    <w:rPr>
                      <w:color w:val="auto"/>
                    </w:rPr>
                  </w:pPr>
                  <w:r>
                    <w:rPr>
                      <w:color w:val="auto"/>
                    </w:rPr>
                    <w:t>9.0</w:t>
                  </w:r>
                </w:p>
              </w:tc>
              <w:tc>
                <w:tcPr>
                  <w:tcW w:w="688" w:type="pct"/>
                  <w:shd w:val="clear" w:color="auto" w:fill="auto"/>
                  <w:vAlign w:val="center"/>
                </w:tcPr>
                <w:p>
                  <w:pPr>
                    <w:pStyle w:val="63"/>
                    <w:rPr>
                      <w:color w:val="auto"/>
                    </w:rPr>
                  </w:pPr>
                  <w:r>
                    <w:rPr>
                      <w:rFonts w:hint="eastAsia"/>
                      <w:color w:val="auto"/>
                    </w:rPr>
                    <w:t>/</w:t>
                  </w:r>
                </w:p>
              </w:tc>
            </w:tr>
          </w:tbl>
          <w:p>
            <w:pPr>
              <w:ind w:firstLine="480"/>
              <w:rPr>
                <w:color w:val="auto"/>
              </w:rPr>
            </w:pPr>
            <w:r>
              <w:rPr>
                <w:color w:val="auto"/>
              </w:rPr>
              <w:t>从环保投资分配来看，项目环保投资主要用于</w:t>
            </w:r>
            <w:r>
              <w:rPr>
                <w:rFonts w:hint="eastAsia"/>
                <w:color w:val="auto"/>
              </w:rPr>
              <w:t>大气环境、噪声污染防治</w:t>
            </w:r>
            <w:r>
              <w:rPr>
                <w:color w:val="auto"/>
              </w:rPr>
              <w:t>。</w:t>
            </w:r>
          </w:p>
          <w:p>
            <w:pPr>
              <w:pStyle w:val="51"/>
              <w:spacing w:before="120" w:after="120"/>
              <w:rPr>
                <w:color w:val="auto"/>
              </w:rPr>
            </w:pPr>
            <w:r>
              <w:rPr>
                <w:rFonts w:hint="eastAsia"/>
                <w:color w:val="auto"/>
              </w:rPr>
              <w:t>4</w:t>
            </w:r>
            <w:r>
              <w:rPr>
                <w:color w:val="auto"/>
              </w:rPr>
              <w:t>.6</w:t>
            </w:r>
            <w:r>
              <w:rPr>
                <w:rFonts w:hint="eastAsia"/>
                <w:color w:val="auto"/>
              </w:rPr>
              <w:t>运营期监测计划</w:t>
            </w:r>
          </w:p>
          <w:p>
            <w:pPr>
              <w:ind w:firstLine="480"/>
              <w:rPr>
                <w:color w:val="auto"/>
              </w:rPr>
            </w:pPr>
            <w:r>
              <w:rPr>
                <w:rFonts w:hint="eastAsia"/>
                <w:color w:val="auto"/>
              </w:rPr>
              <w:t>本项目运营期监测计划见表4</w:t>
            </w:r>
            <w:r>
              <w:rPr>
                <w:color w:val="auto"/>
              </w:rPr>
              <w:t>.6-1</w:t>
            </w:r>
            <w:r>
              <w:rPr>
                <w:rFonts w:hint="eastAsia"/>
                <w:color w:val="auto"/>
              </w:rPr>
              <w:t>。</w:t>
            </w:r>
          </w:p>
          <w:p>
            <w:pPr>
              <w:pStyle w:val="66"/>
              <w:rPr>
                <w:color w:val="auto"/>
              </w:rPr>
            </w:pPr>
            <w:r>
              <w:rPr>
                <w:rFonts w:hint="eastAsia"/>
                <w:color w:val="auto"/>
              </w:rPr>
              <w:t>表4.</w:t>
            </w:r>
            <w:r>
              <w:rPr>
                <w:color w:val="auto"/>
              </w:rPr>
              <w:t xml:space="preserve">6-1 </w:t>
            </w:r>
            <w:r>
              <w:rPr>
                <w:rFonts w:hint="eastAsia"/>
                <w:color w:val="auto"/>
              </w:rPr>
              <w:t>项目运营期监测计划汇总表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599"/>
              <w:gridCol w:w="572"/>
              <w:gridCol w:w="715"/>
              <w:gridCol w:w="1052"/>
              <w:gridCol w:w="1095"/>
              <w:gridCol w:w="1432"/>
              <w:gridCol w:w="2376"/>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382" w:type="pct"/>
                  <w:tcBorders>
                    <w:tl2br w:val="nil"/>
                    <w:tr2bl w:val="nil"/>
                  </w:tcBorders>
                  <w:vAlign w:val="center"/>
                </w:tcPr>
                <w:p>
                  <w:pPr>
                    <w:pStyle w:val="63"/>
                    <w:rPr>
                      <w:color w:val="auto"/>
                    </w:rPr>
                  </w:pPr>
                  <w:r>
                    <w:rPr>
                      <w:color w:val="auto"/>
                    </w:rPr>
                    <w:t>监测时段</w:t>
                  </w:r>
                </w:p>
              </w:tc>
              <w:tc>
                <w:tcPr>
                  <w:tcW w:w="365" w:type="pct"/>
                  <w:tcBorders>
                    <w:tl2br w:val="nil"/>
                    <w:tr2bl w:val="nil"/>
                  </w:tcBorders>
                  <w:vAlign w:val="center"/>
                </w:tcPr>
                <w:p>
                  <w:pPr>
                    <w:pStyle w:val="63"/>
                    <w:rPr>
                      <w:color w:val="auto"/>
                    </w:rPr>
                  </w:pPr>
                  <w:r>
                    <w:rPr>
                      <w:color w:val="auto"/>
                    </w:rPr>
                    <w:t>监测点位</w:t>
                  </w:r>
                </w:p>
              </w:tc>
              <w:tc>
                <w:tcPr>
                  <w:tcW w:w="456" w:type="pct"/>
                  <w:tcBorders>
                    <w:tl2br w:val="nil"/>
                    <w:tr2bl w:val="nil"/>
                  </w:tcBorders>
                  <w:vAlign w:val="center"/>
                </w:tcPr>
                <w:p>
                  <w:pPr>
                    <w:pStyle w:val="63"/>
                    <w:rPr>
                      <w:color w:val="auto"/>
                    </w:rPr>
                  </w:pPr>
                  <w:r>
                    <w:rPr>
                      <w:color w:val="auto"/>
                    </w:rPr>
                    <w:t>污染源</w:t>
                  </w:r>
                </w:p>
              </w:tc>
              <w:tc>
                <w:tcPr>
                  <w:tcW w:w="671" w:type="pct"/>
                  <w:tcBorders>
                    <w:tl2br w:val="nil"/>
                    <w:tr2bl w:val="nil"/>
                  </w:tcBorders>
                  <w:vAlign w:val="center"/>
                </w:tcPr>
                <w:p>
                  <w:pPr>
                    <w:pStyle w:val="63"/>
                    <w:rPr>
                      <w:color w:val="auto"/>
                    </w:rPr>
                  </w:pPr>
                  <w:r>
                    <w:rPr>
                      <w:color w:val="auto"/>
                    </w:rPr>
                    <w:t>监测因子</w:t>
                  </w:r>
                </w:p>
              </w:tc>
              <w:tc>
                <w:tcPr>
                  <w:tcW w:w="698" w:type="pct"/>
                  <w:tcBorders>
                    <w:tl2br w:val="nil"/>
                    <w:tr2bl w:val="nil"/>
                  </w:tcBorders>
                  <w:vAlign w:val="center"/>
                </w:tcPr>
                <w:p>
                  <w:pPr>
                    <w:pStyle w:val="63"/>
                    <w:rPr>
                      <w:color w:val="auto"/>
                    </w:rPr>
                  </w:pPr>
                  <w:r>
                    <w:rPr>
                      <w:color w:val="auto"/>
                    </w:rPr>
                    <w:t>监测频率</w:t>
                  </w:r>
                </w:p>
              </w:tc>
              <w:tc>
                <w:tcPr>
                  <w:tcW w:w="913" w:type="pct"/>
                  <w:tcBorders>
                    <w:tl2br w:val="nil"/>
                    <w:tr2bl w:val="nil"/>
                  </w:tcBorders>
                  <w:vAlign w:val="center"/>
                </w:tcPr>
                <w:p>
                  <w:pPr>
                    <w:pStyle w:val="63"/>
                    <w:rPr>
                      <w:color w:val="auto"/>
                    </w:rPr>
                  </w:pPr>
                  <w:r>
                    <w:rPr>
                      <w:color w:val="auto"/>
                    </w:rPr>
                    <w:t>类型</w:t>
                  </w:r>
                </w:p>
              </w:tc>
              <w:tc>
                <w:tcPr>
                  <w:tcW w:w="1515" w:type="pct"/>
                  <w:tcBorders>
                    <w:tl2br w:val="nil"/>
                    <w:tr2bl w:val="nil"/>
                  </w:tcBorders>
                  <w:vAlign w:val="center"/>
                </w:tcPr>
                <w:p>
                  <w:pPr>
                    <w:pStyle w:val="63"/>
                    <w:rPr>
                      <w:color w:val="auto"/>
                    </w:rPr>
                  </w:pPr>
                  <w:r>
                    <w:rPr>
                      <w:rFonts w:hint="eastAsia"/>
                      <w:color w:val="auto"/>
                    </w:rPr>
                    <w:t>执行标准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382" w:type="pct"/>
                  <w:vMerge w:val="restart"/>
                  <w:tcBorders>
                    <w:tl2br w:val="nil"/>
                    <w:tr2bl w:val="nil"/>
                  </w:tcBorders>
                  <w:vAlign w:val="center"/>
                </w:tcPr>
                <w:p>
                  <w:pPr>
                    <w:pStyle w:val="63"/>
                    <w:rPr>
                      <w:color w:val="auto"/>
                    </w:rPr>
                  </w:pPr>
                  <w:r>
                    <w:rPr>
                      <w:rFonts w:hint="eastAsia"/>
                      <w:color w:val="auto"/>
                    </w:rPr>
                    <w:t>运营期</w:t>
                  </w:r>
                </w:p>
              </w:tc>
              <w:tc>
                <w:tcPr>
                  <w:tcW w:w="365" w:type="pct"/>
                  <w:vMerge w:val="restart"/>
                  <w:tcBorders>
                    <w:tl2br w:val="nil"/>
                    <w:tr2bl w:val="nil"/>
                  </w:tcBorders>
                  <w:vAlign w:val="center"/>
                </w:tcPr>
                <w:p>
                  <w:pPr>
                    <w:pStyle w:val="63"/>
                    <w:rPr>
                      <w:color w:val="auto"/>
                    </w:rPr>
                  </w:pPr>
                  <w:r>
                    <w:rPr>
                      <w:rFonts w:hint="eastAsia"/>
                      <w:color w:val="auto"/>
                    </w:rPr>
                    <w:t>D</w:t>
                  </w:r>
                  <w:r>
                    <w:rPr>
                      <w:color w:val="auto"/>
                    </w:rPr>
                    <w:t>A003</w:t>
                  </w:r>
                </w:p>
              </w:tc>
              <w:tc>
                <w:tcPr>
                  <w:tcW w:w="456" w:type="pct"/>
                  <w:vMerge w:val="restart"/>
                  <w:tcBorders>
                    <w:tl2br w:val="nil"/>
                    <w:tr2bl w:val="nil"/>
                  </w:tcBorders>
                  <w:vAlign w:val="center"/>
                </w:tcPr>
                <w:p>
                  <w:pPr>
                    <w:pStyle w:val="63"/>
                    <w:rPr>
                      <w:color w:val="auto"/>
                    </w:rPr>
                  </w:pPr>
                  <w:r>
                    <w:rPr>
                      <w:rFonts w:hint="eastAsia"/>
                      <w:color w:val="auto"/>
                      <w:lang w:eastAsia="zh-CN"/>
                    </w:rPr>
                    <w:t>热退火炉</w:t>
                  </w:r>
                </w:p>
              </w:tc>
              <w:tc>
                <w:tcPr>
                  <w:tcW w:w="671" w:type="pct"/>
                  <w:tcBorders>
                    <w:tl2br w:val="nil"/>
                    <w:tr2bl w:val="nil"/>
                  </w:tcBorders>
                  <w:vAlign w:val="center"/>
                </w:tcPr>
                <w:p>
                  <w:pPr>
                    <w:pStyle w:val="63"/>
                    <w:rPr>
                      <w:color w:val="auto"/>
                    </w:rPr>
                  </w:pPr>
                  <w:r>
                    <w:rPr>
                      <w:rFonts w:hint="eastAsia"/>
                      <w:color w:val="auto"/>
                    </w:rPr>
                    <w:t>颗粒物</w:t>
                  </w:r>
                </w:p>
              </w:tc>
              <w:tc>
                <w:tcPr>
                  <w:tcW w:w="698" w:type="pct"/>
                  <w:vMerge w:val="restart"/>
                  <w:tcBorders>
                    <w:tl2br w:val="nil"/>
                    <w:tr2bl w:val="nil"/>
                  </w:tcBorders>
                  <w:vAlign w:val="center"/>
                </w:tcPr>
                <w:p>
                  <w:pPr>
                    <w:pStyle w:val="63"/>
                    <w:rPr>
                      <w:color w:val="auto"/>
                    </w:rPr>
                  </w:pPr>
                  <w:r>
                    <w:rPr>
                      <w:rFonts w:hint="eastAsia"/>
                      <w:color w:val="auto"/>
                      <w:lang w:eastAsia="zh-CN"/>
                    </w:rPr>
                    <w:t>1次/</w:t>
                  </w:r>
                  <w:r>
                    <w:rPr>
                      <w:rFonts w:hint="eastAsia"/>
                      <w:color w:val="auto"/>
                    </w:rPr>
                    <w:t>季度</w:t>
                  </w:r>
                </w:p>
              </w:tc>
              <w:tc>
                <w:tcPr>
                  <w:tcW w:w="913" w:type="pct"/>
                  <w:tcBorders>
                    <w:tl2br w:val="nil"/>
                    <w:tr2bl w:val="nil"/>
                  </w:tcBorders>
                  <w:vAlign w:val="center"/>
                </w:tcPr>
                <w:p>
                  <w:pPr>
                    <w:pStyle w:val="63"/>
                    <w:rPr>
                      <w:color w:val="auto"/>
                    </w:rPr>
                  </w:pPr>
                  <w:r>
                    <w:rPr>
                      <w:color w:val="auto"/>
                      <w:lang w:val="en-US"/>
                    </w:rPr>
                    <w:sym w:font="Wingdings 2" w:char="00A3"/>
                  </w:r>
                  <w:r>
                    <w:rPr>
                      <w:color w:val="auto"/>
                      <w:lang w:val="en-US"/>
                    </w:rPr>
                    <w:t>自动</w:t>
                  </w:r>
                  <w:r>
                    <w:rPr>
                      <w:color w:val="auto"/>
                      <w:lang w:val="en-US"/>
                    </w:rPr>
                    <w:sym w:font="Wingdings 2" w:char="0052"/>
                  </w:r>
                  <w:r>
                    <w:rPr>
                      <w:color w:val="auto"/>
                      <w:lang w:val="en-US"/>
                    </w:rPr>
                    <w:t>手工</w:t>
                  </w:r>
                </w:p>
              </w:tc>
              <w:tc>
                <w:tcPr>
                  <w:tcW w:w="1515" w:type="pct"/>
                  <w:vMerge w:val="restart"/>
                  <w:tcBorders>
                    <w:tl2br w:val="nil"/>
                    <w:tr2bl w:val="nil"/>
                  </w:tcBorders>
                  <w:vAlign w:val="center"/>
                </w:tcPr>
                <w:p>
                  <w:pPr>
                    <w:pStyle w:val="63"/>
                    <w:rPr>
                      <w:color w:val="auto"/>
                    </w:rPr>
                  </w:pPr>
                  <w:r>
                    <w:rPr>
                      <w:color w:val="auto"/>
                    </w:rPr>
                    <w:t>《轧钢工业大气污染物排放标准》（GB28665-2012）</w:t>
                  </w:r>
                  <w:r>
                    <w:rPr>
                      <w:rFonts w:hint="eastAsia"/>
                      <w:color w:val="auto"/>
                    </w:rPr>
                    <w:t>及其修改单</w:t>
                  </w:r>
                  <w:r>
                    <w:rPr>
                      <w:rFonts w:hint="eastAsia"/>
                      <w:color w:val="auto"/>
                      <w:lang w:eastAsia="zh-CN"/>
                    </w:rPr>
                    <w:t>表2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382" w:type="pct"/>
                  <w:vMerge w:val="continue"/>
                  <w:tcBorders>
                    <w:tl2br w:val="nil"/>
                    <w:tr2bl w:val="nil"/>
                  </w:tcBorders>
                  <w:vAlign w:val="center"/>
                </w:tcPr>
                <w:p>
                  <w:pPr>
                    <w:pStyle w:val="63"/>
                    <w:rPr>
                      <w:color w:val="auto"/>
                    </w:rPr>
                  </w:pPr>
                </w:p>
              </w:tc>
              <w:tc>
                <w:tcPr>
                  <w:tcW w:w="365" w:type="pct"/>
                  <w:vMerge w:val="continue"/>
                  <w:tcBorders>
                    <w:tl2br w:val="nil"/>
                    <w:tr2bl w:val="nil"/>
                  </w:tcBorders>
                  <w:vAlign w:val="center"/>
                </w:tcPr>
                <w:p>
                  <w:pPr>
                    <w:pStyle w:val="63"/>
                    <w:rPr>
                      <w:color w:val="auto"/>
                    </w:rPr>
                  </w:pPr>
                </w:p>
              </w:tc>
              <w:tc>
                <w:tcPr>
                  <w:tcW w:w="456" w:type="pct"/>
                  <w:vMerge w:val="continue"/>
                  <w:tcBorders>
                    <w:tl2br w:val="nil"/>
                    <w:tr2bl w:val="nil"/>
                  </w:tcBorders>
                  <w:vAlign w:val="center"/>
                </w:tcPr>
                <w:p>
                  <w:pPr>
                    <w:pStyle w:val="63"/>
                    <w:rPr>
                      <w:color w:val="auto"/>
                    </w:rPr>
                  </w:pPr>
                </w:p>
              </w:tc>
              <w:tc>
                <w:tcPr>
                  <w:tcW w:w="671" w:type="pct"/>
                  <w:tcBorders>
                    <w:tl2br w:val="nil"/>
                    <w:tr2bl w:val="nil"/>
                  </w:tcBorders>
                  <w:vAlign w:val="center"/>
                </w:tcPr>
                <w:p>
                  <w:pPr>
                    <w:pStyle w:val="63"/>
                    <w:rPr>
                      <w:color w:val="auto"/>
                    </w:rPr>
                  </w:pPr>
                  <w:r>
                    <w:rPr>
                      <w:rFonts w:hint="eastAsia"/>
                      <w:color w:val="auto"/>
                    </w:rPr>
                    <w:t>S</w:t>
                  </w:r>
                  <w:r>
                    <w:rPr>
                      <w:color w:val="auto"/>
                    </w:rPr>
                    <w:t>O</w:t>
                  </w:r>
                  <w:r>
                    <w:rPr>
                      <w:color w:val="auto"/>
                      <w:vertAlign w:val="subscript"/>
                    </w:rPr>
                    <w:t>2</w:t>
                  </w:r>
                </w:p>
              </w:tc>
              <w:tc>
                <w:tcPr>
                  <w:tcW w:w="698" w:type="pct"/>
                  <w:vMerge w:val="continue"/>
                  <w:tcBorders>
                    <w:tl2br w:val="nil"/>
                    <w:tr2bl w:val="nil"/>
                  </w:tcBorders>
                  <w:vAlign w:val="center"/>
                </w:tcPr>
                <w:p>
                  <w:pPr>
                    <w:pStyle w:val="63"/>
                    <w:rPr>
                      <w:color w:val="auto"/>
                    </w:rPr>
                  </w:pPr>
                </w:p>
              </w:tc>
              <w:tc>
                <w:tcPr>
                  <w:tcW w:w="913" w:type="pct"/>
                  <w:tcBorders>
                    <w:tl2br w:val="nil"/>
                    <w:tr2bl w:val="nil"/>
                  </w:tcBorders>
                  <w:vAlign w:val="center"/>
                </w:tcPr>
                <w:p>
                  <w:pPr>
                    <w:pStyle w:val="63"/>
                    <w:rPr>
                      <w:color w:val="auto"/>
                      <w:lang w:val="en-US"/>
                    </w:rPr>
                  </w:pPr>
                  <w:r>
                    <w:rPr>
                      <w:color w:val="auto"/>
                      <w:lang w:val="en-US"/>
                    </w:rPr>
                    <w:sym w:font="Wingdings 2" w:char="00A3"/>
                  </w:r>
                  <w:r>
                    <w:rPr>
                      <w:color w:val="auto"/>
                      <w:lang w:val="en-US"/>
                    </w:rPr>
                    <w:t>自动</w:t>
                  </w:r>
                  <w:r>
                    <w:rPr>
                      <w:color w:val="auto"/>
                      <w:lang w:val="en-US"/>
                    </w:rPr>
                    <w:sym w:font="Wingdings 2" w:char="0052"/>
                  </w:r>
                  <w:r>
                    <w:rPr>
                      <w:color w:val="auto"/>
                      <w:lang w:val="en-US"/>
                    </w:rPr>
                    <w:t>手工</w:t>
                  </w:r>
                </w:p>
              </w:tc>
              <w:tc>
                <w:tcPr>
                  <w:tcW w:w="1515" w:type="pct"/>
                  <w:vMerge w:val="continue"/>
                  <w:tcBorders>
                    <w:tl2br w:val="nil"/>
                    <w:tr2bl w:val="nil"/>
                  </w:tcBorders>
                  <w:vAlign w:val="center"/>
                </w:tcPr>
                <w:p>
                  <w:pPr>
                    <w:pStyle w:val="63"/>
                    <w:rPr>
                      <w:bCs/>
                      <w:color w:val="auto"/>
                      <w:lang w:val="en-US"/>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382" w:type="pct"/>
                  <w:vMerge w:val="continue"/>
                  <w:tcBorders>
                    <w:tl2br w:val="nil"/>
                    <w:tr2bl w:val="nil"/>
                  </w:tcBorders>
                  <w:vAlign w:val="center"/>
                </w:tcPr>
                <w:p>
                  <w:pPr>
                    <w:pStyle w:val="63"/>
                    <w:rPr>
                      <w:color w:val="auto"/>
                    </w:rPr>
                  </w:pPr>
                </w:p>
              </w:tc>
              <w:tc>
                <w:tcPr>
                  <w:tcW w:w="365" w:type="pct"/>
                  <w:vMerge w:val="continue"/>
                  <w:tcBorders>
                    <w:tl2br w:val="nil"/>
                    <w:tr2bl w:val="nil"/>
                  </w:tcBorders>
                  <w:vAlign w:val="center"/>
                </w:tcPr>
                <w:p>
                  <w:pPr>
                    <w:pStyle w:val="63"/>
                    <w:rPr>
                      <w:color w:val="auto"/>
                    </w:rPr>
                  </w:pPr>
                </w:p>
              </w:tc>
              <w:tc>
                <w:tcPr>
                  <w:tcW w:w="456" w:type="pct"/>
                  <w:vMerge w:val="continue"/>
                  <w:tcBorders>
                    <w:tl2br w:val="nil"/>
                    <w:tr2bl w:val="nil"/>
                  </w:tcBorders>
                  <w:vAlign w:val="center"/>
                </w:tcPr>
                <w:p>
                  <w:pPr>
                    <w:pStyle w:val="63"/>
                    <w:rPr>
                      <w:color w:val="auto"/>
                    </w:rPr>
                  </w:pPr>
                </w:p>
              </w:tc>
              <w:tc>
                <w:tcPr>
                  <w:tcW w:w="671" w:type="pct"/>
                  <w:tcBorders>
                    <w:tl2br w:val="nil"/>
                    <w:tr2bl w:val="nil"/>
                  </w:tcBorders>
                  <w:vAlign w:val="center"/>
                </w:tcPr>
                <w:p>
                  <w:pPr>
                    <w:pStyle w:val="63"/>
                    <w:rPr>
                      <w:color w:val="auto"/>
                    </w:rPr>
                  </w:pPr>
                  <w:r>
                    <w:rPr>
                      <w:rFonts w:hint="eastAsia"/>
                      <w:color w:val="auto"/>
                    </w:rPr>
                    <w:t>N</w:t>
                  </w:r>
                  <w:r>
                    <w:rPr>
                      <w:color w:val="auto"/>
                    </w:rPr>
                    <w:t>O</w:t>
                  </w:r>
                  <w:r>
                    <w:rPr>
                      <w:rFonts w:hint="eastAsia"/>
                      <w:color w:val="auto"/>
                    </w:rPr>
                    <w:t>x</w:t>
                  </w:r>
                </w:p>
              </w:tc>
              <w:tc>
                <w:tcPr>
                  <w:tcW w:w="698" w:type="pct"/>
                  <w:vMerge w:val="continue"/>
                  <w:tcBorders>
                    <w:tl2br w:val="nil"/>
                    <w:tr2bl w:val="nil"/>
                  </w:tcBorders>
                  <w:vAlign w:val="center"/>
                </w:tcPr>
                <w:p>
                  <w:pPr>
                    <w:pStyle w:val="63"/>
                    <w:rPr>
                      <w:color w:val="auto"/>
                    </w:rPr>
                  </w:pPr>
                </w:p>
              </w:tc>
              <w:tc>
                <w:tcPr>
                  <w:tcW w:w="913" w:type="pct"/>
                  <w:tcBorders>
                    <w:tl2br w:val="nil"/>
                    <w:tr2bl w:val="nil"/>
                  </w:tcBorders>
                  <w:vAlign w:val="center"/>
                </w:tcPr>
                <w:p>
                  <w:pPr>
                    <w:pStyle w:val="63"/>
                    <w:rPr>
                      <w:color w:val="auto"/>
                      <w:lang w:val="en-US"/>
                    </w:rPr>
                  </w:pPr>
                  <w:r>
                    <w:rPr>
                      <w:color w:val="auto"/>
                      <w:lang w:val="en-US"/>
                    </w:rPr>
                    <w:sym w:font="Wingdings 2" w:char="00A3"/>
                  </w:r>
                  <w:r>
                    <w:rPr>
                      <w:color w:val="auto"/>
                      <w:lang w:val="en-US"/>
                    </w:rPr>
                    <w:t>自动</w:t>
                  </w:r>
                  <w:r>
                    <w:rPr>
                      <w:color w:val="auto"/>
                      <w:lang w:val="en-US"/>
                    </w:rPr>
                    <w:sym w:font="Wingdings 2" w:char="0052"/>
                  </w:r>
                  <w:r>
                    <w:rPr>
                      <w:color w:val="auto"/>
                      <w:lang w:val="en-US"/>
                    </w:rPr>
                    <w:t>手工</w:t>
                  </w:r>
                </w:p>
              </w:tc>
              <w:tc>
                <w:tcPr>
                  <w:tcW w:w="1515" w:type="pct"/>
                  <w:vMerge w:val="continue"/>
                  <w:tcBorders>
                    <w:tl2br w:val="nil"/>
                    <w:tr2bl w:val="nil"/>
                  </w:tcBorders>
                  <w:vAlign w:val="center"/>
                </w:tcPr>
                <w:p>
                  <w:pPr>
                    <w:pStyle w:val="63"/>
                    <w:rPr>
                      <w:bCs/>
                      <w:color w:val="auto"/>
                      <w:lang w:val="en-US"/>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382" w:type="pct"/>
                  <w:vMerge w:val="continue"/>
                  <w:tcBorders>
                    <w:tl2br w:val="nil"/>
                    <w:tr2bl w:val="nil"/>
                  </w:tcBorders>
                  <w:vAlign w:val="center"/>
                </w:tcPr>
                <w:p>
                  <w:pPr>
                    <w:pStyle w:val="63"/>
                    <w:rPr>
                      <w:color w:val="auto"/>
                    </w:rPr>
                  </w:pPr>
                </w:p>
              </w:tc>
              <w:tc>
                <w:tcPr>
                  <w:tcW w:w="821" w:type="pct"/>
                  <w:gridSpan w:val="2"/>
                  <w:tcBorders>
                    <w:tl2br w:val="nil"/>
                    <w:tr2bl w:val="nil"/>
                  </w:tcBorders>
                  <w:vAlign w:val="center"/>
                </w:tcPr>
                <w:p>
                  <w:pPr>
                    <w:pStyle w:val="63"/>
                    <w:rPr>
                      <w:color w:val="auto"/>
                    </w:rPr>
                  </w:pPr>
                  <w:r>
                    <w:rPr>
                      <w:rFonts w:hint="eastAsia"/>
                      <w:color w:val="auto"/>
                      <w:lang w:eastAsia="zh-CN"/>
                    </w:rPr>
                    <w:t>厂界</w:t>
                  </w:r>
                </w:p>
              </w:tc>
              <w:tc>
                <w:tcPr>
                  <w:tcW w:w="671" w:type="pct"/>
                  <w:tcBorders>
                    <w:tl2br w:val="nil"/>
                    <w:tr2bl w:val="nil"/>
                  </w:tcBorders>
                  <w:vAlign w:val="center"/>
                </w:tcPr>
                <w:p>
                  <w:pPr>
                    <w:pStyle w:val="63"/>
                    <w:rPr>
                      <w:color w:val="auto"/>
                    </w:rPr>
                  </w:pPr>
                  <w:r>
                    <w:rPr>
                      <w:rFonts w:hint="eastAsia"/>
                      <w:color w:val="auto"/>
                      <w:kern w:val="2"/>
                    </w:rPr>
                    <w:t>昼间</w:t>
                  </w:r>
                  <w:r>
                    <w:rPr>
                      <w:rFonts w:hint="eastAsia"/>
                      <w:color w:val="auto"/>
                      <w:kern w:val="2"/>
                      <w:lang w:eastAsia="zh-CN"/>
                    </w:rPr>
                    <w:t>、夜间</w:t>
                  </w:r>
                  <w:r>
                    <w:rPr>
                      <w:rFonts w:hint="eastAsia"/>
                      <w:color w:val="auto"/>
                      <w:kern w:val="2"/>
                      <w:lang w:val="en-US"/>
                    </w:rPr>
                    <w:t>等效A声级、最大声级</w:t>
                  </w:r>
                </w:p>
              </w:tc>
              <w:tc>
                <w:tcPr>
                  <w:tcW w:w="698" w:type="pct"/>
                  <w:vMerge w:val="continue"/>
                  <w:tcBorders>
                    <w:tl2br w:val="nil"/>
                    <w:tr2bl w:val="nil"/>
                  </w:tcBorders>
                  <w:vAlign w:val="center"/>
                </w:tcPr>
                <w:p>
                  <w:pPr>
                    <w:pStyle w:val="63"/>
                    <w:rPr>
                      <w:color w:val="auto"/>
                    </w:rPr>
                  </w:pPr>
                </w:p>
              </w:tc>
              <w:tc>
                <w:tcPr>
                  <w:tcW w:w="913" w:type="pct"/>
                  <w:tcBorders>
                    <w:tl2br w:val="nil"/>
                    <w:tr2bl w:val="nil"/>
                  </w:tcBorders>
                  <w:vAlign w:val="center"/>
                </w:tcPr>
                <w:p>
                  <w:pPr>
                    <w:pStyle w:val="63"/>
                    <w:rPr>
                      <w:color w:val="auto"/>
                    </w:rPr>
                  </w:pPr>
                  <w:r>
                    <w:rPr>
                      <w:color w:val="auto"/>
                    </w:rPr>
                    <w:sym w:font="Wingdings 2" w:char="00A3"/>
                  </w:r>
                  <w:r>
                    <w:rPr>
                      <w:color w:val="auto"/>
                    </w:rPr>
                    <w:t>自动</w:t>
                  </w:r>
                  <w:r>
                    <w:rPr>
                      <w:color w:val="auto"/>
                    </w:rPr>
                    <w:sym w:font="Wingdings 2" w:char="0052"/>
                  </w:r>
                  <w:r>
                    <w:rPr>
                      <w:color w:val="auto"/>
                    </w:rPr>
                    <w:t>手工</w:t>
                  </w:r>
                </w:p>
              </w:tc>
              <w:tc>
                <w:tcPr>
                  <w:tcW w:w="1515" w:type="pct"/>
                  <w:tcBorders>
                    <w:tl2br w:val="nil"/>
                    <w:tr2bl w:val="nil"/>
                  </w:tcBorders>
                  <w:vAlign w:val="center"/>
                </w:tcPr>
                <w:p>
                  <w:pPr>
                    <w:pStyle w:val="63"/>
                    <w:rPr>
                      <w:bCs/>
                      <w:color w:val="auto"/>
                      <w:lang w:val="en-US"/>
                    </w:rPr>
                  </w:pPr>
                  <w:r>
                    <w:rPr>
                      <w:rFonts w:hint="eastAsia"/>
                      <w:color w:val="auto"/>
                      <w:lang w:eastAsia="zh-CN"/>
                    </w:rPr>
                    <w:t>《工业企业厂界</w:t>
                  </w:r>
                  <w:r>
                    <w:rPr>
                      <w:color w:val="auto"/>
                    </w:rPr>
                    <w:t>环境噪声排放标准》</w:t>
                  </w:r>
                  <w:r>
                    <w:rPr>
                      <w:rFonts w:hint="eastAsia"/>
                      <w:color w:val="auto"/>
                    </w:rPr>
                    <w:t>（</w:t>
                  </w:r>
                  <w:r>
                    <w:rPr>
                      <w:color w:val="auto"/>
                    </w:rPr>
                    <w:t>GB12348-2008</w:t>
                  </w:r>
                  <w:r>
                    <w:rPr>
                      <w:rFonts w:hint="eastAsia"/>
                      <w:color w:val="auto"/>
                    </w:rPr>
                    <w:t>）</w:t>
                  </w:r>
                  <w:r>
                    <w:rPr>
                      <w:color w:val="auto"/>
                      <w:lang w:eastAsia="zh-CN"/>
                    </w:rPr>
                    <w:t>3</w:t>
                  </w:r>
                  <w:r>
                    <w:rPr>
                      <w:rFonts w:hint="eastAsia"/>
                      <w:color w:val="auto"/>
                    </w:rPr>
                    <w:t>类</w:t>
                  </w:r>
                </w:p>
              </w:tc>
            </w:tr>
          </w:tbl>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pStyle w:val="63"/>
              <w:rPr>
                <w:color w:val="auto"/>
                <w:lang w:eastAsia="zh-CN"/>
              </w:rPr>
            </w:pPr>
            <w:r>
              <w:rPr>
                <w:rFonts w:hint="eastAsia"/>
                <w:color w:val="auto"/>
                <w:lang w:eastAsia="zh-CN"/>
              </w:rPr>
              <w:t xml:space="preserve"> </w:t>
            </w:r>
            <w:r>
              <w:rPr>
                <w:color w:val="auto"/>
                <w:lang w:eastAsia="zh-CN"/>
              </w:rPr>
              <w:t xml:space="preserve"> </w:t>
            </w:r>
          </w:p>
          <w:p>
            <w:pPr>
              <w:pStyle w:val="63"/>
              <w:rPr>
                <w:color w:val="auto"/>
              </w:rPr>
            </w:pPr>
            <w:r>
              <w:rPr>
                <w:rFonts w:hint="eastAsia"/>
                <w:color w:val="auto"/>
              </w:rPr>
              <w:t xml:space="preserve"> </w:t>
            </w:r>
            <w:r>
              <w:rPr>
                <w:color w:val="auto"/>
              </w:rPr>
              <w:t xml:space="preserve"> </w:t>
            </w:r>
          </w:p>
        </w:tc>
      </w:tr>
    </w:tbl>
    <w:p>
      <w:pPr>
        <w:ind w:firstLine="560"/>
        <w:rPr>
          <w:rFonts w:ascii="宋体" w:cs="宋体"/>
          <w:color w:val="auto"/>
          <w:sz w:val="28"/>
          <w:szCs w:val="28"/>
        </w:rPr>
      </w:pPr>
      <w:r>
        <w:rPr>
          <w:rFonts w:ascii="宋体" w:cs="宋体"/>
          <w:color w:val="auto"/>
          <w:sz w:val="28"/>
          <w:szCs w:val="28"/>
        </w:rPr>
        <w:br w:type="page"/>
      </w:r>
    </w:p>
    <w:p>
      <w:pPr>
        <w:ind w:firstLine="560"/>
        <w:rPr>
          <w:rFonts w:ascii="宋体" w:cs="宋体"/>
          <w:color w:val="auto"/>
          <w:sz w:val="28"/>
          <w:szCs w:val="28"/>
        </w:rPr>
        <w:sectPr>
          <w:pgSz w:w="11907" w:h="16840"/>
          <w:pgMar w:top="1440" w:right="1800" w:bottom="1440" w:left="1800" w:header="850" w:footer="850" w:gutter="0"/>
          <w:cols w:space="720" w:num="1"/>
          <w:docGrid w:linePitch="326" w:charSpace="0"/>
        </w:sectPr>
      </w:pPr>
    </w:p>
    <w:p>
      <w:pPr>
        <w:pStyle w:val="118"/>
        <w:rPr>
          <w:color w:val="auto"/>
        </w:rPr>
      </w:pPr>
      <w:bookmarkStart w:id="12" w:name="_Toc103860797"/>
      <w:r>
        <w:rPr>
          <w:rFonts w:hint="eastAsia"/>
          <w:color w:val="auto"/>
        </w:rPr>
        <w:t>五、</w:t>
      </w:r>
      <w:bookmarkStart w:id="13" w:name="_Hlk54167917"/>
      <w:r>
        <w:rPr>
          <w:rFonts w:hint="eastAsia"/>
          <w:color w:val="auto"/>
        </w:rPr>
        <w:t>环境保护措施监督检查清单</w:t>
      </w:r>
      <w:bookmarkEnd w:id="12"/>
      <w:bookmarkEnd w:id="13"/>
    </w:p>
    <w:tbl>
      <w:tblPr>
        <w:tblStyle w:val="26"/>
        <w:tblW w:w="522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895"/>
        <w:gridCol w:w="1518"/>
        <w:gridCol w:w="3324"/>
        <w:gridCol w:w="19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425" w:type="pct"/>
            <w:tcBorders>
              <w:tl2br w:val="single" w:color="auto" w:sz="4" w:space="0"/>
            </w:tcBorders>
          </w:tcPr>
          <w:p>
            <w:pPr>
              <w:pStyle w:val="54"/>
              <w:jc w:val="right"/>
              <w:rPr>
                <w:color w:val="auto"/>
              </w:rPr>
            </w:pPr>
            <w:r>
              <w:rPr>
                <w:rFonts w:hint="eastAsia"/>
                <w:color w:val="auto"/>
              </w:rPr>
              <w:t>内容</w:t>
            </w:r>
          </w:p>
          <w:p>
            <w:pPr>
              <w:pStyle w:val="54"/>
              <w:ind w:right="240"/>
              <w:jc w:val="right"/>
              <w:rPr>
                <w:color w:val="auto"/>
              </w:rPr>
            </w:pPr>
          </w:p>
          <w:p>
            <w:pPr>
              <w:pStyle w:val="54"/>
              <w:jc w:val="left"/>
              <w:rPr>
                <w:color w:val="auto"/>
              </w:rPr>
            </w:pPr>
            <w:r>
              <w:rPr>
                <w:rFonts w:hint="eastAsia"/>
                <w:color w:val="auto"/>
              </w:rPr>
              <w:t>要素</w:t>
            </w:r>
          </w:p>
        </w:tc>
        <w:tc>
          <w:tcPr>
            <w:tcW w:w="1001" w:type="pct"/>
            <w:vAlign w:val="center"/>
          </w:tcPr>
          <w:p>
            <w:pPr>
              <w:pStyle w:val="54"/>
              <w:rPr>
                <w:color w:val="auto"/>
              </w:rPr>
            </w:pPr>
            <w:r>
              <w:rPr>
                <w:rFonts w:hint="eastAsia"/>
                <w:color w:val="auto"/>
              </w:rPr>
              <w:t>排放口(编号、名称)/污染源</w:t>
            </w:r>
          </w:p>
        </w:tc>
        <w:tc>
          <w:tcPr>
            <w:tcW w:w="802" w:type="pct"/>
            <w:vAlign w:val="center"/>
          </w:tcPr>
          <w:p>
            <w:pPr>
              <w:pStyle w:val="54"/>
              <w:rPr>
                <w:color w:val="auto"/>
              </w:rPr>
            </w:pPr>
            <w:r>
              <w:rPr>
                <w:rFonts w:hint="eastAsia"/>
                <w:color w:val="auto"/>
              </w:rPr>
              <w:t>污染物</w:t>
            </w:r>
          </w:p>
        </w:tc>
        <w:tc>
          <w:tcPr>
            <w:tcW w:w="1756" w:type="pct"/>
            <w:vAlign w:val="center"/>
          </w:tcPr>
          <w:p>
            <w:pPr>
              <w:pStyle w:val="54"/>
              <w:rPr>
                <w:color w:val="auto"/>
              </w:rPr>
            </w:pPr>
            <w:r>
              <w:rPr>
                <w:rFonts w:hint="eastAsia"/>
                <w:color w:val="auto"/>
              </w:rPr>
              <w:t>环境保护措施</w:t>
            </w:r>
          </w:p>
        </w:tc>
        <w:tc>
          <w:tcPr>
            <w:tcW w:w="1016" w:type="pct"/>
            <w:vAlign w:val="center"/>
          </w:tcPr>
          <w:p>
            <w:pPr>
              <w:pStyle w:val="54"/>
              <w:rPr>
                <w:color w:val="auto"/>
              </w:rPr>
            </w:pPr>
            <w:r>
              <w:rPr>
                <w:rFonts w:hint="eastAsia"/>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5" w:type="pct"/>
            <w:vAlign w:val="center"/>
          </w:tcPr>
          <w:p>
            <w:pPr>
              <w:pStyle w:val="54"/>
              <w:rPr>
                <w:color w:val="auto"/>
              </w:rPr>
            </w:pPr>
            <w:r>
              <w:rPr>
                <w:rFonts w:hint="eastAsia"/>
                <w:color w:val="auto"/>
              </w:rPr>
              <w:t>大气环境</w:t>
            </w:r>
          </w:p>
        </w:tc>
        <w:tc>
          <w:tcPr>
            <w:tcW w:w="1001" w:type="pct"/>
            <w:vAlign w:val="center"/>
          </w:tcPr>
          <w:p>
            <w:pPr>
              <w:pStyle w:val="54"/>
              <w:rPr>
                <w:color w:val="auto"/>
              </w:rPr>
            </w:pPr>
            <w:r>
              <w:rPr>
                <w:rFonts w:hint="eastAsia"/>
                <w:color w:val="auto"/>
              </w:rPr>
              <w:t>D</w:t>
            </w:r>
            <w:r>
              <w:rPr>
                <w:color w:val="auto"/>
              </w:rPr>
              <w:t>A003</w:t>
            </w:r>
          </w:p>
        </w:tc>
        <w:tc>
          <w:tcPr>
            <w:tcW w:w="802" w:type="pct"/>
            <w:vAlign w:val="center"/>
          </w:tcPr>
          <w:p>
            <w:pPr>
              <w:pStyle w:val="54"/>
              <w:rPr>
                <w:color w:val="auto"/>
              </w:rPr>
            </w:pPr>
            <w:r>
              <w:rPr>
                <w:rFonts w:hint="eastAsia"/>
                <w:color w:val="auto"/>
              </w:rPr>
              <w:t>颗粒物</w:t>
            </w:r>
          </w:p>
          <w:p>
            <w:pPr>
              <w:pStyle w:val="54"/>
              <w:rPr>
                <w:color w:val="auto"/>
              </w:rPr>
            </w:pPr>
            <w:r>
              <w:rPr>
                <w:color w:val="auto"/>
              </w:rPr>
              <w:t>SO</w:t>
            </w:r>
            <w:r>
              <w:rPr>
                <w:color w:val="auto"/>
                <w:vertAlign w:val="subscript"/>
              </w:rPr>
              <w:t>2</w:t>
            </w:r>
          </w:p>
          <w:p>
            <w:pPr>
              <w:pStyle w:val="54"/>
              <w:rPr>
                <w:color w:val="auto"/>
              </w:rPr>
            </w:pPr>
            <w:r>
              <w:rPr>
                <w:color w:val="auto"/>
              </w:rPr>
              <w:t>NOx</w:t>
            </w:r>
          </w:p>
        </w:tc>
        <w:tc>
          <w:tcPr>
            <w:tcW w:w="1756" w:type="pct"/>
            <w:vAlign w:val="center"/>
          </w:tcPr>
          <w:p>
            <w:pPr>
              <w:pStyle w:val="54"/>
              <w:rPr>
                <w:color w:val="auto"/>
              </w:rPr>
            </w:pPr>
            <w:r>
              <w:rPr>
                <w:rFonts w:hint="eastAsia"/>
                <w:color w:val="auto"/>
              </w:rPr>
              <w:t>燃烧后产生的热退火炉烟气经管道引入热风干燥和烘干工序作为热源，最后经直径为800mm、高18m的</w:t>
            </w:r>
            <w:r>
              <w:rPr>
                <w:color w:val="auto"/>
              </w:rPr>
              <w:t>DA003</w:t>
            </w:r>
            <w:r>
              <w:rPr>
                <w:rFonts w:hint="eastAsia"/>
                <w:color w:val="auto"/>
              </w:rPr>
              <w:t>废气排放口排放</w:t>
            </w:r>
          </w:p>
        </w:tc>
        <w:tc>
          <w:tcPr>
            <w:tcW w:w="1016" w:type="pct"/>
            <w:vAlign w:val="center"/>
          </w:tcPr>
          <w:p>
            <w:pPr>
              <w:pStyle w:val="54"/>
              <w:rPr>
                <w:color w:val="auto"/>
              </w:rPr>
            </w:pPr>
            <w:r>
              <w:rPr>
                <w:color w:val="auto"/>
              </w:rPr>
              <w:t>《轧钢工业大气污染物排放标准》（GB28665-2012）</w:t>
            </w:r>
            <w:r>
              <w:rPr>
                <w:rFonts w:hint="eastAsia"/>
                <w:color w:val="auto"/>
              </w:rPr>
              <w:t>及其修改单表2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33" w:hRule="atLeast"/>
          <w:jc w:val="center"/>
        </w:trPr>
        <w:tc>
          <w:tcPr>
            <w:tcW w:w="425" w:type="pct"/>
            <w:tcBorders>
              <w:bottom w:val="single" w:color="auto" w:sz="4" w:space="0"/>
            </w:tcBorders>
            <w:vAlign w:val="center"/>
          </w:tcPr>
          <w:p>
            <w:pPr>
              <w:pStyle w:val="54"/>
              <w:rPr>
                <w:color w:val="auto"/>
              </w:rPr>
            </w:pPr>
            <w:r>
              <w:rPr>
                <w:rFonts w:hint="eastAsia"/>
                <w:color w:val="auto"/>
              </w:rPr>
              <w:t>地表水环境</w:t>
            </w:r>
          </w:p>
        </w:tc>
        <w:tc>
          <w:tcPr>
            <w:tcW w:w="1001" w:type="pct"/>
            <w:tcBorders>
              <w:bottom w:val="single" w:color="auto" w:sz="4" w:space="0"/>
            </w:tcBorders>
            <w:vAlign w:val="center"/>
          </w:tcPr>
          <w:p>
            <w:pPr>
              <w:pStyle w:val="54"/>
              <w:rPr>
                <w:color w:val="auto"/>
              </w:rPr>
            </w:pPr>
            <w:r>
              <w:rPr>
                <w:rFonts w:hint="eastAsia"/>
                <w:color w:val="auto"/>
              </w:rPr>
              <w:t>生活污水</w:t>
            </w:r>
          </w:p>
        </w:tc>
        <w:tc>
          <w:tcPr>
            <w:tcW w:w="802" w:type="pct"/>
            <w:tcBorders>
              <w:bottom w:val="single" w:color="auto" w:sz="4" w:space="0"/>
            </w:tcBorders>
            <w:vAlign w:val="center"/>
          </w:tcPr>
          <w:p>
            <w:pPr>
              <w:pStyle w:val="54"/>
              <w:rPr>
                <w:color w:val="auto"/>
              </w:rPr>
            </w:pPr>
            <w:r>
              <w:rPr>
                <w:color w:val="auto"/>
              </w:rPr>
              <w:t>COD</w:t>
            </w:r>
          </w:p>
          <w:p>
            <w:pPr>
              <w:pStyle w:val="54"/>
              <w:rPr>
                <w:color w:val="auto"/>
              </w:rPr>
            </w:pPr>
            <w:r>
              <w:rPr>
                <w:rFonts w:hint="eastAsia"/>
                <w:color w:val="auto"/>
              </w:rPr>
              <w:t>B</w:t>
            </w:r>
            <w:r>
              <w:rPr>
                <w:color w:val="auto"/>
              </w:rPr>
              <w:t>OD</w:t>
            </w:r>
            <w:r>
              <w:rPr>
                <w:color w:val="auto"/>
                <w:vertAlign w:val="subscript"/>
              </w:rPr>
              <w:t>5</w:t>
            </w:r>
          </w:p>
          <w:p>
            <w:pPr>
              <w:pStyle w:val="54"/>
              <w:rPr>
                <w:color w:val="auto"/>
              </w:rPr>
            </w:pPr>
            <w:r>
              <w:rPr>
                <w:rFonts w:hint="eastAsia"/>
                <w:color w:val="auto"/>
              </w:rPr>
              <w:t>动植物油、氨氮</w:t>
            </w:r>
          </w:p>
          <w:p>
            <w:pPr>
              <w:pStyle w:val="54"/>
              <w:rPr>
                <w:color w:val="auto"/>
              </w:rPr>
            </w:pPr>
            <w:r>
              <w:rPr>
                <w:rFonts w:hint="eastAsia"/>
                <w:color w:val="auto"/>
              </w:rPr>
              <w:t>总磷</w:t>
            </w:r>
          </w:p>
        </w:tc>
        <w:tc>
          <w:tcPr>
            <w:tcW w:w="1756" w:type="pct"/>
            <w:tcBorders>
              <w:bottom w:val="single" w:color="auto" w:sz="4" w:space="0"/>
            </w:tcBorders>
            <w:vAlign w:val="center"/>
          </w:tcPr>
          <w:p>
            <w:pPr>
              <w:pStyle w:val="54"/>
              <w:rPr>
                <w:color w:val="auto"/>
              </w:rPr>
            </w:pPr>
            <w:r>
              <w:rPr>
                <w:rFonts w:hint="eastAsia"/>
                <w:color w:val="auto"/>
              </w:rPr>
              <w:t>运营期不新增劳动定员，生活污水依托云南天高镍业有限公司现有生活污水处理站（1座，处理能力为20m</w:t>
            </w:r>
            <w:r>
              <w:rPr>
                <w:rFonts w:hint="eastAsia"/>
                <w:color w:val="auto"/>
                <w:vertAlign w:val="superscript"/>
              </w:rPr>
              <w:t>3</w:t>
            </w:r>
            <w:r>
              <w:rPr>
                <w:rFonts w:hint="eastAsia"/>
                <w:color w:val="auto"/>
              </w:rPr>
              <w:t>/h，480m</w:t>
            </w:r>
            <w:r>
              <w:rPr>
                <w:rFonts w:hint="eastAsia"/>
                <w:color w:val="auto"/>
                <w:vertAlign w:val="superscript"/>
              </w:rPr>
              <w:t>3</w:t>
            </w:r>
            <w:r>
              <w:rPr>
                <w:rFonts w:hint="eastAsia"/>
                <w:color w:val="auto"/>
              </w:rPr>
              <w:t>/d，采用A</w:t>
            </w:r>
            <w:r>
              <w:rPr>
                <w:color w:val="auto"/>
              </w:rPr>
              <w:t>/O</w:t>
            </w:r>
            <w:r>
              <w:rPr>
                <w:rFonts w:hint="eastAsia"/>
                <w:color w:val="auto"/>
              </w:rPr>
              <w:t>工艺）处理达标后回用于云南天高镍业有限公司炼钢循环补充水</w:t>
            </w:r>
          </w:p>
        </w:tc>
        <w:tc>
          <w:tcPr>
            <w:tcW w:w="1016" w:type="pct"/>
            <w:vAlign w:val="center"/>
          </w:tcPr>
          <w:p>
            <w:pPr>
              <w:pStyle w:val="54"/>
              <w:rPr>
                <w:color w:val="auto"/>
              </w:rPr>
            </w:pPr>
            <w:r>
              <w:rPr>
                <w:rFonts w:hint="eastAsia"/>
                <w:color w:val="auto"/>
              </w:rPr>
              <w:t>全部回用不外排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5" w:type="pct"/>
            <w:vAlign w:val="center"/>
          </w:tcPr>
          <w:p>
            <w:pPr>
              <w:pStyle w:val="54"/>
              <w:rPr>
                <w:color w:val="auto"/>
              </w:rPr>
            </w:pPr>
            <w:r>
              <w:rPr>
                <w:rFonts w:hint="eastAsia"/>
                <w:color w:val="auto"/>
              </w:rPr>
              <w:t>声环境</w:t>
            </w:r>
          </w:p>
        </w:tc>
        <w:tc>
          <w:tcPr>
            <w:tcW w:w="1001" w:type="pct"/>
            <w:vAlign w:val="center"/>
          </w:tcPr>
          <w:p>
            <w:pPr>
              <w:pStyle w:val="54"/>
              <w:rPr>
                <w:color w:val="auto"/>
              </w:rPr>
            </w:pPr>
            <w:r>
              <w:rPr>
                <w:rFonts w:hint="eastAsia"/>
                <w:color w:val="auto"/>
              </w:rPr>
              <w:t>厂界/设备运行</w:t>
            </w:r>
          </w:p>
        </w:tc>
        <w:tc>
          <w:tcPr>
            <w:tcW w:w="802" w:type="pct"/>
            <w:vAlign w:val="center"/>
          </w:tcPr>
          <w:p>
            <w:pPr>
              <w:pStyle w:val="54"/>
              <w:rPr>
                <w:color w:val="auto"/>
              </w:rPr>
            </w:pPr>
            <w:r>
              <w:rPr>
                <w:rFonts w:hint="eastAsia"/>
                <w:color w:val="auto"/>
              </w:rPr>
              <w:t>噪声</w:t>
            </w:r>
          </w:p>
        </w:tc>
        <w:tc>
          <w:tcPr>
            <w:tcW w:w="1756" w:type="pct"/>
            <w:vAlign w:val="center"/>
          </w:tcPr>
          <w:p>
            <w:pPr>
              <w:pStyle w:val="54"/>
              <w:rPr>
                <w:color w:val="auto"/>
              </w:rPr>
            </w:pPr>
            <w:r>
              <w:rPr>
                <w:rFonts w:hint="eastAsia"/>
                <w:color w:val="auto"/>
              </w:rPr>
              <w:t>隔声和基础减震</w:t>
            </w:r>
          </w:p>
        </w:tc>
        <w:tc>
          <w:tcPr>
            <w:tcW w:w="1016" w:type="pct"/>
            <w:vAlign w:val="center"/>
          </w:tcPr>
          <w:p>
            <w:pPr>
              <w:pStyle w:val="54"/>
              <w:rPr>
                <w:color w:val="auto"/>
              </w:rPr>
            </w:pPr>
            <w:r>
              <w:rPr>
                <w:color w:val="auto"/>
              </w:rPr>
              <w:t>《工业企业厂界环境噪声排放标准》(GB12348-2008)3</w:t>
            </w:r>
            <w:r>
              <w:rPr>
                <w:rFonts w:hint="eastAsia"/>
                <w:color w:val="auto"/>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425" w:type="pct"/>
            <w:vAlign w:val="center"/>
          </w:tcPr>
          <w:p>
            <w:pPr>
              <w:pStyle w:val="54"/>
              <w:rPr>
                <w:color w:val="auto"/>
              </w:rPr>
            </w:pPr>
            <w:r>
              <w:rPr>
                <w:rFonts w:hint="eastAsia"/>
                <w:color w:val="auto"/>
              </w:rPr>
              <w:t>电磁辐射</w:t>
            </w:r>
          </w:p>
        </w:tc>
        <w:tc>
          <w:tcPr>
            <w:tcW w:w="1001" w:type="pct"/>
            <w:vAlign w:val="center"/>
          </w:tcPr>
          <w:p>
            <w:pPr>
              <w:pStyle w:val="54"/>
              <w:rPr>
                <w:color w:val="auto"/>
              </w:rPr>
            </w:pPr>
            <w:r>
              <w:rPr>
                <w:rFonts w:hint="eastAsia"/>
                <w:color w:val="auto"/>
              </w:rPr>
              <w:t>/</w:t>
            </w:r>
          </w:p>
        </w:tc>
        <w:tc>
          <w:tcPr>
            <w:tcW w:w="802" w:type="pct"/>
            <w:vAlign w:val="center"/>
          </w:tcPr>
          <w:p>
            <w:pPr>
              <w:pStyle w:val="54"/>
              <w:rPr>
                <w:color w:val="auto"/>
              </w:rPr>
            </w:pPr>
            <w:r>
              <w:rPr>
                <w:rFonts w:hint="eastAsia"/>
                <w:color w:val="auto"/>
              </w:rPr>
              <w:t>/</w:t>
            </w:r>
          </w:p>
        </w:tc>
        <w:tc>
          <w:tcPr>
            <w:tcW w:w="1756" w:type="pct"/>
            <w:vAlign w:val="center"/>
          </w:tcPr>
          <w:p>
            <w:pPr>
              <w:pStyle w:val="54"/>
              <w:rPr>
                <w:color w:val="auto"/>
              </w:rPr>
            </w:pPr>
            <w:r>
              <w:rPr>
                <w:rFonts w:hint="eastAsia"/>
                <w:color w:val="auto"/>
              </w:rPr>
              <w:t>/</w:t>
            </w:r>
          </w:p>
        </w:tc>
        <w:tc>
          <w:tcPr>
            <w:tcW w:w="1016" w:type="pct"/>
            <w:vAlign w:val="center"/>
          </w:tcPr>
          <w:p>
            <w:pPr>
              <w:pStyle w:val="54"/>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45" w:hRule="atLeast"/>
          <w:jc w:val="center"/>
        </w:trPr>
        <w:tc>
          <w:tcPr>
            <w:tcW w:w="425" w:type="pct"/>
            <w:vAlign w:val="center"/>
          </w:tcPr>
          <w:p>
            <w:pPr>
              <w:pStyle w:val="54"/>
              <w:rPr>
                <w:color w:val="auto"/>
              </w:rPr>
            </w:pPr>
            <w:r>
              <w:rPr>
                <w:rFonts w:hint="eastAsia"/>
                <w:color w:val="auto"/>
              </w:rPr>
              <w:t>固体废物</w:t>
            </w:r>
          </w:p>
        </w:tc>
        <w:tc>
          <w:tcPr>
            <w:tcW w:w="4575" w:type="pct"/>
            <w:gridSpan w:val="4"/>
            <w:vAlign w:val="center"/>
          </w:tcPr>
          <w:p>
            <w:pPr>
              <w:ind w:firstLine="480"/>
              <w:rPr>
                <w:color w:val="auto"/>
              </w:rPr>
            </w:pPr>
            <w:r>
              <w:rPr>
                <w:rFonts w:hint="eastAsia"/>
                <w:color w:val="auto"/>
              </w:rPr>
              <w:t>本次技改项目后端酸洗等工序产生的固体废物废钢及边角料、氧化铁皮、湿式除尘污泥、收尘灰、酸性废水处理污泥、废矿物油等严格按照现有项目环评及批复、验收有关要求进行管理，运营期加强固体废物的管理，确保其处置率1</w:t>
            </w:r>
            <w:r>
              <w:rPr>
                <w:color w:val="auto"/>
              </w:rPr>
              <w:t>00%</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425" w:type="pct"/>
            <w:vAlign w:val="center"/>
          </w:tcPr>
          <w:p>
            <w:pPr>
              <w:pStyle w:val="54"/>
              <w:rPr>
                <w:color w:val="auto"/>
              </w:rPr>
            </w:pPr>
            <w:r>
              <w:rPr>
                <w:rFonts w:hint="eastAsia"/>
                <w:color w:val="auto"/>
              </w:rPr>
              <w:t>土壤及地下水</w:t>
            </w:r>
          </w:p>
          <w:p>
            <w:pPr>
              <w:pStyle w:val="54"/>
              <w:rPr>
                <w:color w:val="auto"/>
              </w:rPr>
            </w:pPr>
            <w:r>
              <w:rPr>
                <w:rFonts w:hint="eastAsia"/>
                <w:color w:val="auto"/>
              </w:rPr>
              <w:t>污染防治措施</w:t>
            </w:r>
          </w:p>
        </w:tc>
        <w:tc>
          <w:tcPr>
            <w:tcW w:w="4575" w:type="pct"/>
            <w:gridSpan w:val="4"/>
            <w:vAlign w:val="center"/>
          </w:tcPr>
          <w:p>
            <w:pPr>
              <w:ind w:firstLine="480"/>
              <w:rPr>
                <w:rFonts w:hint="eastAsia"/>
                <w:color w:val="auto"/>
              </w:rPr>
            </w:pPr>
            <w:r>
              <w:rPr>
                <w:rFonts w:hint="eastAsia"/>
                <w:color w:val="auto"/>
              </w:rPr>
              <w:t>运营期加强对本次技改项目及后端酸洗工序地面防渗措施的管理维护，严格落实厂区硬化地面、原辅料储存区、危废暂存间的防渗措施，避免对土壤和地下水环境造成污染。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52" w:hRule="atLeast"/>
          <w:jc w:val="center"/>
        </w:trPr>
        <w:tc>
          <w:tcPr>
            <w:tcW w:w="425" w:type="pct"/>
            <w:vAlign w:val="center"/>
          </w:tcPr>
          <w:p>
            <w:pPr>
              <w:pStyle w:val="54"/>
              <w:rPr>
                <w:color w:val="auto"/>
              </w:rPr>
            </w:pPr>
            <w:r>
              <w:rPr>
                <w:rFonts w:hint="eastAsia"/>
                <w:color w:val="auto"/>
              </w:rPr>
              <w:t>生态保护措施</w:t>
            </w:r>
          </w:p>
        </w:tc>
        <w:tc>
          <w:tcPr>
            <w:tcW w:w="4575" w:type="pct"/>
            <w:gridSpan w:val="4"/>
            <w:vAlign w:val="center"/>
          </w:tcPr>
          <w:p>
            <w:pPr>
              <w:ind w:firstLine="480"/>
              <w:rPr>
                <w:rFonts w:hint="eastAsia"/>
                <w:color w:val="auto"/>
              </w:rPr>
            </w:pPr>
            <w:r>
              <w:rPr>
                <w:rFonts w:hint="eastAsia"/>
                <w:color w:val="auto"/>
              </w:rPr>
              <w:t>加强厂区绿化种植，严格落实废气、废水、噪声、固废等防治措施，以减缓对周边生态环境的影响。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78" w:hRule="atLeast"/>
          <w:jc w:val="center"/>
        </w:trPr>
        <w:tc>
          <w:tcPr>
            <w:tcW w:w="425" w:type="pct"/>
            <w:vAlign w:val="center"/>
          </w:tcPr>
          <w:p>
            <w:pPr>
              <w:pStyle w:val="54"/>
              <w:rPr>
                <w:color w:val="auto"/>
                <w:spacing w:val="-8"/>
              </w:rPr>
            </w:pPr>
            <w:r>
              <w:rPr>
                <w:rFonts w:hint="eastAsia"/>
                <w:color w:val="auto"/>
                <w:spacing w:val="-8"/>
              </w:rPr>
              <w:t>环境风险防范措施</w:t>
            </w:r>
          </w:p>
        </w:tc>
        <w:tc>
          <w:tcPr>
            <w:tcW w:w="4575" w:type="pct"/>
            <w:gridSpan w:val="4"/>
            <w:vAlign w:val="center"/>
          </w:tcPr>
          <w:p>
            <w:pPr>
              <w:ind w:firstLine="480"/>
              <w:rPr>
                <w:color w:val="auto"/>
              </w:rPr>
            </w:pPr>
            <w:r>
              <w:rPr>
                <w:color w:val="auto"/>
              </w:rPr>
              <w:t>1.在车间设置可燃气体报警探测器。</w:t>
            </w:r>
          </w:p>
          <w:p>
            <w:pPr>
              <w:ind w:firstLine="480"/>
              <w:rPr>
                <w:color w:val="auto"/>
              </w:rPr>
            </w:pPr>
            <w:r>
              <w:rPr>
                <w:color w:val="auto"/>
              </w:rPr>
              <w:t>2.加强对职工的教育培训，增强职工环境风险意识，制定和强化各种安全管理。</w:t>
            </w:r>
          </w:p>
          <w:p>
            <w:pPr>
              <w:ind w:firstLine="480"/>
              <w:rPr>
                <w:color w:val="auto"/>
              </w:rPr>
            </w:pPr>
            <w:r>
              <w:rPr>
                <w:color w:val="auto"/>
              </w:rPr>
              <w:t>3.合理选择电气设备和监控系统，安装报警设施和自动灭火系统，做好防雷、防爆、防静电设计，配备消防栓、干粉灭火器等消防设施和消防工具；对可能产生静电危害的工作场所，配置个人静电防护用品。</w:t>
            </w:r>
          </w:p>
          <w:p>
            <w:pPr>
              <w:ind w:firstLine="480"/>
              <w:rPr>
                <w:color w:val="auto"/>
              </w:rPr>
            </w:pPr>
            <w:r>
              <w:rPr>
                <w:rFonts w:hint="eastAsia" w:ascii="宋体" w:hAnsi="宋体" w:cs="宋体"/>
                <w:color w:val="auto"/>
              </w:rPr>
              <w:t>4</w:t>
            </w:r>
            <w:r>
              <w:rPr>
                <w:rFonts w:ascii="宋体" w:hAnsi="宋体" w:cs="宋体"/>
                <w:color w:val="auto"/>
              </w:rPr>
              <w:t>.</w:t>
            </w:r>
            <w:r>
              <w:rPr>
                <w:rFonts w:hint="eastAsia"/>
                <w:color w:val="auto"/>
              </w:rPr>
              <w:t>本项目新增的风险物质天然气，根据</w:t>
            </w:r>
            <w:r>
              <w:rPr>
                <w:color w:val="auto"/>
              </w:rPr>
              <w:t>《企业事业单位突发环境事件应急预案备案管理办法（试行）》</w:t>
            </w:r>
            <w:r>
              <w:rPr>
                <w:rFonts w:hint="eastAsia"/>
                <w:color w:val="auto"/>
              </w:rPr>
              <w:t>要求，本项目投产前，必须根据存在的风险源情况，修编</w:t>
            </w:r>
            <w:r>
              <w:rPr>
                <w:color w:val="auto"/>
              </w:rPr>
              <w:t>全厂突发环境事件应急预案报曲靖市生态环境局师宗分局备案，并按应急预案进行日常演练。</w:t>
            </w:r>
          </w:p>
          <w:p>
            <w:pPr>
              <w:ind w:firstLine="480"/>
              <w:rPr>
                <w:color w:val="auto"/>
              </w:rPr>
            </w:pPr>
            <w:r>
              <w:rPr>
                <w:color w:val="auto"/>
              </w:rPr>
              <w:t>5.组织应急救援队伍，配备必要的应急物资，一旦发生事故，及时救治</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25" w:type="pct"/>
            <w:vAlign w:val="center"/>
          </w:tcPr>
          <w:p>
            <w:pPr>
              <w:pStyle w:val="54"/>
              <w:rPr>
                <w:color w:val="auto"/>
                <w:spacing w:val="-8"/>
              </w:rPr>
            </w:pPr>
            <w:r>
              <w:rPr>
                <w:rFonts w:hint="eastAsia"/>
                <w:color w:val="auto"/>
                <w:spacing w:val="-8"/>
              </w:rPr>
              <w:t>其他环境管理要求</w:t>
            </w:r>
          </w:p>
        </w:tc>
        <w:tc>
          <w:tcPr>
            <w:tcW w:w="4575" w:type="pct"/>
            <w:gridSpan w:val="4"/>
            <w:vAlign w:val="center"/>
          </w:tcPr>
          <w:p>
            <w:pPr>
              <w:ind w:firstLine="480"/>
              <w:rPr>
                <w:color w:val="auto"/>
              </w:rPr>
            </w:pPr>
            <w:r>
              <w:rPr>
                <w:rFonts w:hint="eastAsia"/>
                <w:color w:val="auto"/>
              </w:rPr>
              <w:t>1.认真执行“三同时”原则，确保各项污染防治措施的实施；</w:t>
            </w:r>
          </w:p>
          <w:p>
            <w:pPr>
              <w:ind w:firstLine="480"/>
              <w:rPr>
                <w:color w:val="auto"/>
              </w:rPr>
            </w:pPr>
            <w:r>
              <w:rPr>
                <w:rFonts w:hint="eastAsia"/>
                <w:color w:val="auto"/>
              </w:rPr>
              <w:t>2.项目取得环评批复后，根据《固定污染源排污许可分类管理名录（2019年版）》，建设单位按要求向曲靖市生态环境局变更现有排污许可证；</w:t>
            </w:r>
          </w:p>
          <w:p>
            <w:pPr>
              <w:ind w:firstLine="480"/>
              <w:rPr>
                <w:color w:val="auto"/>
              </w:rPr>
            </w:pPr>
            <w:r>
              <w:rPr>
                <w:rFonts w:hint="eastAsia"/>
                <w:color w:val="auto"/>
              </w:rPr>
              <w:t>3.做好突发环境事件应急工作，修编现有突发环境事件应急预案，完善落实应急物资及设备，定期进行环境事故应急演练；</w:t>
            </w:r>
          </w:p>
          <w:p>
            <w:pPr>
              <w:ind w:firstLine="480"/>
              <w:rPr>
                <w:color w:val="auto"/>
              </w:rPr>
            </w:pPr>
            <w:r>
              <w:rPr>
                <w:rFonts w:hint="eastAsia"/>
                <w:color w:val="auto"/>
              </w:rPr>
              <w:t>4.</w:t>
            </w:r>
            <w:r>
              <w:rPr>
                <w:color w:val="auto"/>
              </w:rPr>
              <w:t>要求企业加强环境管理，建立环境管理体系，完善相关原料台账、设施运行台账</w:t>
            </w:r>
            <w:r>
              <w:rPr>
                <w:rFonts w:hint="eastAsia"/>
                <w:color w:val="auto"/>
              </w:rPr>
              <w:t>、危险废物台账</w:t>
            </w:r>
            <w:r>
              <w:rPr>
                <w:color w:val="auto"/>
              </w:rPr>
              <w:t>等，</w:t>
            </w:r>
            <w:r>
              <w:rPr>
                <w:rFonts w:hint="eastAsia"/>
                <w:color w:val="auto"/>
              </w:rPr>
              <w:t>相关</w:t>
            </w:r>
            <w:r>
              <w:rPr>
                <w:color w:val="auto"/>
              </w:rPr>
              <w:t>管理信息制度需上墙</w:t>
            </w:r>
            <w:r>
              <w:rPr>
                <w:rFonts w:hint="eastAsia"/>
                <w:color w:val="auto"/>
              </w:rPr>
              <w:t>；</w:t>
            </w:r>
          </w:p>
          <w:p>
            <w:pPr>
              <w:ind w:firstLine="480"/>
              <w:rPr>
                <w:color w:val="auto"/>
              </w:rPr>
            </w:pPr>
            <w:r>
              <w:rPr>
                <w:color w:val="auto"/>
              </w:rPr>
              <w:t>5.</w:t>
            </w:r>
            <w:r>
              <w:rPr>
                <w:rFonts w:hint="eastAsia"/>
                <w:color w:val="auto"/>
              </w:rPr>
              <w:t>项目建成后，按照《建设项目竣工环境保护验收技术指南 污染影响类》等要求开展项目自主验收工作。</w:t>
            </w:r>
          </w:p>
          <w:p>
            <w:pPr>
              <w:ind w:firstLine="480"/>
              <w:rPr>
                <w:color w:val="auto"/>
              </w:rPr>
            </w:pPr>
            <w:r>
              <w:rPr>
                <w:color w:val="auto"/>
              </w:rPr>
              <w:t>6.</w:t>
            </w:r>
            <w:r>
              <w:rPr>
                <w:rFonts w:hint="eastAsia"/>
                <w:color w:val="auto"/>
              </w:rPr>
              <w:t>项目运营后按照《排污单位自行监测技术指南 钢铁工业及炼焦化学工业》（HJ</w:t>
            </w:r>
            <w:r>
              <w:rPr>
                <w:color w:val="auto"/>
              </w:rPr>
              <w:t>878</w:t>
            </w:r>
            <w:r>
              <w:rPr>
                <w:rFonts w:hint="eastAsia"/>
                <w:color w:val="auto"/>
              </w:rPr>
              <w:t>-2017）、《排污许可证申请与核发技术规范 工业噪声》（HJ1301-2023）要求开展自行监测。</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r>
              <w:rPr>
                <w:rFonts w:hint="eastAsia"/>
                <w:color w:val="auto"/>
              </w:rPr>
              <w:t xml:space="preserve"> </w:t>
            </w:r>
            <w:r>
              <w:rPr>
                <w:color w:val="auto"/>
              </w:rPr>
              <w:t xml:space="preserve"> </w:t>
            </w:r>
          </w:p>
        </w:tc>
      </w:tr>
    </w:tbl>
    <w:p>
      <w:pPr>
        <w:ind w:firstLine="480"/>
        <w:rPr>
          <w:color w:val="auto"/>
        </w:rPr>
        <w:sectPr>
          <w:pgSz w:w="11906" w:h="16838"/>
          <w:pgMar w:top="1701" w:right="1531" w:bottom="1701" w:left="1531" w:header="850" w:footer="851" w:gutter="0"/>
          <w:cols w:space="720" w:num="1"/>
          <w:docGrid w:linePitch="326" w:charSpace="0"/>
        </w:sectPr>
      </w:pPr>
      <w:r>
        <w:rPr>
          <w:color w:val="auto"/>
        </w:rPr>
        <w:t xml:space="preserve"> </w:t>
      </w:r>
    </w:p>
    <w:p>
      <w:pPr>
        <w:pStyle w:val="118"/>
        <w:rPr>
          <w:color w:val="auto"/>
        </w:rPr>
      </w:pPr>
      <w:bookmarkStart w:id="14" w:name="_Toc103860798"/>
      <w:bookmarkStart w:id="15" w:name="_Toc79005383"/>
      <w:r>
        <w:rPr>
          <w:rFonts w:hint="eastAsia"/>
          <w:color w:val="auto"/>
        </w:rPr>
        <w:t>六、结论</w:t>
      </w:r>
      <w:bookmarkEnd w:id="14"/>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969" w:type="dxa"/>
          </w:tcPr>
          <w:p>
            <w:pPr>
              <w:ind w:firstLine="480"/>
              <w:rPr>
                <w:color w:val="auto"/>
              </w:rPr>
            </w:pPr>
            <w:r>
              <w:rPr>
                <w:rFonts w:hint="eastAsia"/>
                <w:color w:val="auto"/>
              </w:rPr>
              <w:t>项目排放的污染物符合国家规定的污染物排放标准和主要污染物排放总量控制指标；项目运营符合建设项目所在地环境功能区划确定的环境质量要求。</w:t>
            </w:r>
          </w:p>
          <w:p>
            <w:pPr>
              <w:ind w:firstLine="480"/>
              <w:rPr>
                <w:color w:val="auto"/>
              </w:rPr>
            </w:pPr>
            <w:r>
              <w:rPr>
                <w:rFonts w:hint="eastAsia"/>
                <w:color w:val="auto"/>
              </w:rPr>
              <w:t>项目实施过程中，企业应加强环境质量管理，认真落实环境保护措施，采取相应的污染防治措施，能使废气、噪声达标排放，在采取环评提出的各项措施后，本项目的建设对环境影响较小，不会改变当地环境质量现状。</w:t>
            </w:r>
          </w:p>
          <w:p>
            <w:pPr>
              <w:ind w:firstLine="480"/>
              <w:rPr>
                <w:color w:val="auto"/>
              </w:rPr>
            </w:pPr>
            <w:r>
              <w:rPr>
                <w:rFonts w:hint="eastAsia"/>
                <w:color w:val="auto"/>
              </w:rPr>
              <w:t>从环境保护角度看，采取本次环评提出的各项措施后，本项目的建设是可行的。</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0" w:firstLineChars="0"/>
              <w:rPr>
                <w:rFonts w:ascii="宋体" w:cs="宋体"/>
                <w:color w:val="auto"/>
              </w:rPr>
            </w:pPr>
            <w:r>
              <w:rPr>
                <w:rFonts w:hint="eastAsia" w:ascii="宋体" w:cs="宋体"/>
                <w:color w:val="auto"/>
              </w:rPr>
              <w:t xml:space="preserve">   </w:t>
            </w:r>
          </w:p>
        </w:tc>
      </w:tr>
    </w:tbl>
    <w:p>
      <w:pPr>
        <w:ind w:firstLine="480"/>
        <w:rPr>
          <w:rFonts w:ascii="宋体"/>
          <w:color w:val="auto"/>
        </w:rPr>
        <w:sectPr>
          <w:pgSz w:w="11906" w:h="16838"/>
          <w:pgMar w:top="1701" w:right="1531" w:bottom="1701" w:left="1531" w:header="850" w:footer="851" w:gutter="0"/>
          <w:cols w:space="720" w:num="1"/>
          <w:docGrid w:linePitch="326" w:charSpace="0"/>
        </w:sectPr>
      </w:pPr>
    </w:p>
    <w:p>
      <w:pPr>
        <w:pStyle w:val="52"/>
        <w:spacing w:line="240" w:lineRule="auto"/>
        <w:jc w:val="left"/>
        <w:rPr>
          <w:color w:val="auto"/>
        </w:rPr>
      </w:pPr>
      <w:bookmarkStart w:id="16" w:name="_Toc103860799"/>
      <w:r>
        <w:rPr>
          <w:rFonts w:hint="eastAsia"/>
          <w:color w:val="auto"/>
        </w:rPr>
        <w:t>附表</w:t>
      </w:r>
      <w:bookmarkEnd w:id="15"/>
      <w:bookmarkEnd w:id="16"/>
    </w:p>
    <w:p>
      <w:pPr>
        <w:pStyle w:val="118"/>
        <w:rPr>
          <w:color w:val="auto"/>
        </w:rPr>
      </w:pPr>
      <w:bookmarkStart w:id="17" w:name="_Toc103860800"/>
      <w:r>
        <w:rPr>
          <w:rFonts w:hint="eastAsia"/>
          <w:color w:val="auto"/>
        </w:rPr>
        <w:t>建设项目污染物排放量汇总表</w:t>
      </w:r>
      <w:bookmarkEnd w:id="17"/>
    </w:p>
    <w:p>
      <w:pPr>
        <w:pStyle w:val="66"/>
        <w:jc w:val="right"/>
        <w:rPr>
          <w:color w:val="auto"/>
        </w:rPr>
      </w:pPr>
      <w:r>
        <w:rPr>
          <w:color w:val="auto"/>
        </w:rPr>
        <w:t>单位</w:t>
      </w:r>
      <w:r>
        <w:rPr>
          <w:rFonts w:hint="eastAsia"/>
          <w:color w:val="auto"/>
        </w:rPr>
        <w:t>：</w:t>
      </w:r>
      <w:r>
        <w:rPr>
          <w:color w:val="auto"/>
        </w:rPr>
        <w:t>t/a</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973"/>
        <w:gridCol w:w="1872"/>
        <w:gridCol w:w="1359"/>
        <w:gridCol w:w="1656"/>
        <w:gridCol w:w="1656"/>
        <w:gridCol w:w="1656"/>
        <w:gridCol w:w="1657"/>
        <w:gridCol w:w="13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95" w:type="pct"/>
            <w:tcBorders>
              <w:tl2br w:val="single" w:color="auto" w:sz="4" w:space="0"/>
            </w:tcBorders>
            <w:tcMar>
              <w:left w:w="28" w:type="dxa"/>
              <w:right w:w="28" w:type="dxa"/>
            </w:tcMar>
            <w:vAlign w:val="center"/>
          </w:tcPr>
          <w:p>
            <w:pPr>
              <w:pStyle w:val="63"/>
              <w:jc w:val="right"/>
              <w:rPr>
                <w:snapToGrid w:val="0"/>
                <w:color w:val="auto"/>
              </w:rPr>
            </w:pPr>
            <w:r>
              <w:rPr>
                <w:rFonts w:hint="eastAsia"/>
                <w:snapToGrid w:val="0"/>
                <w:color w:val="auto"/>
              </w:rPr>
              <w:t>项目</w:t>
            </w:r>
          </w:p>
          <w:p>
            <w:pPr>
              <w:pStyle w:val="63"/>
              <w:rPr>
                <w:snapToGrid w:val="0"/>
                <w:color w:val="auto"/>
              </w:rPr>
            </w:pPr>
          </w:p>
          <w:p>
            <w:pPr>
              <w:pStyle w:val="63"/>
              <w:rPr>
                <w:snapToGrid w:val="0"/>
                <w:color w:val="auto"/>
              </w:rPr>
            </w:pPr>
          </w:p>
          <w:p>
            <w:pPr>
              <w:pStyle w:val="63"/>
              <w:jc w:val="left"/>
              <w:rPr>
                <w:snapToGrid w:val="0"/>
                <w:color w:val="auto"/>
              </w:rPr>
            </w:pPr>
            <w:r>
              <w:rPr>
                <w:rFonts w:hint="eastAsia"/>
                <w:snapToGrid w:val="0"/>
                <w:color w:val="auto"/>
              </w:rPr>
              <w:t>分类</w:t>
            </w:r>
          </w:p>
        </w:tc>
        <w:tc>
          <w:tcPr>
            <w:tcW w:w="704" w:type="pct"/>
            <w:tcMar>
              <w:left w:w="28" w:type="dxa"/>
              <w:right w:w="28" w:type="dxa"/>
            </w:tcMar>
            <w:vAlign w:val="center"/>
          </w:tcPr>
          <w:p>
            <w:pPr>
              <w:pStyle w:val="63"/>
              <w:rPr>
                <w:snapToGrid w:val="0"/>
                <w:color w:val="auto"/>
              </w:rPr>
            </w:pPr>
            <w:r>
              <w:rPr>
                <w:rFonts w:hint="eastAsia"/>
                <w:snapToGrid w:val="0"/>
                <w:color w:val="auto"/>
              </w:rPr>
              <w:t>污染物名称</w:t>
            </w:r>
          </w:p>
        </w:tc>
        <w:tc>
          <w:tcPr>
            <w:tcW w:w="668" w:type="pct"/>
            <w:tcMar>
              <w:left w:w="28" w:type="dxa"/>
              <w:right w:w="28" w:type="dxa"/>
            </w:tcMar>
            <w:vAlign w:val="center"/>
          </w:tcPr>
          <w:p>
            <w:pPr>
              <w:pStyle w:val="63"/>
              <w:rPr>
                <w:snapToGrid w:val="0"/>
                <w:color w:val="auto"/>
              </w:rPr>
            </w:pPr>
            <w:r>
              <w:rPr>
                <w:snapToGrid w:val="0"/>
                <w:color w:val="auto"/>
              </w:rPr>
              <w:t>现有工程排放量（固</w:t>
            </w:r>
            <w:r>
              <w:rPr>
                <w:rFonts w:hint="eastAsia"/>
                <w:snapToGrid w:val="0"/>
                <w:color w:val="auto"/>
              </w:rPr>
              <w:t>体</w:t>
            </w:r>
            <w:r>
              <w:rPr>
                <w:snapToGrid w:val="0"/>
                <w:color w:val="auto"/>
              </w:rPr>
              <w:t>废</w:t>
            </w:r>
            <w:r>
              <w:rPr>
                <w:rFonts w:hint="eastAsia"/>
                <w:snapToGrid w:val="0"/>
                <w:color w:val="auto"/>
              </w:rPr>
              <w:t>物</w:t>
            </w:r>
            <w:r>
              <w:rPr>
                <w:snapToGrid w:val="0"/>
                <w:color w:val="auto"/>
              </w:rPr>
              <w:t>产生量）</w:t>
            </w:r>
            <w:r>
              <w:rPr>
                <w:snapToGrid w:val="0"/>
                <w:color w:val="auto"/>
              </w:rPr>
              <w:fldChar w:fldCharType="begin"/>
            </w:r>
            <w:r>
              <w:rPr>
                <w:snapToGrid w:val="0"/>
                <w:color w:val="auto"/>
              </w:rPr>
              <w:instrText xml:space="preserve"> = 1 \* GB3 \* MERGEFORMAT </w:instrText>
            </w:r>
            <w:r>
              <w:rPr>
                <w:snapToGrid w:val="0"/>
                <w:color w:val="auto"/>
              </w:rPr>
              <w:fldChar w:fldCharType="separate"/>
            </w:r>
            <w:r>
              <w:rPr>
                <w:rFonts w:hint="eastAsia"/>
                <w:color w:val="auto"/>
              </w:rPr>
              <w:t>①</w:t>
            </w:r>
            <w:r>
              <w:rPr>
                <w:snapToGrid w:val="0"/>
                <w:color w:val="auto"/>
              </w:rPr>
              <w:fldChar w:fldCharType="end"/>
            </w:r>
          </w:p>
        </w:tc>
        <w:tc>
          <w:tcPr>
            <w:tcW w:w="485" w:type="pct"/>
            <w:tcMar>
              <w:left w:w="28" w:type="dxa"/>
              <w:right w:w="28" w:type="dxa"/>
            </w:tcMar>
            <w:vAlign w:val="center"/>
          </w:tcPr>
          <w:p>
            <w:pPr>
              <w:pStyle w:val="63"/>
              <w:rPr>
                <w:snapToGrid w:val="0"/>
                <w:color w:val="auto"/>
              </w:rPr>
            </w:pPr>
            <w:r>
              <w:rPr>
                <w:snapToGrid w:val="0"/>
                <w:color w:val="auto"/>
              </w:rPr>
              <w:t>现有工程</w:t>
            </w:r>
          </w:p>
          <w:p>
            <w:pPr>
              <w:pStyle w:val="63"/>
              <w:rPr>
                <w:snapToGrid w:val="0"/>
                <w:color w:val="auto"/>
              </w:rPr>
            </w:pPr>
            <w:r>
              <w:rPr>
                <w:snapToGrid w:val="0"/>
                <w:color w:val="auto"/>
              </w:rPr>
              <w:t>许可排放量</w:t>
            </w:r>
          </w:p>
          <w:p>
            <w:pPr>
              <w:pStyle w:val="63"/>
              <w:rPr>
                <w:snapToGrid w:val="0"/>
                <w:color w:val="auto"/>
              </w:rPr>
            </w:pPr>
            <w:r>
              <w:rPr>
                <w:snapToGrid w:val="0"/>
                <w:color w:val="auto"/>
              </w:rPr>
              <w:fldChar w:fldCharType="begin"/>
            </w:r>
            <w:r>
              <w:rPr>
                <w:snapToGrid w:val="0"/>
                <w:color w:val="auto"/>
              </w:rPr>
              <w:instrText xml:space="preserve"> = 2 \* GB3 \* MERGEFORMAT </w:instrText>
            </w:r>
            <w:r>
              <w:rPr>
                <w:snapToGrid w:val="0"/>
                <w:color w:val="auto"/>
              </w:rPr>
              <w:fldChar w:fldCharType="separate"/>
            </w:r>
            <w:r>
              <w:rPr>
                <w:rFonts w:hint="eastAsia"/>
                <w:snapToGrid w:val="0"/>
                <w:color w:val="auto"/>
              </w:rPr>
              <w:t>②</w:t>
            </w:r>
            <w:r>
              <w:rPr>
                <w:snapToGrid w:val="0"/>
                <w:color w:val="auto"/>
              </w:rPr>
              <w:fldChar w:fldCharType="end"/>
            </w:r>
          </w:p>
        </w:tc>
        <w:tc>
          <w:tcPr>
            <w:tcW w:w="591" w:type="pct"/>
            <w:tcMar>
              <w:left w:w="28" w:type="dxa"/>
              <w:right w:w="28" w:type="dxa"/>
            </w:tcMar>
            <w:vAlign w:val="center"/>
          </w:tcPr>
          <w:p>
            <w:pPr>
              <w:pStyle w:val="63"/>
              <w:rPr>
                <w:snapToGrid w:val="0"/>
                <w:color w:val="auto"/>
              </w:rPr>
            </w:pPr>
            <w:r>
              <w:rPr>
                <w:snapToGrid w:val="0"/>
                <w:color w:val="auto"/>
              </w:rPr>
              <w:t>在建工程排放量（固</w:t>
            </w:r>
            <w:r>
              <w:rPr>
                <w:rFonts w:hint="eastAsia"/>
                <w:snapToGrid w:val="0"/>
                <w:color w:val="auto"/>
              </w:rPr>
              <w:t>体</w:t>
            </w:r>
            <w:r>
              <w:rPr>
                <w:snapToGrid w:val="0"/>
                <w:color w:val="auto"/>
              </w:rPr>
              <w:t>废</w:t>
            </w:r>
            <w:r>
              <w:rPr>
                <w:rFonts w:hint="eastAsia"/>
                <w:snapToGrid w:val="0"/>
                <w:color w:val="auto"/>
              </w:rPr>
              <w:t>物</w:t>
            </w:r>
            <w:r>
              <w:rPr>
                <w:snapToGrid w:val="0"/>
                <w:color w:val="auto"/>
              </w:rPr>
              <w:t>产生量）</w:t>
            </w:r>
            <w:r>
              <w:rPr>
                <w:snapToGrid w:val="0"/>
                <w:color w:val="auto"/>
              </w:rPr>
              <w:fldChar w:fldCharType="begin"/>
            </w:r>
            <w:r>
              <w:rPr>
                <w:snapToGrid w:val="0"/>
                <w:color w:val="auto"/>
              </w:rPr>
              <w:instrText xml:space="preserve"> = 3 \* GB3 \* MERGEFORMAT </w:instrText>
            </w:r>
            <w:r>
              <w:rPr>
                <w:snapToGrid w:val="0"/>
                <w:color w:val="auto"/>
              </w:rPr>
              <w:fldChar w:fldCharType="separate"/>
            </w:r>
            <w:r>
              <w:rPr>
                <w:rFonts w:hint="eastAsia"/>
                <w:color w:val="auto"/>
              </w:rPr>
              <w:t>③</w:t>
            </w:r>
            <w:r>
              <w:rPr>
                <w:snapToGrid w:val="0"/>
                <w:color w:val="auto"/>
              </w:rPr>
              <w:fldChar w:fldCharType="end"/>
            </w:r>
          </w:p>
        </w:tc>
        <w:tc>
          <w:tcPr>
            <w:tcW w:w="591" w:type="pct"/>
            <w:tcMar>
              <w:left w:w="28" w:type="dxa"/>
              <w:right w:w="28" w:type="dxa"/>
            </w:tcMar>
            <w:vAlign w:val="center"/>
          </w:tcPr>
          <w:p>
            <w:pPr>
              <w:pStyle w:val="63"/>
              <w:rPr>
                <w:snapToGrid w:val="0"/>
                <w:color w:val="auto"/>
              </w:rPr>
            </w:pPr>
            <w:r>
              <w:rPr>
                <w:snapToGrid w:val="0"/>
                <w:color w:val="auto"/>
              </w:rPr>
              <w:t>本项目排放量（固</w:t>
            </w:r>
            <w:r>
              <w:rPr>
                <w:rFonts w:hint="eastAsia"/>
                <w:snapToGrid w:val="0"/>
                <w:color w:val="auto"/>
              </w:rPr>
              <w:t>体</w:t>
            </w:r>
            <w:r>
              <w:rPr>
                <w:snapToGrid w:val="0"/>
                <w:color w:val="auto"/>
              </w:rPr>
              <w:t>废</w:t>
            </w:r>
            <w:r>
              <w:rPr>
                <w:rFonts w:hint="eastAsia"/>
                <w:snapToGrid w:val="0"/>
                <w:color w:val="auto"/>
              </w:rPr>
              <w:t>物</w:t>
            </w:r>
            <w:r>
              <w:rPr>
                <w:snapToGrid w:val="0"/>
                <w:color w:val="auto"/>
              </w:rPr>
              <w:t>产生量）</w:t>
            </w:r>
            <w:r>
              <w:rPr>
                <w:snapToGrid w:val="0"/>
                <w:color w:val="auto"/>
              </w:rPr>
              <w:fldChar w:fldCharType="begin"/>
            </w:r>
            <w:r>
              <w:rPr>
                <w:snapToGrid w:val="0"/>
                <w:color w:val="auto"/>
              </w:rPr>
              <w:instrText xml:space="preserve"> = 4 \* GB3 \* MERGEFORMAT </w:instrText>
            </w:r>
            <w:r>
              <w:rPr>
                <w:snapToGrid w:val="0"/>
                <w:color w:val="auto"/>
              </w:rPr>
              <w:fldChar w:fldCharType="separate"/>
            </w:r>
            <w:r>
              <w:rPr>
                <w:rFonts w:hint="eastAsia"/>
                <w:color w:val="auto"/>
              </w:rPr>
              <w:t>④</w:t>
            </w:r>
            <w:r>
              <w:rPr>
                <w:snapToGrid w:val="0"/>
                <w:color w:val="auto"/>
              </w:rPr>
              <w:fldChar w:fldCharType="end"/>
            </w:r>
          </w:p>
        </w:tc>
        <w:tc>
          <w:tcPr>
            <w:tcW w:w="591" w:type="pct"/>
            <w:tcMar>
              <w:left w:w="28" w:type="dxa"/>
              <w:right w:w="28" w:type="dxa"/>
            </w:tcMar>
            <w:vAlign w:val="center"/>
          </w:tcPr>
          <w:p>
            <w:pPr>
              <w:pStyle w:val="63"/>
              <w:rPr>
                <w:snapToGrid w:val="0"/>
                <w:color w:val="auto"/>
                <w:spacing w:val="-16"/>
              </w:rPr>
            </w:pPr>
            <w:r>
              <w:rPr>
                <w:snapToGrid w:val="0"/>
                <w:color w:val="auto"/>
                <w:spacing w:val="-16"/>
              </w:rPr>
              <w:t>以新带老削减量</w:t>
            </w:r>
          </w:p>
          <w:p>
            <w:pPr>
              <w:pStyle w:val="63"/>
              <w:rPr>
                <w:snapToGrid w:val="0"/>
                <w:color w:val="auto"/>
                <w:spacing w:val="-16"/>
              </w:rPr>
            </w:pPr>
            <w:r>
              <w:rPr>
                <w:snapToGrid w:val="0"/>
                <w:color w:val="auto"/>
                <w:spacing w:val="-16"/>
              </w:rPr>
              <w:t>（新建项目不填）</w:t>
            </w:r>
            <w:r>
              <w:rPr>
                <w:snapToGrid w:val="0"/>
                <w:color w:val="auto"/>
                <w:spacing w:val="-16"/>
              </w:rPr>
              <w:fldChar w:fldCharType="begin"/>
            </w:r>
            <w:r>
              <w:rPr>
                <w:snapToGrid w:val="0"/>
                <w:color w:val="auto"/>
                <w:spacing w:val="-16"/>
              </w:rPr>
              <w:instrText xml:space="preserve"> = 5 \* GB3 \* MERGEFORMAT </w:instrText>
            </w:r>
            <w:r>
              <w:rPr>
                <w:snapToGrid w:val="0"/>
                <w:color w:val="auto"/>
                <w:spacing w:val="-16"/>
              </w:rPr>
              <w:fldChar w:fldCharType="separate"/>
            </w:r>
            <w:r>
              <w:rPr>
                <w:rFonts w:hint="eastAsia"/>
                <w:color w:val="auto"/>
              </w:rPr>
              <w:t>⑤</w:t>
            </w:r>
            <w:r>
              <w:rPr>
                <w:snapToGrid w:val="0"/>
                <w:color w:val="auto"/>
                <w:spacing w:val="-16"/>
              </w:rPr>
              <w:fldChar w:fldCharType="end"/>
            </w:r>
          </w:p>
        </w:tc>
        <w:tc>
          <w:tcPr>
            <w:tcW w:w="591" w:type="pct"/>
            <w:tcMar>
              <w:left w:w="28" w:type="dxa"/>
              <w:right w:w="28" w:type="dxa"/>
            </w:tcMar>
            <w:vAlign w:val="center"/>
          </w:tcPr>
          <w:p>
            <w:pPr>
              <w:pStyle w:val="63"/>
              <w:rPr>
                <w:snapToGrid w:val="0"/>
                <w:color w:val="auto"/>
                <w:spacing w:val="-16"/>
              </w:rPr>
            </w:pPr>
            <w:r>
              <w:rPr>
                <w:snapToGrid w:val="0"/>
                <w:color w:val="auto"/>
                <w:spacing w:val="-16"/>
              </w:rPr>
              <w:t>本项目建成后</w:t>
            </w:r>
            <w:r>
              <w:rPr>
                <w:rFonts w:hint="eastAsia"/>
                <w:snapToGrid w:val="0"/>
                <w:color w:val="auto"/>
                <w:spacing w:val="-16"/>
              </w:rPr>
              <w:t>全厂</w:t>
            </w:r>
            <w:r>
              <w:rPr>
                <w:snapToGrid w:val="0"/>
                <w:color w:val="auto"/>
                <w:spacing w:val="-16"/>
              </w:rPr>
              <w:t>排放量（固</w:t>
            </w:r>
            <w:r>
              <w:rPr>
                <w:rFonts w:hint="eastAsia"/>
                <w:snapToGrid w:val="0"/>
                <w:color w:val="auto"/>
                <w:spacing w:val="-16"/>
              </w:rPr>
              <w:t>体</w:t>
            </w:r>
            <w:r>
              <w:rPr>
                <w:snapToGrid w:val="0"/>
                <w:color w:val="auto"/>
                <w:spacing w:val="-16"/>
              </w:rPr>
              <w:t>废</w:t>
            </w:r>
            <w:r>
              <w:rPr>
                <w:rFonts w:hint="eastAsia"/>
                <w:snapToGrid w:val="0"/>
                <w:color w:val="auto"/>
                <w:spacing w:val="-16"/>
              </w:rPr>
              <w:t>物</w:t>
            </w:r>
            <w:r>
              <w:rPr>
                <w:snapToGrid w:val="0"/>
                <w:color w:val="auto"/>
                <w:spacing w:val="-16"/>
              </w:rPr>
              <w:t>产生量）</w:t>
            </w:r>
            <w:r>
              <w:rPr>
                <w:snapToGrid w:val="0"/>
                <w:color w:val="auto"/>
                <w:spacing w:val="-16"/>
              </w:rPr>
              <w:fldChar w:fldCharType="begin"/>
            </w:r>
            <w:r>
              <w:rPr>
                <w:snapToGrid w:val="0"/>
                <w:color w:val="auto"/>
                <w:spacing w:val="-16"/>
              </w:rPr>
              <w:instrText xml:space="preserve"> = 6 \* GB3 \* MERGEFORMAT </w:instrText>
            </w:r>
            <w:r>
              <w:rPr>
                <w:snapToGrid w:val="0"/>
                <w:color w:val="auto"/>
                <w:spacing w:val="-16"/>
              </w:rPr>
              <w:fldChar w:fldCharType="separate"/>
            </w:r>
            <w:r>
              <w:rPr>
                <w:rFonts w:hint="eastAsia"/>
                <w:color w:val="auto"/>
              </w:rPr>
              <w:t>⑥</w:t>
            </w:r>
            <w:r>
              <w:rPr>
                <w:snapToGrid w:val="0"/>
                <w:color w:val="auto"/>
                <w:spacing w:val="-16"/>
              </w:rPr>
              <w:fldChar w:fldCharType="end"/>
            </w:r>
          </w:p>
        </w:tc>
        <w:tc>
          <w:tcPr>
            <w:tcW w:w="484" w:type="pct"/>
            <w:tcMar>
              <w:left w:w="28" w:type="dxa"/>
              <w:right w:w="28" w:type="dxa"/>
            </w:tcMar>
            <w:vAlign w:val="center"/>
          </w:tcPr>
          <w:p>
            <w:pPr>
              <w:pStyle w:val="63"/>
              <w:rPr>
                <w:snapToGrid w:val="0"/>
                <w:color w:val="auto"/>
              </w:rPr>
            </w:pPr>
            <w:r>
              <w:rPr>
                <w:snapToGrid w:val="0"/>
                <w:color w:val="auto"/>
              </w:rPr>
              <w:t>变化量</w:t>
            </w:r>
            <w:r>
              <w:rPr>
                <w:snapToGrid w:val="0"/>
                <w:color w:val="auto"/>
              </w:rPr>
              <w:fldChar w:fldCharType="begin"/>
            </w:r>
            <w:r>
              <w:rPr>
                <w:snapToGrid w:val="0"/>
                <w:color w:val="auto"/>
              </w:rPr>
              <w:instrText xml:space="preserve"> = 7 \* GB3 \* MERGEFORMAT </w:instrText>
            </w:r>
            <w:r>
              <w:rPr>
                <w:snapToGrid w:val="0"/>
                <w:color w:val="auto"/>
              </w:rPr>
              <w:fldChar w:fldCharType="separate"/>
            </w:r>
            <w:r>
              <w:rPr>
                <w:rFonts w:hint="eastAsia"/>
                <w:color w:val="auto"/>
              </w:rPr>
              <w:t>⑦</w:t>
            </w:r>
            <w:r>
              <w:rPr>
                <w:snapToGrid w:val="0"/>
                <w:color w:val="auto"/>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restart"/>
            <w:vAlign w:val="center"/>
          </w:tcPr>
          <w:p>
            <w:pPr>
              <w:pStyle w:val="63"/>
              <w:rPr>
                <w:color w:val="auto"/>
              </w:rPr>
            </w:pPr>
            <w:r>
              <w:rPr>
                <w:rFonts w:hint="eastAsia"/>
                <w:color w:val="auto"/>
              </w:rPr>
              <w:t>废气</w:t>
            </w:r>
          </w:p>
        </w:tc>
        <w:tc>
          <w:tcPr>
            <w:tcW w:w="704" w:type="pct"/>
            <w:vAlign w:val="center"/>
          </w:tcPr>
          <w:p>
            <w:pPr>
              <w:pStyle w:val="63"/>
              <w:rPr>
                <w:rFonts w:hAnsi="宋体"/>
                <w:snapToGrid w:val="0"/>
                <w:color w:val="auto"/>
              </w:rPr>
            </w:pPr>
            <w:r>
              <w:rPr>
                <w:rFonts w:hint="eastAsia"/>
                <w:color w:val="auto"/>
              </w:rPr>
              <w:t>颗粒物</w:t>
            </w:r>
            <w:r>
              <w:rPr>
                <w:rFonts w:hint="eastAsia"/>
                <w:color w:val="auto"/>
                <w:lang w:eastAsia="zh-CN"/>
              </w:rPr>
              <w:t>（有组织）</w:t>
            </w:r>
          </w:p>
        </w:tc>
        <w:tc>
          <w:tcPr>
            <w:tcW w:w="668" w:type="pct"/>
            <w:vAlign w:val="center"/>
          </w:tcPr>
          <w:p>
            <w:pPr>
              <w:pStyle w:val="63"/>
              <w:rPr>
                <w:rFonts w:hAnsi="宋体"/>
                <w:snapToGrid w:val="0"/>
                <w:color w:val="auto"/>
              </w:rPr>
            </w:pPr>
            <w:r>
              <w:rPr>
                <w:color w:val="auto"/>
              </w:rPr>
              <w:t>4.7083</w:t>
            </w:r>
          </w:p>
        </w:tc>
        <w:tc>
          <w:tcPr>
            <w:tcW w:w="485" w:type="pct"/>
            <w:vAlign w:val="center"/>
          </w:tcPr>
          <w:p>
            <w:pPr>
              <w:pStyle w:val="63"/>
              <w:rPr>
                <w:rFonts w:hAnsi="宋体"/>
                <w:snapToGrid w:val="0"/>
                <w:color w:val="auto"/>
              </w:rPr>
            </w:pPr>
            <w:r>
              <w:rPr>
                <w:rFonts w:hAnsi="宋体"/>
                <w:snapToGrid w:val="0"/>
                <w:color w:val="auto"/>
                <w:lang w:val="en-US"/>
              </w:rPr>
              <w:t>5.3003</w:t>
            </w:r>
          </w:p>
        </w:tc>
        <w:tc>
          <w:tcPr>
            <w:tcW w:w="591" w:type="pct"/>
            <w:vAlign w:val="center"/>
          </w:tcPr>
          <w:p>
            <w:pPr>
              <w:pStyle w:val="63"/>
              <w:rPr>
                <w:rFonts w:hAnsi="宋体"/>
                <w:snapToGrid w:val="0"/>
                <w:color w:val="auto"/>
              </w:rPr>
            </w:pPr>
            <w:r>
              <w:rPr>
                <w:rFonts w:hAnsi="宋体"/>
                <w:snapToGrid w:val="0"/>
                <w:color w:val="auto"/>
                <w:lang w:val="en-US"/>
              </w:rPr>
              <w:t>0</w:t>
            </w:r>
          </w:p>
        </w:tc>
        <w:tc>
          <w:tcPr>
            <w:tcW w:w="591" w:type="pct"/>
            <w:vAlign w:val="center"/>
          </w:tcPr>
          <w:p>
            <w:pPr>
              <w:pStyle w:val="63"/>
              <w:rPr>
                <w:rFonts w:hAnsi="宋体"/>
                <w:snapToGrid w:val="0"/>
                <w:color w:val="auto"/>
                <w:lang w:eastAsia="zh-CN"/>
              </w:rPr>
            </w:pPr>
            <w:r>
              <w:rPr>
                <w:color w:val="auto"/>
              </w:rPr>
              <w:t>1.8</w:t>
            </w:r>
          </w:p>
        </w:tc>
        <w:tc>
          <w:tcPr>
            <w:tcW w:w="591" w:type="pct"/>
            <w:vAlign w:val="center"/>
          </w:tcPr>
          <w:p>
            <w:pPr>
              <w:pStyle w:val="63"/>
              <w:rPr>
                <w:rFonts w:hAnsi="宋体"/>
                <w:snapToGrid w:val="0"/>
                <w:color w:val="auto"/>
              </w:rPr>
            </w:pPr>
            <w:r>
              <w:rPr>
                <w:color w:val="auto"/>
                <w:lang w:val="en-US"/>
              </w:rPr>
              <w:t>1.88</w:t>
            </w:r>
          </w:p>
        </w:tc>
        <w:tc>
          <w:tcPr>
            <w:tcW w:w="591" w:type="pct"/>
            <w:vAlign w:val="center"/>
          </w:tcPr>
          <w:p>
            <w:pPr>
              <w:pStyle w:val="63"/>
              <w:rPr>
                <w:rFonts w:hAnsi="宋体"/>
                <w:snapToGrid w:val="0"/>
                <w:color w:val="auto"/>
                <w:lang w:eastAsia="zh-CN"/>
              </w:rPr>
            </w:pPr>
            <w:r>
              <w:rPr>
                <w:color w:val="auto"/>
              </w:rPr>
              <w:t>4.6283</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w:t>
            </w:r>
            <w:r>
              <w:rPr>
                <w:rFonts w:hAnsi="宋体"/>
                <w:snapToGrid w:val="0"/>
                <w:color w:val="auto"/>
                <w:lang w:eastAsia="zh-CN"/>
              </w:rPr>
              <w:t>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continue"/>
            <w:vAlign w:val="center"/>
          </w:tcPr>
          <w:p>
            <w:pPr>
              <w:pStyle w:val="63"/>
              <w:rPr>
                <w:color w:val="auto"/>
              </w:rPr>
            </w:pPr>
          </w:p>
        </w:tc>
        <w:tc>
          <w:tcPr>
            <w:tcW w:w="704" w:type="pct"/>
            <w:vAlign w:val="center"/>
          </w:tcPr>
          <w:p>
            <w:pPr>
              <w:pStyle w:val="63"/>
              <w:rPr>
                <w:rFonts w:hAnsi="宋体"/>
                <w:snapToGrid w:val="0"/>
                <w:color w:val="auto"/>
              </w:rPr>
            </w:pPr>
            <w:r>
              <w:rPr>
                <w:rFonts w:hint="eastAsia"/>
                <w:color w:val="auto"/>
              </w:rPr>
              <w:t>S</w:t>
            </w:r>
            <w:r>
              <w:rPr>
                <w:color w:val="auto"/>
              </w:rPr>
              <w:t>O</w:t>
            </w:r>
            <w:r>
              <w:rPr>
                <w:color w:val="auto"/>
                <w:vertAlign w:val="subscript"/>
              </w:rPr>
              <w:t>2</w:t>
            </w:r>
          </w:p>
        </w:tc>
        <w:tc>
          <w:tcPr>
            <w:tcW w:w="668" w:type="pct"/>
            <w:vAlign w:val="center"/>
          </w:tcPr>
          <w:p>
            <w:pPr>
              <w:pStyle w:val="63"/>
              <w:rPr>
                <w:rFonts w:hAnsi="宋体"/>
                <w:snapToGrid w:val="0"/>
                <w:color w:val="auto"/>
              </w:rPr>
            </w:pPr>
            <w:r>
              <w:rPr>
                <w:rFonts w:hint="eastAsia"/>
                <w:color w:val="auto"/>
              </w:rPr>
              <w:t>6</w:t>
            </w:r>
            <w:r>
              <w:rPr>
                <w:color w:val="auto"/>
              </w:rPr>
              <w:t>.498</w:t>
            </w:r>
          </w:p>
        </w:tc>
        <w:tc>
          <w:tcPr>
            <w:tcW w:w="485" w:type="pct"/>
            <w:vAlign w:val="center"/>
          </w:tcPr>
          <w:p>
            <w:pPr>
              <w:pStyle w:val="63"/>
              <w:rPr>
                <w:rFonts w:hAnsi="宋体"/>
                <w:snapToGrid w:val="0"/>
                <w:color w:val="auto"/>
              </w:rPr>
            </w:pPr>
            <w:r>
              <w:rPr>
                <w:rFonts w:hAnsi="宋体"/>
                <w:snapToGrid w:val="0"/>
                <w:color w:val="auto"/>
                <w:lang w:val="en-US"/>
              </w:rPr>
              <w:t>8.938</w:t>
            </w:r>
          </w:p>
        </w:tc>
        <w:tc>
          <w:tcPr>
            <w:tcW w:w="591" w:type="pct"/>
            <w:vAlign w:val="center"/>
          </w:tcPr>
          <w:p>
            <w:pPr>
              <w:pStyle w:val="63"/>
              <w:rPr>
                <w:rFonts w:hAnsi="宋体"/>
                <w:snapToGrid w:val="0"/>
                <w:color w:val="auto"/>
              </w:rPr>
            </w:pPr>
            <w:r>
              <w:rPr>
                <w:rFonts w:hAnsi="宋体"/>
                <w:snapToGrid w:val="0"/>
                <w:color w:val="auto"/>
                <w:lang w:val="en-US"/>
              </w:rPr>
              <w:t>0</w:t>
            </w:r>
          </w:p>
        </w:tc>
        <w:tc>
          <w:tcPr>
            <w:tcW w:w="591" w:type="pct"/>
            <w:vAlign w:val="center"/>
          </w:tcPr>
          <w:p>
            <w:pPr>
              <w:pStyle w:val="63"/>
              <w:rPr>
                <w:rFonts w:hAnsi="宋体"/>
                <w:snapToGrid w:val="0"/>
                <w:color w:val="auto"/>
                <w:lang w:eastAsia="zh-CN"/>
              </w:rPr>
            </w:pPr>
            <w:r>
              <w:rPr>
                <w:color w:val="auto"/>
              </w:rPr>
              <w:t>2.534</w:t>
            </w:r>
          </w:p>
        </w:tc>
        <w:tc>
          <w:tcPr>
            <w:tcW w:w="591" w:type="pct"/>
            <w:vAlign w:val="center"/>
          </w:tcPr>
          <w:p>
            <w:pPr>
              <w:pStyle w:val="63"/>
              <w:rPr>
                <w:rFonts w:hAnsi="宋体"/>
                <w:snapToGrid w:val="0"/>
                <w:color w:val="auto"/>
              </w:rPr>
            </w:pPr>
            <w:r>
              <w:rPr>
                <w:color w:val="auto"/>
                <w:lang w:val="en-US"/>
              </w:rPr>
              <w:t>5.85</w:t>
            </w:r>
          </w:p>
        </w:tc>
        <w:tc>
          <w:tcPr>
            <w:tcW w:w="591" w:type="pct"/>
            <w:vAlign w:val="center"/>
          </w:tcPr>
          <w:p>
            <w:pPr>
              <w:pStyle w:val="63"/>
              <w:rPr>
                <w:rFonts w:hAnsi="宋体"/>
                <w:snapToGrid w:val="0"/>
                <w:color w:val="auto"/>
                <w:lang w:eastAsia="zh-CN"/>
              </w:rPr>
            </w:pPr>
            <w:r>
              <w:rPr>
                <w:color w:val="auto"/>
              </w:rPr>
              <w:t>3.182</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w:t>
            </w:r>
            <w:r>
              <w:rPr>
                <w:rFonts w:hAnsi="宋体"/>
                <w:snapToGrid w:val="0"/>
                <w:color w:val="auto"/>
                <w:lang w:eastAsia="zh-CN"/>
              </w:rPr>
              <w:t>3.316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continue"/>
            <w:vAlign w:val="center"/>
          </w:tcPr>
          <w:p>
            <w:pPr>
              <w:pStyle w:val="63"/>
              <w:rPr>
                <w:color w:val="auto"/>
              </w:rPr>
            </w:pPr>
          </w:p>
        </w:tc>
        <w:tc>
          <w:tcPr>
            <w:tcW w:w="704" w:type="pct"/>
            <w:vAlign w:val="center"/>
          </w:tcPr>
          <w:p>
            <w:pPr>
              <w:pStyle w:val="63"/>
              <w:rPr>
                <w:rFonts w:hAnsi="宋体"/>
                <w:snapToGrid w:val="0"/>
                <w:color w:val="auto"/>
                <w:lang w:eastAsia="zh-CN"/>
              </w:rPr>
            </w:pPr>
            <w:r>
              <w:rPr>
                <w:rFonts w:hint="eastAsia"/>
                <w:color w:val="auto"/>
              </w:rPr>
              <w:t>N</w:t>
            </w:r>
            <w:r>
              <w:rPr>
                <w:color w:val="auto"/>
              </w:rPr>
              <w:t>O</w:t>
            </w:r>
            <w:r>
              <w:rPr>
                <w:rFonts w:hint="eastAsia"/>
                <w:color w:val="auto"/>
              </w:rPr>
              <w:t>x</w:t>
            </w:r>
          </w:p>
        </w:tc>
        <w:tc>
          <w:tcPr>
            <w:tcW w:w="668" w:type="pct"/>
            <w:vAlign w:val="center"/>
          </w:tcPr>
          <w:p>
            <w:pPr>
              <w:pStyle w:val="63"/>
              <w:rPr>
                <w:rFonts w:hAnsi="宋体"/>
                <w:snapToGrid w:val="0"/>
                <w:color w:val="auto"/>
              </w:rPr>
            </w:pPr>
            <w:r>
              <w:rPr>
                <w:rFonts w:hint="eastAsia"/>
                <w:color w:val="auto"/>
              </w:rPr>
              <w:t>3</w:t>
            </w:r>
            <w:r>
              <w:rPr>
                <w:color w:val="auto"/>
              </w:rPr>
              <w:t>6.399</w:t>
            </w:r>
          </w:p>
        </w:tc>
        <w:tc>
          <w:tcPr>
            <w:tcW w:w="485" w:type="pct"/>
            <w:vAlign w:val="center"/>
          </w:tcPr>
          <w:p>
            <w:pPr>
              <w:pStyle w:val="63"/>
              <w:rPr>
                <w:rFonts w:hAnsi="宋体"/>
                <w:snapToGrid w:val="0"/>
                <w:color w:val="auto"/>
              </w:rPr>
            </w:pPr>
            <w:r>
              <w:rPr>
                <w:rFonts w:hAnsi="宋体"/>
                <w:snapToGrid w:val="0"/>
                <w:color w:val="auto"/>
                <w:lang w:val="en-US"/>
              </w:rPr>
              <w:t>213.128</w:t>
            </w:r>
          </w:p>
        </w:tc>
        <w:tc>
          <w:tcPr>
            <w:tcW w:w="591" w:type="pct"/>
            <w:vAlign w:val="center"/>
          </w:tcPr>
          <w:p>
            <w:pPr>
              <w:pStyle w:val="63"/>
              <w:rPr>
                <w:rFonts w:hAnsi="宋体"/>
                <w:snapToGrid w:val="0"/>
                <w:color w:val="auto"/>
              </w:rPr>
            </w:pPr>
            <w:r>
              <w:rPr>
                <w:rFonts w:hAnsi="宋体"/>
                <w:snapToGrid w:val="0"/>
                <w:color w:val="auto"/>
                <w:lang w:val="en-US"/>
              </w:rPr>
              <w:t>0</w:t>
            </w:r>
          </w:p>
        </w:tc>
        <w:tc>
          <w:tcPr>
            <w:tcW w:w="591" w:type="pct"/>
            <w:vAlign w:val="center"/>
          </w:tcPr>
          <w:p>
            <w:pPr>
              <w:pStyle w:val="63"/>
              <w:rPr>
                <w:rFonts w:hAnsi="宋体"/>
                <w:snapToGrid w:val="0"/>
                <w:color w:val="auto"/>
                <w:lang w:eastAsia="zh-CN"/>
              </w:rPr>
            </w:pPr>
            <w:r>
              <w:rPr>
                <w:color w:val="auto"/>
              </w:rPr>
              <w:t>9.408</w:t>
            </w:r>
          </w:p>
        </w:tc>
        <w:tc>
          <w:tcPr>
            <w:tcW w:w="591" w:type="pct"/>
            <w:vAlign w:val="center"/>
          </w:tcPr>
          <w:p>
            <w:pPr>
              <w:pStyle w:val="63"/>
              <w:rPr>
                <w:rFonts w:hAnsi="宋体"/>
                <w:snapToGrid w:val="0"/>
                <w:color w:val="auto"/>
              </w:rPr>
            </w:pPr>
            <w:r>
              <w:rPr>
                <w:color w:val="auto"/>
                <w:lang w:val="en-US"/>
              </w:rPr>
              <w:t>7.5</w:t>
            </w:r>
          </w:p>
        </w:tc>
        <w:tc>
          <w:tcPr>
            <w:tcW w:w="591" w:type="pct"/>
            <w:vAlign w:val="center"/>
          </w:tcPr>
          <w:p>
            <w:pPr>
              <w:pStyle w:val="63"/>
              <w:rPr>
                <w:rFonts w:hAnsi="宋体"/>
                <w:snapToGrid w:val="0"/>
                <w:color w:val="auto"/>
                <w:lang w:eastAsia="zh-CN"/>
              </w:rPr>
            </w:pPr>
            <w:r>
              <w:rPr>
                <w:color w:val="auto"/>
              </w:rPr>
              <w:t>38.307</w:t>
            </w:r>
          </w:p>
        </w:tc>
        <w:tc>
          <w:tcPr>
            <w:tcW w:w="484" w:type="pct"/>
            <w:vAlign w:val="center"/>
          </w:tcPr>
          <w:p>
            <w:pPr>
              <w:pStyle w:val="63"/>
              <w:rPr>
                <w:rFonts w:hAnsi="宋体"/>
                <w:snapToGrid w:val="0"/>
                <w:color w:val="auto"/>
                <w:lang w:eastAsia="zh-CN"/>
              </w:rPr>
            </w:pPr>
            <w:r>
              <w:rPr>
                <w:rFonts w:hAnsi="宋体"/>
                <w:snapToGrid w:val="0"/>
                <w:color w:val="auto"/>
                <w:lang w:eastAsia="zh-CN"/>
              </w:rPr>
              <w:t>+1.908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continue"/>
            <w:vAlign w:val="center"/>
          </w:tcPr>
          <w:p>
            <w:pPr>
              <w:pStyle w:val="63"/>
              <w:rPr>
                <w:color w:val="auto"/>
              </w:rPr>
            </w:pPr>
          </w:p>
        </w:tc>
        <w:tc>
          <w:tcPr>
            <w:tcW w:w="704" w:type="pct"/>
            <w:vAlign w:val="center"/>
          </w:tcPr>
          <w:p>
            <w:pPr>
              <w:pStyle w:val="63"/>
              <w:rPr>
                <w:rFonts w:hAnsi="宋体"/>
                <w:snapToGrid w:val="0"/>
                <w:color w:val="auto"/>
                <w:lang w:eastAsia="zh-CN"/>
              </w:rPr>
            </w:pPr>
            <w:r>
              <w:rPr>
                <w:rFonts w:hint="eastAsia"/>
                <w:color w:val="auto"/>
              </w:rPr>
              <w:t>氟化物</w:t>
            </w:r>
          </w:p>
        </w:tc>
        <w:tc>
          <w:tcPr>
            <w:tcW w:w="668" w:type="pct"/>
            <w:vAlign w:val="center"/>
          </w:tcPr>
          <w:p>
            <w:pPr>
              <w:pStyle w:val="63"/>
              <w:rPr>
                <w:rFonts w:hAnsi="宋体"/>
                <w:snapToGrid w:val="0"/>
                <w:color w:val="auto"/>
              </w:rPr>
            </w:pPr>
            <w:r>
              <w:rPr>
                <w:rFonts w:hint="eastAsia"/>
                <w:color w:val="auto"/>
              </w:rPr>
              <w:t>0</w:t>
            </w:r>
            <w:r>
              <w:rPr>
                <w:color w:val="auto"/>
              </w:rPr>
              <w:t>.071</w:t>
            </w:r>
          </w:p>
        </w:tc>
        <w:tc>
          <w:tcPr>
            <w:tcW w:w="485"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color w:val="auto"/>
              </w:rPr>
              <w:t>0</w:t>
            </w:r>
            <w:r>
              <w:rPr>
                <w:color w:val="auto"/>
              </w:rPr>
              <w:t>.071</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continue"/>
            <w:vAlign w:val="center"/>
          </w:tcPr>
          <w:p>
            <w:pPr>
              <w:pStyle w:val="63"/>
              <w:rPr>
                <w:color w:val="auto"/>
              </w:rPr>
            </w:pPr>
          </w:p>
        </w:tc>
        <w:tc>
          <w:tcPr>
            <w:tcW w:w="704" w:type="pct"/>
            <w:vAlign w:val="center"/>
          </w:tcPr>
          <w:p>
            <w:pPr>
              <w:pStyle w:val="63"/>
              <w:rPr>
                <w:rFonts w:hAnsi="宋体"/>
                <w:snapToGrid w:val="0"/>
                <w:color w:val="auto"/>
                <w:lang w:eastAsia="zh-CN"/>
              </w:rPr>
            </w:pPr>
            <w:r>
              <w:rPr>
                <w:rFonts w:hint="eastAsia"/>
                <w:color w:val="auto"/>
              </w:rPr>
              <w:t>硫酸雾</w:t>
            </w:r>
          </w:p>
        </w:tc>
        <w:tc>
          <w:tcPr>
            <w:tcW w:w="668" w:type="pct"/>
            <w:vAlign w:val="center"/>
          </w:tcPr>
          <w:p>
            <w:pPr>
              <w:pStyle w:val="63"/>
              <w:rPr>
                <w:rFonts w:hAnsi="宋体"/>
                <w:snapToGrid w:val="0"/>
                <w:color w:val="auto"/>
              </w:rPr>
            </w:pPr>
            <w:r>
              <w:rPr>
                <w:rFonts w:hint="eastAsia"/>
                <w:color w:val="auto"/>
              </w:rPr>
              <w:t>0</w:t>
            </w:r>
            <w:r>
              <w:rPr>
                <w:color w:val="auto"/>
              </w:rPr>
              <w:t>.247</w:t>
            </w:r>
          </w:p>
        </w:tc>
        <w:tc>
          <w:tcPr>
            <w:tcW w:w="485"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color w:val="auto"/>
              </w:rPr>
              <w:t>0</w:t>
            </w:r>
            <w:r>
              <w:rPr>
                <w:color w:val="auto"/>
              </w:rPr>
              <w:t>.247</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continue"/>
            <w:vAlign w:val="center"/>
          </w:tcPr>
          <w:p>
            <w:pPr>
              <w:pStyle w:val="63"/>
              <w:rPr>
                <w:color w:val="auto"/>
              </w:rPr>
            </w:pPr>
          </w:p>
        </w:tc>
        <w:tc>
          <w:tcPr>
            <w:tcW w:w="704" w:type="pct"/>
            <w:vAlign w:val="center"/>
          </w:tcPr>
          <w:p>
            <w:pPr>
              <w:pStyle w:val="63"/>
              <w:rPr>
                <w:rFonts w:hAnsi="宋体"/>
                <w:snapToGrid w:val="0"/>
                <w:color w:val="auto"/>
                <w:lang w:eastAsia="zh-CN"/>
              </w:rPr>
            </w:pPr>
            <w:r>
              <w:rPr>
                <w:rFonts w:hint="eastAsia"/>
                <w:color w:val="auto"/>
              </w:rPr>
              <w:t>硝酸雾</w:t>
            </w:r>
          </w:p>
        </w:tc>
        <w:tc>
          <w:tcPr>
            <w:tcW w:w="668" w:type="pct"/>
            <w:vAlign w:val="center"/>
          </w:tcPr>
          <w:p>
            <w:pPr>
              <w:pStyle w:val="63"/>
              <w:rPr>
                <w:rFonts w:hAnsi="宋体"/>
                <w:snapToGrid w:val="0"/>
                <w:color w:val="auto"/>
              </w:rPr>
            </w:pPr>
            <w:r>
              <w:rPr>
                <w:rFonts w:hint="eastAsia"/>
                <w:color w:val="auto"/>
              </w:rPr>
              <w:t>0</w:t>
            </w:r>
            <w:r>
              <w:rPr>
                <w:color w:val="auto"/>
              </w:rPr>
              <w:t>.985</w:t>
            </w:r>
          </w:p>
        </w:tc>
        <w:tc>
          <w:tcPr>
            <w:tcW w:w="485"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color w:val="auto"/>
              </w:rPr>
              <w:t>0</w:t>
            </w:r>
            <w:r>
              <w:rPr>
                <w:color w:val="auto"/>
              </w:rPr>
              <w:t>.985</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continue"/>
            <w:vAlign w:val="center"/>
          </w:tcPr>
          <w:p>
            <w:pPr>
              <w:pStyle w:val="63"/>
              <w:rPr>
                <w:color w:val="auto"/>
              </w:rPr>
            </w:pPr>
          </w:p>
        </w:tc>
        <w:tc>
          <w:tcPr>
            <w:tcW w:w="704" w:type="pct"/>
            <w:vAlign w:val="center"/>
          </w:tcPr>
          <w:p>
            <w:pPr>
              <w:pStyle w:val="63"/>
              <w:rPr>
                <w:color w:val="auto"/>
              </w:rPr>
            </w:pPr>
            <w:r>
              <w:rPr>
                <w:rFonts w:hint="eastAsia"/>
                <w:color w:val="auto"/>
              </w:rPr>
              <w:t>颗粒物</w:t>
            </w:r>
            <w:r>
              <w:rPr>
                <w:rFonts w:hint="eastAsia"/>
                <w:color w:val="auto"/>
                <w:lang w:eastAsia="zh-CN"/>
              </w:rPr>
              <w:t>（无组织）</w:t>
            </w:r>
          </w:p>
        </w:tc>
        <w:tc>
          <w:tcPr>
            <w:tcW w:w="668" w:type="pct"/>
            <w:vAlign w:val="center"/>
          </w:tcPr>
          <w:p>
            <w:pPr>
              <w:pStyle w:val="63"/>
              <w:rPr>
                <w:color w:val="auto"/>
                <w:lang w:eastAsia="zh-CN"/>
              </w:rPr>
            </w:pPr>
            <w:r>
              <w:rPr>
                <w:rFonts w:hint="eastAsia"/>
                <w:color w:val="auto"/>
                <w:lang w:eastAsia="zh-CN"/>
              </w:rPr>
              <w:t>5</w:t>
            </w:r>
            <w:r>
              <w:rPr>
                <w:color w:val="auto"/>
                <w:lang w:eastAsia="zh-CN"/>
              </w:rPr>
              <w:t>2.86</w:t>
            </w:r>
          </w:p>
        </w:tc>
        <w:tc>
          <w:tcPr>
            <w:tcW w:w="485"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color w:val="auto"/>
              </w:rPr>
            </w:pPr>
            <w:r>
              <w:rPr>
                <w:rFonts w:hint="eastAsia"/>
                <w:color w:val="auto"/>
                <w:lang w:eastAsia="zh-CN"/>
              </w:rPr>
              <w:t>5</w:t>
            </w:r>
            <w:r>
              <w:rPr>
                <w:color w:val="auto"/>
                <w:lang w:eastAsia="zh-CN"/>
              </w:rPr>
              <w:t>2.86</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restart"/>
            <w:vAlign w:val="center"/>
          </w:tcPr>
          <w:p>
            <w:pPr>
              <w:pStyle w:val="63"/>
              <w:rPr>
                <w:color w:val="auto"/>
              </w:rPr>
            </w:pPr>
            <w:r>
              <w:rPr>
                <w:rFonts w:hint="eastAsia"/>
                <w:color w:val="auto"/>
              </w:rPr>
              <w:t>废水</w:t>
            </w:r>
          </w:p>
        </w:tc>
        <w:tc>
          <w:tcPr>
            <w:tcW w:w="704" w:type="pct"/>
            <w:vAlign w:val="center"/>
          </w:tcPr>
          <w:p>
            <w:pPr>
              <w:pStyle w:val="63"/>
              <w:rPr>
                <w:snapToGrid w:val="0"/>
                <w:color w:val="auto"/>
              </w:rPr>
            </w:pPr>
            <w:r>
              <w:rPr>
                <w:rFonts w:hint="eastAsia"/>
                <w:snapToGrid w:val="0"/>
                <w:color w:val="auto"/>
              </w:rPr>
              <w:t>废水量</w:t>
            </w:r>
          </w:p>
        </w:tc>
        <w:tc>
          <w:tcPr>
            <w:tcW w:w="668"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485"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continue"/>
            <w:vAlign w:val="center"/>
          </w:tcPr>
          <w:p>
            <w:pPr>
              <w:pStyle w:val="63"/>
              <w:rPr>
                <w:color w:val="auto"/>
              </w:rPr>
            </w:pPr>
          </w:p>
        </w:tc>
        <w:tc>
          <w:tcPr>
            <w:tcW w:w="704" w:type="pct"/>
            <w:vAlign w:val="center"/>
          </w:tcPr>
          <w:p>
            <w:pPr>
              <w:pStyle w:val="63"/>
              <w:rPr>
                <w:snapToGrid w:val="0"/>
                <w:color w:val="auto"/>
              </w:rPr>
            </w:pPr>
            <w:r>
              <w:rPr>
                <w:rFonts w:hint="eastAsia"/>
                <w:snapToGrid w:val="0"/>
                <w:color w:val="auto"/>
              </w:rPr>
              <w:t>COD</w:t>
            </w:r>
            <w:r>
              <w:rPr>
                <w:rFonts w:hint="eastAsia"/>
                <w:snapToGrid w:val="0"/>
                <w:color w:val="auto"/>
                <w:vertAlign w:val="subscript"/>
              </w:rPr>
              <w:t>Cr</w:t>
            </w:r>
          </w:p>
        </w:tc>
        <w:tc>
          <w:tcPr>
            <w:tcW w:w="668"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485"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591" w:type="pct"/>
            <w:vAlign w:val="center"/>
          </w:tcPr>
          <w:p>
            <w:pPr>
              <w:pStyle w:val="63"/>
              <w:rPr>
                <w:rFonts w:hAnsi="宋体"/>
                <w:snapToGrid w:val="0"/>
                <w:color w:val="auto"/>
                <w:lang w:eastAsia="zh-CN"/>
              </w:rPr>
            </w:pPr>
            <w:r>
              <w:rPr>
                <w:rFonts w:hint="eastAsia" w:hAnsi="宋体"/>
                <w:snapToGrid w:val="0"/>
                <w:color w:val="auto"/>
                <w:lang w:eastAsia="zh-CN"/>
              </w:rPr>
              <w:t>0</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continue"/>
            <w:vAlign w:val="center"/>
          </w:tcPr>
          <w:p>
            <w:pPr>
              <w:pStyle w:val="63"/>
              <w:rPr>
                <w:color w:val="auto"/>
              </w:rPr>
            </w:pPr>
          </w:p>
        </w:tc>
        <w:tc>
          <w:tcPr>
            <w:tcW w:w="704" w:type="pct"/>
            <w:vAlign w:val="center"/>
          </w:tcPr>
          <w:p>
            <w:pPr>
              <w:pStyle w:val="63"/>
              <w:rPr>
                <w:color w:val="auto"/>
              </w:rPr>
            </w:pPr>
            <w:r>
              <w:rPr>
                <w:rFonts w:hint="eastAsia"/>
                <w:color w:val="auto"/>
              </w:rPr>
              <w:t>氨氮</w:t>
            </w:r>
          </w:p>
        </w:tc>
        <w:tc>
          <w:tcPr>
            <w:tcW w:w="668" w:type="pct"/>
            <w:vAlign w:val="center"/>
          </w:tcPr>
          <w:p>
            <w:pPr>
              <w:pStyle w:val="63"/>
              <w:rPr>
                <w:color w:val="auto"/>
                <w:lang w:eastAsia="zh-CN"/>
              </w:rPr>
            </w:pPr>
            <w:r>
              <w:rPr>
                <w:rFonts w:hint="eastAsia"/>
                <w:color w:val="auto"/>
                <w:lang w:eastAsia="zh-CN"/>
              </w:rPr>
              <w:t>0</w:t>
            </w:r>
          </w:p>
        </w:tc>
        <w:tc>
          <w:tcPr>
            <w:tcW w:w="485"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restart"/>
            <w:vAlign w:val="center"/>
          </w:tcPr>
          <w:p>
            <w:pPr>
              <w:pStyle w:val="63"/>
              <w:rPr>
                <w:color w:val="auto"/>
              </w:rPr>
            </w:pPr>
            <w:r>
              <w:rPr>
                <w:rFonts w:hint="eastAsia"/>
                <w:color w:val="auto"/>
              </w:rPr>
              <w:t>一般工业固体废物</w:t>
            </w:r>
          </w:p>
        </w:tc>
        <w:tc>
          <w:tcPr>
            <w:tcW w:w="704" w:type="pct"/>
            <w:vAlign w:val="center"/>
          </w:tcPr>
          <w:p>
            <w:pPr>
              <w:pStyle w:val="63"/>
              <w:rPr>
                <w:color w:val="auto"/>
              </w:rPr>
            </w:pPr>
            <w:r>
              <w:rPr>
                <w:rFonts w:hint="eastAsia"/>
                <w:color w:val="auto"/>
              </w:rPr>
              <w:t>收尘灰</w:t>
            </w:r>
          </w:p>
        </w:tc>
        <w:tc>
          <w:tcPr>
            <w:tcW w:w="668" w:type="pct"/>
            <w:vAlign w:val="center"/>
          </w:tcPr>
          <w:p>
            <w:pPr>
              <w:pStyle w:val="63"/>
              <w:rPr>
                <w:color w:val="auto"/>
              </w:rPr>
            </w:pPr>
            <w:r>
              <w:rPr>
                <w:color w:val="auto"/>
                <w:lang w:val="en-US"/>
              </w:rPr>
              <w:t>728.3</w:t>
            </w:r>
          </w:p>
        </w:tc>
        <w:tc>
          <w:tcPr>
            <w:tcW w:w="485"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color w:val="auto"/>
                <w:lang w:val="en-US"/>
              </w:rPr>
              <w:t>728.3</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continue"/>
            <w:vAlign w:val="center"/>
          </w:tcPr>
          <w:p>
            <w:pPr>
              <w:pStyle w:val="63"/>
              <w:rPr>
                <w:color w:val="auto"/>
              </w:rPr>
            </w:pPr>
          </w:p>
        </w:tc>
        <w:tc>
          <w:tcPr>
            <w:tcW w:w="704" w:type="pct"/>
            <w:vAlign w:val="center"/>
          </w:tcPr>
          <w:p>
            <w:pPr>
              <w:pStyle w:val="63"/>
              <w:rPr>
                <w:color w:val="auto"/>
              </w:rPr>
            </w:pPr>
            <w:r>
              <w:rPr>
                <w:color w:val="auto"/>
                <w:lang w:val="en-US"/>
              </w:rPr>
              <w:t>废钢</w:t>
            </w:r>
            <w:r>
              <w:rPr>
                <w:rFonts w:hint="eastAsia"/>
                <w:color w:val="auto"/>
              </w:rPr>
              <w:t>及边角料</w:t>
            </w:r>
          </w:p>
        </w:tc>
        <w:tc>
          <w:tcPr>
            <w:tcW w:w="668" w:type="pct"/>
            <w:vAlign w:val="center"/>
          </w:tcPr>
          <w:p>
            <w:pPr>
              <w:pStyle w:val="63"/>
              <w:rPr>
                <w:color w:val="auto"/>
              </w:rPr>
            </w:pPr>
            <w:r>
              <w:rPr>
                <w:color w:val="auto"/>
                <w:lang w:val="en-US"/>
              </w:rPr>
              <w:t>2170</w:t>
            </w:r>
          </w:p>
        </w:tc>
        <w:tc>
          <w:tcPr>
            <w:tcW w:w="485"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rPr>
            </w:pPr>
            <w:r>
              <w:rPr>
                <w:color w:val="auto"/>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rPr>
            </w:pPr>
            <w:r>
              <w:rPr>
                <w:color w:val="auto"/>
                <w:lang w:val="en-US"/>
              </w:rPr>
              <w:t>2170</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continue"/>
            <w:vAlign w:val="center"/>
          </w:tcPr>
          <w:p>
            <w:pPr>
              <w:pStyle w:val="63"/>
              <w:rPr>
                <w:color w:val="auto"/>
              </w:rPr>
            </w:pPr>
          </w:p>
        </w:tc>
        <w:tc>
          <w:tcPr>
            <w:tcW w:w="704" w:type="pct"/>
            <w:vAlign w:val="center"/>
          </w:tcPr>
          <w:p>
            <w:pPr>
              <w:pStyle w:val="63"/>
              <w:rPr>
                <w:color w:val="auto"/>
              </w:rPr>
            </w:pPr>
            <w:r>
              <w:rPr>
                <w:color w:val="auto"/>
                <w:lang w:val="en-US"/>
              </w:rPr>
              <w:t>湿式除尘污泥</w:t>
            </w:r>
          </w:p>
        </w:tc>
        <w:tc>
          <w:tcPr>
            <w:tcW w:w="668" w:type="pct"/>
            <w:vAlign w:val="center"/>
          </w:tcPr>
          <w:p>
            <w:pPr>
              <w:pStyle w:val="63"/>
              <w:rPr>
                <w:color w:val="auto"/>
              </w:rPr>
            </w:pPr>
            <w:r>
              <w:rPr>
                <w:color w:val="auto"/>
                <w:lang w:val="en-US"/>
              </w:rPr>
              <w:t>72</w:t>
            </w:r>
          </w:p>
        </w:tc>
        <w:tc>
          <w:tcPr>
            <w:tcW w:w="485"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rPr>
            </w:pPr>
            <w:r>
              <w:rPr>
                <w:color w:val="auto"/>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val="en-US"/>
              </w:rPr>
            </w:pPr>
            <w:r>
              <w:rPr>
                <w:color w:val="auto"/>
                <w:lang w:val="en-US"/>
              </w:rPr>
              <w:t>72</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continue"/>
            <w:vAlign w:val="center"/>
          </w:tcPr>
          <w:p>
            <w:pPr>
              <w:pStyle w:val="63"/>
              <w:rPr>
                <w:color w:val="auto"/>
              </w:rPr>
            </w:pPr>
          </w:p>
        </w:tc>
        <w:tc>
          <w:tcPr>
            <w:tcW w:w="704" w:type="pct"/>
            <w:vAlign w:val="center"/>
          </w:tcPr>
          <w:p>
            <w:pPr>
              <w:pStyle w:val="63"/>
              <w:rPr>
                <w:color w:val="auto"/>
              </w:rPr>
            </w:pPr>
            <w:r>
              <w:rPr>
                <w:rFonts w:hint="eastAsia"/>
                <w:color w:val="auto"/>
              </w:rPr>
              <w:t>氧化铁皮</w:t>
            </w:r>
          </w:p>
        </w:tc>
        <w:tc>
          <w:tcPr>
            <w:tcW w:w="668" w:type="pct"/>
            <w:vAlign w:val="center"/>
          </w:tcPr>
          <w:p>
            <w:pPr>
              <w:pStyle w:val="63"/>
              <w:rPr>
                <w:color w:val="auto"/>
              </w:rPr>
            </w:pPr>
            <w:r>
              <w:rPr>
                <w:rFonts w:hint="eastAsia"/>
                <w:color w:val="auto"/>
                <w:lang w:val="en-US"/>
              </w:rPr>
              <w:t>6514.961</w:t>
            </w:r>
          </w:p>
        </w:tc>
        <w:tc>
          <w:tcPr>
            <w:tcW w:w="485"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rPr>
            </w:pPr>
            <w:r>
              <w:rPr>
                <w:color w:val="auto"/>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val="en-US"/>
              </w:rPr>
            </w:pPr>
            <w:r>
              <w:rPr>
                <w:rFonts w:hint="eastAsia"/>
                <w:color w:val="auto"/>
                <w:lang w:val="en-US"/>
              </w:rPr>
              <w:t>6514.961</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restart"/>
            <w:vAlign w:val="center"/>
          </w:tcPr>
          <w:p>
            <w:pPr>
              <w:pStyle w:val="63"/>
              <w:rPr>
                <w:color w:val="auto"/>
              </w:rPr>
            </w:pPr>
            <w:r>
              <w:rPr>
                <w:rFonts w:hint="eastAsia"/>
                <w:color w:val="auto"/>
              </w:rPr>
              <w:t>危险废物</w:t>
            </w:r>
          </w:p>
        </w:tc>
        <w:tc>
          <w:tcPr>
            <w:tcW w:w="704" w:type="pct"/>
            <w:vAlign w:val="center"/>
          </w:tcPr>
          <w:p>
            <w:pPr>
              <w:pStyle w:val="63"/>
              <w:rPr>
                <w:color w:val="auto"/>
              </w:rPr>
            </w:pPr>
            <w:r>
              <w:rPr>
                <w:rFonts w:hint="eastAsia"/>
                <w:color w:val="auto"/>
              </w:rPr>
              <w:t>废矿物油</w:t>
            </w:r>
          </w:p>
        </w:tc>
        <w:tc>
          <w:tcPr>
            <w:tcW w:w="668" w:type="pct"/>
            <w:vAlign w:val="center"/>
          </w:tcPr>
          <w:p>
            <w:pPr>
              <w:pStyle w:val="63"/>
              <w:rPr>
                <w:color w:val="auto"/>
              </w:rPr>
            </w:pPr>
            <w:r>
              <w:rPr>
                <w:rFonts w:hint="eastAsia"/>
                <w:color w:val="auto"/>
                <w:lang w:val="en-US" w:eastAsia="zh-CN"/>
              </w:rPr>
              <w:t>1</w:t>
            </w:r>
            <w:r>
              <w:rPr>
                <w:color w:val="auto"/>
                <w:lang w:val="en-US" w:eastAsia="zh-CN"/>
              </w:rPr>
              <w:t>.0</w:t>
            </w:r>
          </w:p>
        </w:tc>
        <w:tc>
          <w:tcPr>
            <w:tcW w:w="485"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rPr>
            </w:pPr>
            <w:r>
              <w:rPr>
                <w:rFonts w:hint="eastAsia"/>
                <w:color w:val="auto"/>
                <w:lang w:val="en-US" w:eastAsia="zh-CN"/>
              </w:rPr>
              <w:t>1</w:t>
            </w:r>
            <w:r>
              <w:rPr>
                <w:color w:val="auto"/>
                <w:lang w:val="en-US" w:eastAsia="zh-CN"/>
              </w:rPr>
              <w:t>.0</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5" w:type="pct"/>
            <w:vMerge w:val="continue"/>
            <w:vAlign w:val="center"/>
          </w:tcPr>
          <w:p>
            <w:pPr>
              <w:pStyle w:val="63"/>
              <w:rPr>
                <w:color w:val="auto"/>
              </w:rPr>
            </w:pPr>
          </w:p>
        </w:tc>
        <w:tc>
          <w:tcPr>
            <w:tcW w:w="704" w:type="pct"/>
            <w:vAlign w:val="center"/>
          </w:tcPr>
          <w:p>
            <w:pPr>
              <w:pStyle w:val="63"/>
              <w:rPr>
                <w:color w:val="auto"/>
              </w:rPr>
            </w:pPr>
            <w:r>
              <w:rPr>
                <w:rFonts w:hint="eastAsia"/>
                <w:color w:val="auto"/>
              </w:rPr>
              <w:t>酸性废水处理污泥</w:t>
            </w:r>
          </w:p>
        </w:tc>
        <w:tc>
          <w:tcPr>
            <w:tcW w:w="668" w:type="pct"/>
            <w:vAlign w:val="center"/>
          </w:tcPr>
          <w:p>
            <w:pPr>
              <w:pStyle w:val="63"/>
              <w:rPr>
                <w:color w:val="auto"/>
              </w:rPr>
            </w:pPr>
            <w:r>
              <w:rPr>
                <w:rFonts w:hint="eastAsia"/>
                <w:color w:val="auto"/>
                <w:lang w:val="en-US" w:eastAsia="zh-CN"/>
              </w:rPr>
              <w:t>1</w:t>
            </w:r>
            <w:r>
              <w:rPr>
                <w:color w:val="auto"/>
                <w:lang w:val="en-US" w:eastAsia="zh-CN"/>
              </w:rPr>
              <w:t>1000</w:t>
            </w:r>
          </w:p>
        </w:tc>
        <w:tc>
          <w:tcPr>
            <w:tcW w:w="485"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eastAsia="zh-CN"/>
              </w:rPr>
              <w:t>0</w:t>
            </w:r>
          </w:p>
        </w:tc>
        <w:tc>
          <w:tcPr>
            <w:tcW w:w="591" w:type="pct"/>
            <w:vAlign w:val="center"/>
          </w:tcPr>
          <w:p>
            <w:pPr>
              <w:pStyle w:val="63"/>
              <w:rPr>
                <w:color w:val="auto"/>
                <w:lang w:eastAsia="zh-CN"/>
              </w:rPr>
            </w:pPr>
            <w:r>
              <w:rPr>
                <w:rFonts w:hint="eastAsia"/>
                <w:color w:val="auto"/>
                <w:lang w:val="en-US" w:eastAsia="zh-CN"/>
              </w:rPr>
              <w:t>1</w:t>
            </w:r>
            <w:r>
              <w:rPr>
                <w:color w:val="auto"/>
                <w:lang w:val="en-US" w:eastAsia="zh-CN"/>
              </w:rPr>
              <w:t>1000</w:t>
            </w:r>
          </w:p>
        </w:tc>
        <w:tc>
          <w:tcPr>
            <w:tcW w:w="484" w:type="pct"/>
            <w:vAlign w:val="center"/>
          </w:tcPr>
          <w:p>
            <w:pPr>
              <w:pStyle w:val="63"/>
              <w:rPr>
                <w:rFonts w:hAnsi="宋体"/>
                <w:snapToGrid w:val="0"/>
                <w:color w:val="auto"/>
                <w:lang w:eastAsia="zh-CN"/>
              </w:rPr>
            </w:pPr>
            <w:r>
              <w:rPr>
                <w:rFonts w:hint="eastAsia" w:hAnsi="宋体"/>
                <w:snapToGrid w:val="0"/>
                <w:color w:val="auto"/>
                <w:lang w:eastAsia="zh-CN"/>
              </w:rPr>
              <w:t>0</w:t>
            </w:r>
          </w:p>
        </w:tc>
      </w:tr>
    </w:tbl>
    <w:p>
      <w:pPr>
        <w:pStyle w:val="42"/>
        <w:spacing w:before="192" w:beforeLines="80" w:after="24"/>
        <w:ind w:firstLine="480"/>
        <w:jc w:val="left"/>
        <w:rPr>
          <w:rFonts w:hAnsi="宋体" w:eastAsia="黑体"/>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pgSz w:w="16838" w:h="11906" w:orient="landscape"/>
      <w:pgMar w:top="1800" w:right="1440" w:bottom="1800" w:left="1440" w:header="851" w:footer="851"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宋体"/>
    <w:panose1 w:val="00000000000000000000"/>
    <w:charset w:val="00"/>
    <w:family w:val="roman"/>
    <w:pitch w:val="default"/>
    <w:sig w:usb0="00000000" w:usb1="00000000" w:usb2="00000010" w:usb3="00000000" w:csb0="00060001" w:csb1="00000000"/>
  </w:font>
  <w:font w:name="仿宋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rFonts w:hint="eastAsia"/>
      </w:rPr>
      <w:t>--</w:t>
    </w:r>
    <w:r>
      <w:fldChar w:fldCharType="begin"/>
    </w:r>
    <w:r>
      <w:instrText xml:space="preserve">PAGE   \* MERGEFORMAT</w:instrText>
    </w:r>
    <w:r>
      <w:fldChar w:fldCharType="separate"/>
    </w:r>
    <w:r>
      <w:rPr>
        <w:lang w:val="zh-CN"/>
      </w:rPr>
      <w:t>ii</w:t>
    </w:r>
    <w:r>
      <w:fldChar w:fldCharType="end"/>
    </w:r>
    <w:r>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Chars="111"/>
      <w:jc w:val="center"/>
    </w:pPr>
    <w:r>
      <w:rPr>
        <w:rFonts w:hint="eastAsia"/>
      </w:rPr>
      <w:t>--</w:t>
    </w:r>
    <w:r>
      <w:fldChar w:fldCharType="begin"/>
    </w:r>
    <w:r>
      <w:instrText xml:space="preserve">PAGE   \* MERGEFORMAT</w:instrText>
    </w:r>
    <w:r>
      <w:fldChar w:fldCharType="separate"/>
    </w:r>
    <w:r>
      <w:rPr>
        <w:lang w:val="zh-CN"/>
      </w:rPr>
      <w:t>74</w:t>
    </w:r>
    <w:r>
      <w:fldChar w:fldCharType="end"/>
    </w:r>
    <w:r>
      <w:rPr>
        <w:rFonts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double" w:color="auto" w:sz="12" w:space="0"/>
      </w:pBdr>
      <w:ind w:firstLine="0" w:firstLineChars="0"/>
      <w:jc w:val="left"/>
      <w:rPr>
        <w:rFonts w:asciiTheme="majorEastAsia" w:hAnsiTheme="majorEastAsia" w:eastAsiaTheme="majorEastAsia"/>
        <w:b/>
      </w:rPr>
    </w:pPr>
    <w:r>
      <w:rPr>
        <w:rFonts w:hint="eastAsia" w:asciiTheme="majorEastAsia" w:hAnsiTheme="majorEastAsia" w:eastAsiaTheme="majorEastAsia"/>
        <w:b/>
      </w:rPr>
      <w:t>年产3</w:t>
    </w:r>
    <w:r>
      <w:rPr>
        <w:rFonts w:asciiTheme="majorEastAsia" w:hAnsiTheme="majorEastAsia" w:eastAsiaTheme="majorEastAsia"/>
        <w:b/>
      </w:rPr>
      <w:t>0</w:t>
    </w:r>
    <w:r>
      <w:rPr>
        <w:rFonts w:hint="eastAsia" w:asciiTheme="majorEastAsia" w:hAnsiTheme="majorEastAsia" w:eastAsiaTheme="majorEastAsia"/>
        <w:b/>
      </w:rPr>
      <w:t>万吨热退酸洗生产线煤气改天然气技改项目</w:t>
    </w:r>
  </w:p>
  <w:p>
    <w:pPr>
      <w:pStyle w:val="16"/>
      <w:pBdr>
        <w:bottom w:val="double" w:color="auto" w:sz="12" w:space="0"/>
      </w:pBdr>
      <w:ind w:firstLine="0" w:firstLineChars="0"/>
      <w:jc w:val="right"/>
      <w:rPr>
        <w:rFonts w:asciiTheme="majorEastAsia" w:hAnsiTheme="majorEastAsia" w:eastAsiaTheme="majorEastAsia"/>
        <w:b/>
      </w:rPr>
    </w:pPr>
    <w:r>
      <w:rPr>
        <w:rFonts w:hint="eastAsia" w:asciiTheme="majorEastAsia" w:hAnsiTheme="majorEastAsia" w:eastAsiaTheme="majorEastAsia"/>
        <w:b/>
      </w:rPr>
      <w:t>环境影响报告表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ZGJiMzk3NmE4MTFmY2I0NmVkOTVhODY4OTk3OTcifQ=="/>
    <w:docVar w:name="KSO_WPS_MARK_KEY" w:val="310bd912-cf32-4614-8f7c-fb0b65547ce0"/>
  </w:docVars>
  <w:rsids>
    <w:rsidRoot w:val="00A14947"/>
    <w:rsid w:val="0000002E"/>
    <w:rsid w:val="000003AB"/>
    <w:rsid w:val="00000515"/>
    <w:rsid w:val="0000077D"/>
    <w:rsid w:val="00000796"/>
    <w:rsid w:val="000008E0"/>
    <w:rsid w:val="00000A30"/>
    <w:rsid w:val="00000AF6"/>
    <w:rsid w:val="00000C68"/>
    <w:rsid w:val="00000CA5"/>
    <w:rsid w:val="00000CB9"/>
    <w:rsid w:val="00000CDB"/>
    <w:rsid w:val="00000F33"/>
    <w:rsid w:val="0000111A"/>
    <w:rsid w:val="0000121E"/>
    <w:rsid w:val="000013AF"/>
    <w:rsid w:val="000013BC"/>
    <w:rsid w:val="0000155A"/>
    <w:rsid w:val="000015B4"/>
    <w:rsid w:val="0000175C"/>
    <w:rsid w:val="00001812"/>
    <w:rsid w:val="00001CAA"/>
    <w:rsid w:val="00001F29"/>
    <w:rsid w:val="00002011"/>
    <w:rsid w:val="0000201D"/>
    <w:rsid w:val="00002025"/>
    <w:rsid w:val="000020FA"/>
    <w:rsid w:val="0000217C"/>
    <w:rsid w:val="000021D1"/>
    <w:rsid w:val="0000225E"/>
    <w:rsid w:val="00002586"/>
    <w:rsid w:val="00002600"/>
    <w:rsid w:val="00002786"/>
    <w:rsid w:val="000027AF"/>
    <w:rsid w:val="000027E4"/>
    <w:rsid w:val="00002A3A"/>
    <w:rsid w:val="00002B1A"/>
    <w:rsid w:val="00002B2C"/>
    <w:rsid w:val="00002BA4"/>
    <w:rsid w:val="00002F49"/>
    <w:rsid w:val="0000321D"/>
    <w:rsid w:val="00003481"/>
    <w:rsid w:val="0000348E"/>
    <w:rsid w:val="000035DB"/>
    <w:rsid w:val="0000373E"/>
    <w:rsid w:val="000037C9"/>
    <w:rsid w:val="00003854"/>
    <w:rsid w:val="00003A78"/>
    <w:rsid w:val="00003B55"/>
    <w:rsid w:val="00003B64"/>
    <w:rsid w:val="00003D03"/>
    <w:rsid w:val="00003DA2"/>
    <w:rsid w:val="00003ED3"/>
    <w:rsid w:val="00003F33"/>
    <w:rsid w:val="00003F68"/>
    <w:rsid w:val="00003FC3"/>
    <w:rsid w:val="00003FF1"/>
    <w:rsid w:val="00003FF3"/>
    <w:rsid w:val="0000420B"/>
    <w:rsid w:val="000042F3"/>
    <w:rsid w:val="000045D6"/>
    <w:rsid w:val="0000462B"/>
    <w:rsid w:val="000046BE"/>
    <w:rsid w:val="0000487C"/>
    <w:rsid w:val="0000491F"/>
    <w:rsid w:val="00004A27"/>
    <w:rsid w:val="00004A7F"/>
    <w:rsid w:val="00004ACF"/>
    <w:rsid w:val="00004B1A"/>
    <w:rsid w:val="00004B45"/>
    <w:rsid w:val="00004F21"/>
    <w:rsid w:val="00004F61"/>
    <w:rsid w:val="0000535D"/>
    <w:rsid w:val="0000539B"/>
    <w:rsid w:val="000053CC"/>
    <w:rsid w:val="000054B9"/>
    <w:rsid w:val="000054DF"/>
    <w:rsid w:val="000055FE"/>
    <w:rsid w:val="0000577C"/>
    <w:rsid w:val="000059E8"/>
    <w:rsid w:val="00005AC1"/>
    <w:rsid w:val="00005CE5"/>
    <w:rsid w:val="000060B3"/>
    <w:rsid w:val="00006137"/>
    <w:rsid w:val="0000625C"/>
    <w:rsid w:val="0000635E"/>
    <w:rsid w:val="00006380"/>
    <w:rsid w:val="00006548"/>
    <w:rsid w:val="00006812"/>
    <w:rsid w:val="000069BC"/>
    <w:rsid w:val="000069D8"/>
    <w:rsid w:val="00006A0A"/>
    <w:rsid w:val="00006D29"/>
    <w:rsid w:val="00006D79"/>
    <w:rsid w:val="00006DAB"/>
    <w:rsid w:val="00006E0D"/>
    <w:rsid w:val="000073ED"/>
    <w:rsid w:val="00007403"/>
    <w:rsid w:val="000074CB"/>
    <w:rsid w:val="00007610"/>
    <w:rsid w:val="00007643"/>
    <w:rsid w:val="00007685"/>
    <w:rsid w:val="000076CD"/>
    <w:rsid w:val="00007A31"/>
    <w:rsid w:val="00007BA8"/>
    <w:rsid w:val="00007F1B"/>
    <w:rsid w:val="00007FBE"/>
    <w:rsid w:val="0001000C"/>
    <w:rsid w:val="0001025E"/>
    <w:rsid w:val="0001026D"/>
    <w:rsid w:val="00010551"/>
    <w:rsid w:val="00010599"/>
    <w:rsid w:val="000106A1"/>
    <w:rsid w:val="0001073E"/>
    <w:rsid w:val="00010742"/>
    <w:rsid w:val="00010977"/>
    <w:rsid w:val="00010CB8"/>
    <w:rsid w:val="00010D2D"/>
    <w:rsid w:val="00010D46"/>
    <w:rsid w:val="00010D8C"/>
    <w:rsid w:val="00010D9B"/>
    <w:rsid w:val="00010ED3"/>
    <w:rsid w:val="00010F1A"/>
    <w:rsid w:val="000112F1"/>
    <w:rsid w:val="00011436"/>
    <w:rsid w:val="000114C7"/>
    <w:rsid w:val="000115CF"/>
    <w:rsid w:val="00011676"/>
    <w:rsid w:val="00011686"/>
    <w:rsid w:val="000116B8"/>
    <w:rsid w:val="00011762"/>
    <w:rsid w:val="00011796"/>
    <w:rsid w:val="0001181D"/>
    <w:rsid w:val="0001182A"/>
    <w:rsid w:val="000118EB"/>
    <w:rsid w:val="000118FB"/>
    <w:rsid w:val="0001195D"/>
    <w:rsid w:val="00011AF3"/>
    <w:rsid w:val="00011B71"/>
    <w:rsid w:val="00011BB2"/>
    <w:rsid w:val="00011C84"/>
    <w:rsid w:val="00011D40"/>
    <w:rsid w:val="00012093"/>
    <w:rsid w:val="00012119"/>
    <w:rsid w:val="00012154"/>
    <w:rsid w:val="00012193"/>
    <w:rsid w:val="00012205"/>
    <w:rsid w:val="00012233"/>
    <w:rsid w:val="000122AF"/>
    <w:rsid w:val="000125BB"/>
    <w:rsid w:val="00012719"/>
    <w:rsid w:val="00012B35"/>
    <w:rsid w:val="00012B4D"/>
    <w:rsid w:val="00012C49"/>
    <w:rsid w:val="00012E44"/>
    <w:rsid w:val="0001311A"/>
    <w:rsid w:val="0001315A"/>
    <w:rsid w:val="000131C4"/>
    <w:rsid w:val="0001321D"/>
    <w:rsid w:val="00013422"/>
    <w:rsid w:val="000138A4"/>
    <w:rsid w:val="0001392D"/>
    <w:rsid w:val="00013A3A"/>
    <w:rsid w:val="00013ABB"/>
    <w:rsid w:val="00013C4E"/>
    <w:rsid w:val="00013D85"/>
    <w:rsid w:val="00013E0B"/>
    <w:rsid w:val="00013E1A"/>
    <w:rsid w:val="00013E1F"/>
    <w:rsid w:val="00013E5B"/>
    <w:rsid w:val="00013ECB"/>
    <w:rsid w:val="00013FB6"/>
    <w:rsid w:val="000142F2"/>
    <w:rsid w:val="00014300"/>
    <w:rsid w:val="000143A5"/>
    <w:rsid w:val="00014415"/>
    <w:rsid w:val="0001441E"/>
    <w:rsid w:val="00014662"/>
    <w:rsid w:val="00014969"/>
    <w:rsid w:val="000149DF"/>
    <w:rsid w:val="00014AA6"/>
    <w:rsid w:val="00014B97"/>
    <w:rsid w:val="00014EFD"/>
    <w:rsid w:val="00014FEE"/>
    <w:rsid w:val="000150E7"/>
    <w:rsid w:val="000150ED"/>
    <w:rsid w:val="00015213"/>
    <w:rsid w:val="00015295"/>
    <w:rsid w:val="0001545F"/>
    <w:rsid w:val="00015674"/>
    <w:rsid w:val="00015773"/>
    <w:rsid w:val="00015952"/>
    <w:rsid w:val="000159BA"/>
    <w:rsid w:val="00015B30"/>
    <w:rsid w:val="00015B53"/>
    <w:rsid w:val="00015F83"/>
    <w:rsid w:val="00015FEB"/>
    <w:rsid w:val="00015FFE"/>
    <w:rsid w:val="00016156"/>
    <w:rsid w:val="00016195"/>
    <w:rsid w:val="00016363"/>
    <w:rsid w:val="000163E9"/>
    <w:rsid w:val="0001655A"/>
    <w:rsid w:val="00016882"/>
    <w:rsid w:val="00016B3D"/>
    <w:rsid w:val="00017027"/>
    <w:rsid w:val="0001704B"/>
    <w:rsid w:val="000172CB"/>
    <w:rsid w:val="0001745B"/>
    <w:rsid w:val="00017471"/>
    <w:rsid w:val="00017504"/>
    <w:rsid w:val="00017570"/>
    <w:rsid w:val="00017686"/>
    <w:rsid w:val="000178A1"/>
    <w:rsid w:val="00017A50"/>
    <w:rsid w:val="00017AC1"/>
    <w:rsid w:val="00017ACA"/>
    <w:rsid w:val="00017AF5"/>
    <w:rsid w:val="00017B0B"/>
    <w:rsid w:val="00017B44"/>
    <w:rsid w:val="00017C71"/>
    <w:rsid w:val="00017CC6"/>
    <w:rsid w:val="00017E35"/>
    <w:rsid w:val="00017E4A"/>
    <w:rsid w:val="00017EA7"/>
    <w:rsid w:val="00020298"/>
    <w:rsid w:val="0002030D"/>
    <w:rsid w:val="0002039A"/>
    <w:rsid w:val="0002067B"/>
    <w:rsid w:val="000209D4"/>
    <w:rsid w:val="00020B5C"/>
    <w:rsid w:val="00020CDD"/>
    <w:rsid w:val="00020E2D"/>
    <w:rsid w:val="00020E3C"/>
    <w:rsid w:val="00020EA5"/>
    <w:rsid w:val="00020FDD"/>
    <w:rsid w:val="0002118F"/>
    <w:rsid w:val="0002124F"/>
    <w:rsid w:val="00021280"/>
    <w:rsid w:val="000213E5"/>
    <w:rsid w:val="000214A6"/>
    <w:rsid w:val="000214EA"/>
    <w:rsid w:val="00021753"/>
    <w:rsid w:val="0002177F"/>
    <w:rsid w:val="00021CF0"/>
    <w:rsid w:val="00021DAC"/>
    <w:rsid w:val="00021E3D"/>
    <w:rsid w:val="000220AA"/>
    <w:rsid w:val="00022109"/>
    <w:rsid w:val="00022167"/>
    <w:rsid w:val="0002246D"/>
    <w:rsid w:val="000226CF"/>
    <w:rsid w:val="000227B6"/>
    <w:rsid w:val="000228D2"/>
    <w:rsid w:val="000228D7"/>
    <w:rsid w:val="00022AF5"/>
    <w:rsid w:val="00022B55"/>
    <w:rsid w:val="00022BC8"/>
    <w:rsid w:val="00022D76"/>
    <w:rsid w:val="00022E0E"/>
    <w:rsid w:val="00022E28"/>
    <w:rsid w:val="00022F03"/>
    <w:rsid w:val="00023245"/>
    <w:rsid w:val="000233D5"/>
    <w:rsid w:val="0002344B"/>
    <w:rsid w:val="000234A7"/>
    <w:rsid w:val="00023646"/>
    <w:rsid w:val="0002376E"/>
    <w:rsid w:val="000237ED"/>
    <w:rsid w:val="00023AB2"/>
    <w:rsid w:val="00023B0D"/>
    <w:rsid w:val="00023D29"/>
    <w:rsid w:val="00023D4A"/>
    <w:rsid w:val="00023EC4"/>
    <w:rsid w:val="00023EF4"/>
    <w:rsid w:val="00023F3F"/>
    <w:rsid w:val="00023FF9"/>
    <w:rsid w:val="00024128"/>
    <w:rsid w:val="000242FE"/>
    <w:rsid w:val="00024500"/>
    <w:rsid w:val="00024615"/>
    <w:rsid w:val="000247A9"/>
    <w:rsid w:val="000247D5"/>
    <w:rsid w:val="000247E8"/>
    <w:rsid w:val="00024910"/>
    <w:rsid w:val="00024936"/>
    <w:rsid w:val="00024983"/>
    <w:rsid w:val="00024985"/>
    <w:rsid w:val="00024A32"/>
    <w:rsid w:val="00024A68"/>
    <w:rsid w:val="00024AA8"/>
    <w:rsid w:val="00024ACD"/>
    <w:rsid w:val="00024CF0"/>
    <w:rsid w:val="00025209"/>
    <w:rsid w:val="0002522D"/>
    <w:rsid w:val="00025470"/>
    <w:rsid w:val="000254D8"/>
    <w:rsid w:val="00025579"/>
    <w:rsid w:val="0002566E"/>
    <w:rsid w:val="00025753"/>
    <w:rsid w:val="000258B7"/>
    <w:rsid w:val="00025A7A"/>
    <w:rsid w:val="00025EEA"/>
    <w:rsid w:val="00025F9B"/>
    <w:rsid w:val="00025FB7"/>
    <w:rsid w:val="0002605F"/>
    <w:rsid w:val="000261E7"/>
    <w:rsid w:val="000263BA"/>
    <w:rsid w:val="000264A9"/>
    <w:rsid w:val="000266C9"/>
    <w:rsid w:val="00026754"/>
    <w:rsid w:val="0002677F"/>
    <w:rsid w:val="00026801"/>
    <w:rsid w:val="00026814"/>
    <w:rsid w:val="000268D7"/>
    <w:rsid w:val="00026A24"/>
    <w:rsid w:val="00026A6B"/>
    <w:rsid w:val="00026B3F"/>
    <w:rsid w:val="00026B82"/>
    <w:rsid w:val="00026CBE"/>
    <w:rsid w:val="00026F3C"/>
    <w:rsid w:val="00026FAD"/>
    <w:rsid w:val="00026FC0"/>
    <w:rsid w:val="00027196"/>
    <w:rsid w:val="00027220"/>
    <w:rsid w:val="00027293"/>
    <w:rsid w:val="000272A6"/>
    <w:rsid w:val="000273CC"/>
    <w:rsid w:val="0002742E"/>
    <w:rsid w:val="0002785D"/>
    <w:rsid w:val="00027897"/>
    <w:rsid w:val="000278F7"/>
    <w:rsid w:val="00027981"/>
    <w:rsid w:val="00027D28"/>
    <w:rsid w:val="00027D82"/>
    <w:rsid w:val="00027E21"/>
    <w:rsid w:val="00027E46"/>
    <w:rsid w:val="00030109"/>
    <w:rsid w:val="000301F6"/>
    <w:rsid w:val="0003020A"/>
    <w:rsid w:val="000303AB"/>
    <w:rsid w:val="000304C9"/>
    <w:rsid w:val="0003054C"/>
    <w:rsid w:val="000307B6"/>
    <w:rsid w:val="00030A31"/>
    <w:rsid w:val="00030A9A"/>
    <w:rsid w:val="00030B32"/>
    <w:rsid w:val="0003144C"/>
    <w:rsid w:val="00031552"/>
    <w:rsid w:val="000317A0"/>
    <w:rsid w:val="0003193D"/>
    <w:rsid w:val="00031BCC"/>
    <w:rsid w:val="00031C45"/>
    <w:rsid w:val="00031CE6"/>
    <w:rsid w:val="00031D70"/>
    <w:rsid w:val="00031E19"/>
    <w:rsid w:val="00031ECE"/>
    <w:rsid w:val="00032002"/>
    <w:rsid w:val="000321BA"/>
    <w:rsid w:val="000322AF"/>
    <w:rsid w:val="00032659"/>
    <w:rsid w:val="00032734"/>
    <w:rsid w:val="000327E9"/>
    <w:rsid w:val="000327EB"/>
    <w:rsid w:val="00032A65"/>
    <w:rsid w:val="00032B95"/>
    <w:rsid w:val="00032D81"/>
    <w:rsid w:val="00032FA9"/>
    <w:rsid w:val="000331F2"/>
    <w:rsid w:val="0003331F"/>
    <w:rsid w:val="00033410"/>
    <w:rsid w:val="0003347D"/>
    <w:rsid w:val="0003356D"/>
    <w:rsid w:val="00033643"/>
    <w:rsid w:val="000336E3"/>
    <w:rsid w:val="000337DA"/>
    <w:rsid w:val="000338C7"/>
    <w:rsid w:val="00033915"/>
    <w:rsid w:val="0003397D"/>
    <w:rsid w:val="00033A8F"/>
    <w:rsid w:val="00033AC9"/>
    <w:rsid w:val="00033B38"/>
    <w:rsid w:val="00033C32"/>
    <w:rsid w:val="00033C46"/>
    <w:rsid w:val="00033D56"/>
    <w:rsid w:val="00033D7A"/>
    <w:rsid w:val="00033DD0"/>
    <w:rsid w:val="0003410A"/>
    <w:rsid w:val="0003417B"/>
    <w:rsid w:val="00034190"/>
    <w:rsid w:val="00034225"/>
    <w:rsid w:val="0003424F"/>
    <w:rsid w:val="000342AE"/>
    <w:rsid w:val="000342B7"/>
    <w:rsid w:val="000342DC"/>
    <w:rsid w:val="000343A8"/>
    <w:rsid w:val="000344EC"/>
    <w:rsid w:val="00034641"/>
    <w:rsid w:val="0003483D"/>
    <w:rsid w:val="00034A26"/>
    <w:rsid w:val="00034A40"/>
    <w:rsid w:val="00034B46"/>
    <w:rsid w:val="00034C4B"/>
    <w:rsid w:val="00034FD1"/>
    <w:rsid w:val="00035035"/>
    <w:rsid w:val="00035363"/>
    <w:rsid w:val="0003537B"/>
    <w:rsid w:val="00035611"/>
    <w:rsid w:val="00035689"/>
    <w:rsid w:val="000356A0"/>
    <w:rsid w:val="000358CD"/>
    <w:rsid w:val="000358E8"/>
    <w:rsid w:val="000358E9"/>
    <w:rsid w:val="00035921"/>
    <w:rsid w:val="0003592B"/>
    <w:rsid w:val="00035962"/>
    <w:rsid w:val="0003597C"/>
    <w:rsid w:val="00035A55"/>
    <w:rsid w:val="00035A8E"/>
    <w:rsid w:val="00035B5B"/>
    <w:rsid w:val="00035BA4"/>
    <w:rsid w:val="00035CDE"/>
    <w:rsid w:val="00035FA5"/>
    <w:rsid w:val="000360BB"/>
    <w:rsid w:val="000360C3"/>
    <w:rsid w:val="00036112"/>
    <w:rsid w:val="000361A1"/>
    <w:rsid w:val="000363D5"/>
    <w:rsid w:val="00036411"/>
    <w:rsid w:val="000364CA"/>
    <w:rsid w:val="000364CE"/>
    <w:rsid w:val="00036570"/>
    <w:rsid w:val="00036773"/>
    <w:rsid w:val="000367AC"/>
    <w:rsid w:val="0003699B"/>
    <w:rsid w:val="00036AA5"/>
    <w:rsid w:val="00036C7F"/>
    <w:rsid w:val="00036D9F"/>
    <w:rsid w:val="00036EAA"/>
    <w:rsid w:val="00036F3D"/>
    <w:rsid w:val="00036F5D"/>
    <w:rsid w:val="00036F7C"/>
    <w:rsid w:val="00036F97"/>
    <w:rsid w:val="00037092"/>
    <w:rsid w:val="00037113"/>
    <w:rsid w:val="00037164"/>
    <w:rsid w:val="0003740B"/>
    <w:rsid w:val="00037793"/>
    <w:rsid w:val="000377A7"/>
    <w:rsid w:val="00037807"/>
    <w:rsid w:val="00037899"/>
    <w:rsid w:val="0003789F"/>
    <w:rsid w:val="00037A1E"/>
    <w:rsid w:val="00037A7B"/>
    <w:rsid w:val="00037A87"/>
    <w:rsid w:val="00037A8A"/>
    <w:rsid w:val="00037CE7"/>
    <w:rsid w:val="00037F22"/>
    <w:rsid w:val="00037FBD"/>
    <w:rsid w:val="00037FDD"/>
    <w:rsid w:val="0004010E"/>
    <w:rsid w:val="000401ED"/>
    <w:rsid w:val="000402D0"/>
    <w:rsid w:val="0004036D"/>
    <w:rsid w:val="000403D1"/>
    <w:rsid w:val="00040527"/>
    <w:rsid w:val="00040559"/>
    <w:rsid w:val="000405A9"/>
    <w:rsid w:val="000405CD"/>
    <w:rsid w:val="000405E6"/>
    <w:rsid w:val="0004064E"/>
    <w:rsid w:val="0004065C"/>
    <w:rsid w:val="0004067C"/>
    <w:rsid w:val="000407B7"/>
    <w:rsid w:val="000408B7"/>
    <w:rsid w:val="00040988"/>
    <w:rsid w:val="00040994"/>
    <w:rsid w:val="00040B3E"/>
    <w:rsid w:val="00040B58"/>
    <w:rsid w:val="00040BD6"/>
    <w:rsid w:val="00040E77"/>
    <w:rsid w:val="00040E98"/>
    <w:rsid w:val="00040EB4"/>
    <w:rsid w:val="00040EC8"/>
    <w:rsid w:val="00040EE0"/>
    <w:rsid w:val="00040FE8"/>
    <w:rsid w:val="0004126A"/>
    <w:rsid w:val="000413D8"/>
    <w:rsid w:val="000414F6"/>
    <w:rsid w:val="000416A9"/>
    <w:rsid w:val="00041820"/>
    <w:rsid w:val="000418FD"/>
    <w:rsid w:val="000419D1"/>
    <w:rsid w:val="00041A5F"/>
    <w:rsid w:val="00041A9B"/>
    <w:rsid w:val="00041C71"/>
    <w:rsid w:val="00041C9B"/>
    <w:rsid w:val="00041DF7"/>
    <w:rsid w:val="00041E37"/>
    <w:rsid w:val="00041F78"/>
    <w:rsid w:val="00042123"/>
    <w:rsid w:val="00042169"/>
    <w:rsid w:val="0004246C"/>
    <w:rsid w:val="0004249F"/>
    <w:rsid w:val="000425E7"/>
    <w:rsid w:val="00042684"/>
    <w:rsid w:val="000429D3"/>
    <w:rsid w:val="000429DB"/>
    <w:rsid w:val="00042A03"/>
    <w:rsid w:val="00042B54"/>
    <w:rsid w:val="00042B73"/>
    <w:rsid w:val="00042E92"/>
    <w:rsid w:val="00042ECF"/>
    <w:rsid w:val="00042F0C"/>
    <w:rsid w:val="00042F49"/>
    <w:rsid w:val="00042FC6"/>
    <w:rsid w:val="0004330D"/>
    <w:rsid w:val="00043605"/>
    <w:rsid w:val="0004364B"/>
    <w:rsid w:val="0004366A"/>
    <w:rsid w:val="00043AE7"/>
    <w:rsid w:val="00043B50"/>
    <w:rsid w:val="00043B5D"/>
    <w:rsid w:val="0004404D"/>
    <w:rsid w:val="000440B6"/>
    <w:rsid w:val="000440DF"/>
    <w:rsid w:val="0004413D"/>
    <w:rsid w:val="0004417B"/>
    <w:rsid w:val="000442D2"/>
    <w:rsid w:val="000442D6"/>
    <w:rsid w:val="00044335"/>
    <w:rsid w:val="00044547"/>
    <w:rsid w:val="00044566"/>
    <w:rsid w:val="0004458B"/>
    <w:rsid w:val="00044795"/>
    <w:rsid w:val="00044A17"/>
    <w:rsid w:val="00044BC8"/>
    <w:rsid w:val="00044CCF"/>
    <w:rsid w:val="00044F81"/>
    <w:rsid w:val="00044FAF"/>
    <w:rsid w:val="0004515E"/>
    <w:rsid w:val="0004529A"/>
    <w:rsid w:val="00045382"/>
    <w:rsid w:val="000453DB"/>
    <w:rsid w:val="000454B5"/>
    <w:rsid w:val="00045614"/>
    <w:rsid w:val="000457DF"/>
    <w:rsid w:val="00045818"/>
    <w:rsid w:val="00045890"/>
    <w:rsid w:val="00045D7E"/>
    <w:rsid w:val="00045DA9"/>
    <w:rsid w:val="00045EDB"/>
    <w:rsid w:val="00045FFB"/>
    <w:rsid w:val="0004608E"/>
    <w:rsid w:val="00046441"/>
    <w:rsid w:val="000465C0"/>
    <w:rsid w:val="000467D2"/>
    <w:rsid w:val="000468E2"/>
    <w:rsid w:val="00046977"/>
    <w:rsid w:val="000469F0"/>
    <w:rsid w:val="00046AB3"/>
    <w:rsid w:val="00046BFB"/>
    <w:rsid w:val="00046D2E"/>
    <w:rsid w:val="00046DBA"/>
    <w:rsid w:val="00046DD6"/>
    <w:rsid w:val="00046E37"/>
    <w:rsid w:val="00047074"/>
    <w:rsid w:val="0004729C"/>
    <w:rsid w:val="00047449"/>
    <w:rsid w:val="00047556"/>
    <w:rsid w:val="00047559"/>
    <w:rsid w:val="000475E3"/>
    <w:rsid w:val="00047615"/>
    <w:rsid w:val="00047635"/>
    <w:rsid w:val="000476EC"/>
    <w:rsid w:val="0004773F"/>
    <w:rsid w:val="00047789"/>
    <w:rsid w:val="000477AD"/>
    <w:rsid w:val="00047A1F"/>
    <w:rsid w:val="00047BD3"/>
    <w:rsid w:val="00047C9B"/>
    <w:rsid w:val="00047CCC"/>
    <w:rsid w:val="00047D13"/>
    <w:rsid w:val="00047D56"/>
    <w:rsid w:val="00047F59"/>
    <w:rsid w:val="00050059"/>
    <w:rsid w:val="00050148"/>
    <w:rsid w:val="0005022B"/>
    <w:rsid w:val="000502DC"/>
    <w:rsid w:val="000502E2"/>
    <w:rsid w:val="000503FB"/>
    <w:rsid w:val="0005041F"/>
    <w:rsid w:val="00050445"/>
    <w:rsid w:val="00050493"/>
    <w:rsid w:val="0005050A"/>
    <w:rsid w:val="00050694"/>
    <w:rsid w:val="0005070A"/>
    <w:rsid w:val="000507DD"/>
    <w:rsid w:val="00050893"/>
    <w:rsid w:val="00050910"/>
    <w:rsid w:val="00050B2E"/>
    <w:rsid w:val="00050C45"/>
    <w:rsid w:val="00050D01"/>
    <w:rsid w:val="00050DF8"/>
    <w:rsid w:val="00050F6A"/>
    <w:rsid w:val="00050FA1"/>
    <w:rsid w:val="00050FE8"/>
    <w:rsid w:val="00050FED"/>
    <w:rsid w:val="00051424"/>
    <w:rsid w:val="000515BC"/>
    <w:rsid w:val="000516B1"/>
    <w:rsid w:val="0005179D"/>
    <w:rsid w:val="000517E7"/>
    <w:rsid w:val="000518CA"/>
    <w:rsid w:val="00051AB1"/>
    <w:rsid w:val="00051F03"/>
    <w:rsid w:val="00051F9C"/>
    <w:rsid w:val="0005209C"/>
    <w:rsid w:val="000520D5"/>
    <w:rsid w:val="000521D3"/>
    <w:rsid w:val="0005231D"/>
    <w:rsid w:val="0005255A"/>
    <w:rsid w:val="00052566"/>
    <w:rsid w:val="00052624"/>
    <w:rsid w:val="00052772"/>
    <w:rsid w:val="00052856"/>
    <w:rsid w:val="00052864"/>
    <w:rsid w:val="0005288F"/>
    <w:rsid w:val="0005290E"/>
    <w:rsid w:val="00052A00"/>
    <w:rsid w:val="00052A06"/>
    <w:rsid w:val="00052B8F"/>
    <w:rsid w:val="00052BEA"/>
    <w:rsid w:val="00052E62"/>
    <w:rsid w:val="00053161"/>
    <w:rsid w:val="0005346A"/>
    <w:rsid w:val="000534B3"/>
    <w:rsid w:val="000534C9"/>
    <w:rsid w:val="00053825"/>
    <w:rsid w:val="000538E3"/>
    <w:rsid w:val="00053972"/>
    <w:rsid w:val="00053A72"/>
    <w:rsid w:val="00053AB4"/>
    <w:rsid w:val="00053ADF"/>
    <w:rsid w:val="00053B4A"/>
    <w:rsid w:val="00053CB6"/>
    <w:rsid w:val="00053E28"/>
    <w:rsid w:val="00053EA5"/>
    <w:rsid w:val="00053F69"/>
    <w:rsid w:val="00053FBD"/>
    <w:rsid w:val="000541BF"/>
    <w:rsid w:val="00054239"/>
    <w:rsid w:val="00054278"/>
    <w:rsid w:val="00054463"/>
    <w:rsid w:val="0005450E"/>
    <w:rsid w:val="00054689"/>
    <w:rsid w:val="000546A0"/>
    <w:rsid w:val="00054710"/>
    <w:rsid w:val="00054722"/>
    <w:rsid w:val="0005479D"/>
    <w:rsid w:val="000547AB"/>
    <w:rsid w:val="000547C0"/>
    <w:rsid w:val="000549A0"/>
    <w:rsid w:val="000549B6"/>
    <w:rsid w:val="00054A6F"/>
    <w:rsid w:val="00054C3C"/>
    <w:rsid w:val="00054D2E"/>
    <w:rsid w:val="00054D92"/>
    <w:rsid w:val="00054E13"/>
    <w:rsid w:val="00054E33"/>
    <w:rsid w:val="00054EAC"/>
    <w:rsid w:val="00054EE7"/>
    <w:rsid w:val="00054F61"/>
    <w:rsid w:val="00054FE8"/>
    <w:rsid w:val="00054FFD"/>
    <w:rsid w:val="0005503F"/>
    <w:rsid w:val="00055317"/>
    <w:rsid w:val="00055422"/>
    <w:rsid w:val="000554B5"/>
    <w:rsid w:val="000554EF"/>
    <w:rsid w:val="000555FA"/>
    <w:rsid w:val="000556F3"/>
    <w:rsid w:val="00055713"/>
    <w:rsid w:val="000559C8"/>
    <w:rsid w:val="00055A17"/>
    <w:rsid w:val="00055AE7"/>
    <w:rsid w:val="00055BE0"/>
    <w:rsid w:val="00055D1C"/>
    <w:rsid w:val="00055E15"/>
    <w:rsid w:val="00055E39"/>
    <w:rsid w:val="00055E43"/>
    <w:rsid w:val="00055E4B"/>
    <w:rsid w:val="00055FDB"/>
    <w:rsid w:val="00056165"/>
    <w:rsid w:val="000561CB"/>
    <w:rsid w:val="000562F0"/>
    <w:rsid w:val="000563B7"/>
    <w:rsid w:val="000564A9"/>
    <w:rsid w:val="00056657"/>
    <w:rsid w:val="0005681D"/>
    <w:rsid w:val="000568F6"/>
    <w:rsid w:val="00056947"/>
    <w:rsid w:val="00056A01"/>
    <w:rsid w:val="00056A40"/>
    <w:rsid w:val="00056BAE"/>
    <w:rsid w:val="00056BF5"/>
    <w:rsid w:val="00056C0D"/>
    <w:rsid w:val="00056C7D"/>
    <w:rsid w:val="00056D26"/>
    <w:rsid w:val="00056E7D"/>
    <w:rsid w:val="00056F64"/>
    <w:rsid w:val="00056FD6"/>
    <w:rsid w:val="00057118"/>
    <w:rsid w:val="00057144"/>
    <w:rsid w:val="000571CD"/>
    <w:rsid w:val="0005731E"/>
    <w:rsid w:val="0005732E"/>
    <w:rsid w:val="00057366"/>
    <w:rsid w:val="000573A8"/>
    <w:rsid w:val="00057400"/>
    <w:rsid w:val="00057482"/>
    <w:rsid w:val="0005751D"/>
    <w:rsid w:val="00057586"/>
    <w:rsid w:val="00057783"/>
    <w:rsid w:val="00057842"/>
    <w:rsid w:val="00057864"/>
    <w:rsid w:val="0005794D"/>
    <w:rsid w:val="000579B5"/>
    <w:rsid w:val="00057A2C"/>
    <w:rsid w:val="00057AC3"/>
    <w:rsid w:val="00057BD6"/>
    <w:rsid w:val="00057C19"/>
    <w:rsid w:val="00057C83"/>
    <w:rsid w:val="00057DBC"/>
    <w:rsid w:val="00057DC8"/>
    <w:rsid w:val="00057F6D"/>
    <w:rsid w:val="000601C7"/>
    <w:rsid w:val="000601E4"/>
    <w:rsid w:val="0006026F"/>
    <w:rsid w:val="000604A5"/>
    <w:rsid w:val="000607E3"/>
    <w:rsid w:val="00060AB8"/>
    <w:rsid w:val="00060B3B"/>
    <w:rsid w:val="00060B42"/>
    <w:rsid w:val="00060E64"/>
    <w:rsid w:val="00060EAD"/>
    <w:rsid w:val="00060F94"/>
    <w:rsid w:val="000610B6"/>
    <w:rsid w:val="000610BE"/>
    <w:rsid w:val="000610CB"/>
    <w:rsid w:val="00061338"/>
    <w:rsid w:val="0006144B"/>
    <w:rsid w:val="0006151A"/>
    <w:rsid w:val="000616CA"/>
    <w:rsid w:val="000617C7"/>
    <w:rsid w:val="00061870"/>
    <w:rsid w:val="0006190A"/>
    <w:rsid w:val="00061AB7"/>
    <w:rsid w:val="00061B13"/>
    <w:rsid w:val="00061B1F"/>
    <w:rsid w:val="00061BF0"/>
    <w:rsid w:val="00061E05"/>
    <w:rsid w:val="00061E06"/>
    <w:rsid w:val="00061EC7"/>
    <w:rsid w:val="000621C5"/>
    <w:rsid w:val="0006222D"/>
    <w:rsid w:val="00062283"/>
    <w:rsid w:val="000622CC"/>
    <w:rsid w:val="00062332"/>
    <w:rsid w:val="000624F9"/>
    <w:rsid w:val="00062529"/>
    <w:rsid w:val="00062582"/>
    <w:rsid w:val="000628B9"/>
    <w:rsid w:val="00062947"/>
    <w:rsid w:val="000629B7"/>
    <w:rsid w:val="000629D1"/>
    <w:rsid w:val="00062AB9"/>
    <w:rsid w:val="00062ADB"/>
    <w:rsid w:val="00062BF4"/>
    <w:rsid w:val="00062D0F"/>
    <w:rsid w:val="00062F70"/>
    <w:rsid w:val="000630E4"/>
    <w:rsid w:val="000631DB"/>
    <w:rsid w:val="000633FE"/>
    <w:rsid w:val="000635C2"/>
    <w:rsid w:val="00063632"/>
    <w:rsid w:val="00063694"/>
    <w:rsid w:val="00063884"/>
    <w:rsid w:val="000638DD"/>
    <w:rsid w:val="00063972"/>
    <w:rsid w:val="00063A9E"/>
    <w:rsid w:val="00063B24"/>
    <w:rsid w:val="00063B35"/>
    <w:rsid w:val="00063E30"/>
    <w:rsid w:val="00063F0C"/>
    <w:rsid w:val="00063F73"/>
    <w:rsid w:val="00064302"/>
    <w:rsid w:val="00064350"/>
    <w:rsid w:val="0006440F"/>
    <w:rsid w:val="00064513"/>
    <w:rsid w:val="0006459B"/>
    <w:rsid w:val="000645E8"/>
    <w:rsid w:val="000645EA"/>
    <w:rsid w:val="00064614"/>
    <w:rsid w:val="00064642"/>
    <w:rsid w:val="00064668"/>
    <w:rsid w:val="000646E3"/>
    <w:rsid w:val="000646FB"/>
    <w:rsid w:val="00064716"/>
    <w:rsid w:val="00064767"/>
    <w:rsid w:val="000647E5"/>
    <w:rsid w:val="000648E5"/>
    <w:rsid w:val="00064907"/>
    <w:rsid w:val="0006498D"/>
    <w:rsid w:val="00064C3C"/>
    <w:rsid w:val="00064F67"/>
    <w:rsid w:val="00064F95"/>
    <w:rsid w:val="00064FC8"/>
    <w:rsid w:val="000650F3"/>
    <w:rsid w:val="00065121"/>
    <w:rsid w:val="00065306"/>
    <w:rsid w:val="0006536A"/>
    <w:rsid w:val="0006539C"/>
    <w:rsid w:val="0006562F"/>
    <w:rsid w:val="0006582F"/>
    <w:rsid w:val="00065868"/>
    <w:rsid w:val="00065994"/>
    <w:rsid w:val="00065A1F"/>
    <w:rsid w:val="00065A36"/>
    <w:rsid w:val="00065AD4"/>
    <w:rsid w:val="00065AEE"/>
    <w:rsid w:val="00065BC3"/>
    <w:rsid w:val="00065E94"/>
    <w:rsid w:val="00065EC1"/>
    <w:rsid w:val="00066012"/>
    <w:rsid w:val="00066027"/>
    <w:rsid w:val="00066032"/>
    <w:rsid w:val="0006622A"/>
    <w:rsid w:val="000664CE"/>
    <w:rsid w:val="00066573"/>
    <w:rsid w:val="00066627"/>
    <w:rsid w:val="00066764"/>
    <w:rsid w:val="000668C2"/>
    <w:rsid w:val="00066933"/>
    <w:rsid w:val="00066AAA"/>
    <w:rsid w:val="00066C33"/>
    <w:rsid w:val="00066D42"/>
    <w:rsid w:val="00066E1E"/>
    <w:rsid w:val="00066E80"/>
    <w:rsid w:val="00066ECA"/>
    <w:rsid w:val="00066FD8"/>
    <w:rsid w:val="00067025"/>
    <w:rsid w:val="0006704E"/>
    <w:rsid w:val="0006713A"/>
    <w:rsid w:val="00067199"/>
    <w:rsid w:val="00067285"/>
    <w:rsid w:val="0006729A"/>
    <w:rsid w:val="000672B8"/>
    <w:rsid w:val="000673C3"/>
    <w:rsid w:val="000675E1"/>
    <w:rsid w:val="000676AC"/>
    <w:rsid w:val="000676F9"/>
    <w:rsid w:val="0006778C"/>
    <w:rsid w:val="000677C5"/>
    <w:rsid w:val="00067898"/>
    <w:rsid w:val="000678ED"/>
    <w:rsid w:val="0006793C"/>
    <w:rsid w:val="000679A6"/>
    <w:rsid w:val="00067A3F"/>
    <w:rsid w:val="00067BAC"/>
    <w:rsid w:val="00067C12"/>
    <w:rsid w:val="00067C56"/>
    <w:rsid w:val="00067CAD"/>
    <w:rsid w:val="00067CCA"/>
    <w:rsid w:val="00067CDE"/>
    <w:rsid w:val="00067DB3"/>
    <w:rsid w:val="00070178"/>
    <w:rsid w:val="0007022D"/>
    <w:rsid w:val="0007026C"/>
    <w:rsid w:val="0007037E"/>
    <w:rsid w:val="00070729"/>
    <w:rsid w:val="0007073F"/>
    <w:rsid w:val="00070930"/>
    <w:rsid w:val="000709FE"/>
    <w:rsid w:val="00070A8F"/>
    <w:rsid w:val="00070B07"/>
    <w:rsid w:val="00070E6F"/>
    <w:rsid w:val="0007107C"/>
    <w:rsid w:val="00071106"/>
    <w:rsid w:val="00071175"/>
    <w:rsid w:val="00071201"/>
    <w:rsid w:val="0007131A"/>
    <w:rsid w:val="00071934"/>
    <w:rsid w:val="000719EC"/>
    <w:rsid w:val="00071C8A"/>
    <w:rsid w:val="00071D1B"/>
    <w:rsid w:val="00071E0A"/>
    <w:rsid w:val="00071E3B"/>
    <w:rsid w:val="00071EBF"/>
    <w:rsid w:val="00071FFD"/>
    <w:rsid w:val="00072197"/>
    <w:rsid w:val="000724CB"/>
    <w:rsid w:val="0007263A"/>
    <w:rsid w:val="000727B6"/>
    <w:rsid w:val="00072805"/>
    <w:rsid w:val="0007280A"/>
    <w:rsid w:val="0007288E"/>
    <w:rsid w:val="00072909"/>
    <w:rsid w:val="000729E5"/>
    <w:rsid w:val="00072A56"/>
    <w:rsid w:val="00072B22"/>
    <w:rsid w:val="00072B72"/>
    <w:rsid w:val="00072C32"/>
    <w:rsid w:val="00072D08"/>
    <w:rsid w:val="00072DD5"/>
    <w:rsid w:val="00072F65"/>
    <w:rsid w:val="00072FFD"/>
    <w:rsid w:val="0007320E"/>
    <w:rsid w:val="000732A0"/>
    <w:rsid w:val="0007338D"/>
    <w:rsid w:val="000733C4"/>
    <w:rsid w:val="00073427"/>
    <w:rsid w:val="0007349E"/>
    <w:rsid w:val="000734B6"/>
    <w:rsid w:val="000734F1"/>
    <w:rsid w:val="00073558"/>
    <w:rsid w:val="00073572"/>
    <w:rsid w:val="000735D0"/>
    <w:rsid w:val="00073769"/>
    <w:rsid w:val="000737E4"/>
    <w:rsid w:val="00073BF7"/>
    <w:rsid w:val="00073D2C"/>
    <w:rsid w:val="00073D80"/>
    <w:rsid w:val="00073E29"/>
    <w:rsid w:val="00074189"/>
    <w:rsid w:val="0007420A"/>
    <w:rsid w:val="00074214"/>
    <w:rsid w:val="0007436F"/>
    <w:rsid w:val="000746A3"/>
    <w:rsid w:val="00074783"/>
    <w:rsid w:val="000748A9"/>
    <w:rsid w:val="000748D5"/>
    <w:rsid w:val="0007495F"/>
    <w:rsid w:val="00074C61"/>
    <w:rsid w:val="00074CA6"/>
    <w:rsid w:val="00074CB4"/>
    <w:rsid w:val="00074D75"/>
    <w:rsid w:val="00074E34"/>
    <w:rsid w:val="00074E81"/>
    <w:rsid w:val="00074EDE"/>
    <w:rsid w:val="00075044"/>
    <w:rsid w:val="00075058"/>
    <w:rsid w:val="00075359"/>
    <w:rsid w:val="00075379"/>
    <w:rsid w:val="00075384"/>
    <w:rsid w:val="0007546A"/>
    <w:rsid w:val="000754DB"/>
    <w:rsid w:val="00075578"/>
    <w:rsid w:val="000755AF"/>
    <w:rsid w:val="0007582B"/>
    <w:rsid w:val="00075A64"/>
    <w:rsid w:val="00075ACB"/>
    <w:rsid w:val="00075DCA"/>
    <w:rsid w:val="00075E7D"/>
    <w:rsid w:val="00075FEC"/>
    <w:rsid w:val="0007602E"/>
    <w:rsid w:val="00076176"/>
    <w:rsid w:val="00076221"/>
    <w:rsid w:val="00076285"/>
    <w:rsid w:val="000762DA"/>
    <w:rsid w:val="00076319"/>
    <w:rsid w:val="000765B5"/>
    <w:rsid w:val="0007662A"/>
    <w:rsid w:val="000767FB"/>
    <w:rsid w:val="000768F1"/>
    <w:rsid w:val="0007697E"/>
    <w:rsid w:val="00076CF1"/>
    <w:rsid w:val="00076DF5"/>
    <w:rsid w:val="00076EC8"/>
    <w:rsid w:val="00077361"/>
    <w:rsid w:val="0007746F"/>
    <w:rsid w:val="00077543"/>
    <w:rsid w:val="00077568"/>
    <w:rsid w:val="00077798"/>
    <w:rsid w:val="0007792A"/>
    <w:rsid w:val="00077989"/>
    <w:rsid w:val="000779D2"/>
    <w:rsid w:val="00077A18"/>
    <w:rsid w:val="00077A57"/>
    <w:rsid w:val="00077A92"/>
    <w:rsid w:val="00077B7C"/>
    <w:rsid w:val="00077BA3"/>
    <w:rsid w:val="00077BC1"/>
    <w:rsid w:val="00077C4D"/>
    <w:rsid w:val="00077C52"/>
    <w:rsid w:val="00077C87"/>
    <w:rsid w:val="00077D5E"/>
    <w:rsid w:val="00077E07"/>
    <w:rsid w:val="00077E10"/>
    <w:rsid w:val="00077E74"/>
    <w:rsid w:val="00077FBE"/>
    <w:rsid w:val="00080023"/>
    <w:rsid w:val="00080066"/>
    <w:rsid w:val="0008012E"/>
    <w:rsid w:val="00080145"/>
    <w:rsid w:val="000805CE"/>
    <w:rsid w:val="0008066E"/>
    <w:rsid w:val="00080675"/>
    <w:rsid w:val="0008070B"/>
    <w:rsid w:val="0008079D"/>
    <w:rsid w:val="000809F0"/>
    <w:rsid w:val="00080A46"/>
    <w:rsid w:val="00080C95"/>
    <w:rsid w:val="00080CA5"/>
    <w:rsid w:val="00080CBC"/>
    <w:rsid w:val="00080CFF"/>
    <w:rsid w:val="00080D02"/>
    <w:rsid w:val="00081040"/>
    <w:rsid w:val="000810AC"/>
    <w:rsid w:val="000812B5"/>
    <w:rsid w:val="000812DE"/>
    <w:rsid w:val="0008134D"/>
    <w:rsid w:val="00081516"/>
    <w:rsid w:val="000815C5"/>
    <w:rsid w:val="00081721"/>
    <w:rsid w:val="00081784"/>
    <w:rsid w:val="0008184B"/>
    <w:rsid w:val="00081A02"/>
    <w:rsid w:val="00081C50"/>
    <w:rsid w:val="00081E31"/>
    <w:rsid w:val="00081F96"/>
    <w:rsid w:val="00082036"/>
    <w:rsid w:val="000820CB"/>
    <w:rsid w:val="0008211C"/>
    <w:rsid w:val="000821C2"/>
    <w:rsid w:val="00082231"/>
    <w:rsid w:val="00082265"/>
    <w:rsid w:val="0008236A"/>
    <w:rsid w:val="0008242E"/>
    <w:rsid w:val="00082477"/>
    <w:rsid w:val="0008253A"/>
    <w:rsid w:val="00082553"/>
    <w:rsid w:val="000825BE"/>
    <w:rsid w:val="000825D2"/>
    <w:rsid w:val="000825FE"/>
    <w:rsid w:val="000828ED"/>
    <w:rsid w:val="00082AEB"/>
    <w:rsid w:val="00082D0E"/>
    <w:rsid w:val="00082DBF"/>
    <w:rsid w:val="00082DCE"/>
    <w:rsid w:val="00082ED4"/>
    <w:rsid w:val="00083161"/>
    <w:rsid w:val="000834FF"/>
    <w:rsid w:val="00083657"/>
    <w:rsid w:val="00083714"/>
    <w:rsid w:val="000837B3"/>
    <w:rsid w:val="000837DF"/>
    <w:rsid w:val="00083897"/>
    <w:rsid w:val="000839B2"/>
    <w:rsid w:val="00083A32"/>
    <w:rsid w:val="00083C1E"/>
    <w:rsid w:val="00083C37"/>
    <w:rsid w:val="00083D2C"/>
    <w:rsid w:val="00084198"/>
    <w:rsid w:val="00084213"/>
    <w:rsid w:val="00084369"/>
    <w:rsid w:val="000844AB"/>
    <w:rsid w:val="00084651"/>
    <w:rsid w:val="00084748"/>
    <w:rsid w:val="0008487C"/>
    <w:rsid w:val="00084905"/>
    <w:rsid w:val="000849FD"/>
    <w:rsid w:val="00084A16"/>
    <w:rsid w:val="00084A93"/>
    <w:rsid w:val="00084AE4"/>
    <w:rsid w:val="00084BD1"/>
    <w:rsid w:val="00084CCB"/>
    <w:rsid w:val="00084DBA"/>
    <w:rsid w:val="00084E90"/>
    <w:rsid w:val="00084ED2"/>
    <w:rsid w:val="0008502E"/>
    <w:rsid w:val="00085213"/>
    <w:rsid w:val="0008555A"/>
    <w:rsid w:val="000855C8"/>
    <w:rsid w:val="000856A7"/>
    <w:rsid w:val="000856E5"/>
    <w:rsid w:val="0008576D"/>
    <w:rsid w:val="000857F6"/>
    <w:rsid w:val="0008592A"/>
    <w:rsid w:val="000859C4"/>
    <w:rsid w:val="000859ED"/>
    <w:rsid w:val="00085A42"/>
    <w:rsid w:val="00085AA3"/>
    <w:rsid w:val="00085B31"/>
    <w:rsid w:val="00085C5C"/>
    <w:rsid w:val="00086016"/>
    <w:rsid w:val="0008602D"/>
    <w:rsid w:val="00086055"/>
    <w:rsid w:val="000861F9"/>
    <w:rsid w:val="0008621F"/>
    <w:rsid w:val="00086237"/>
    <w:rsid w:val="000862A6"/>
    <w:rsid w:val="000862C8"/>
    <w:rsid w:val="00086331"/>
    <w:rsid w:val="00086336"/>
    <w:rsid w:val="00086384"/>
    <w:rsid w:val="000863A4"/>
    <w:rsid w:val="00086538"/>
    <w:rsid w:val="000865CD"/>
    <w:rsid w:val="00086869"/>
    <w:rsid w:val="000869C4"/>
    <w:rsid w:val="000869E1"/>
    <w:rsid w:val="00086A18"/>
    <w:rsid w:val="00086A6B"/>
    <w:rsid w:val="00086ADD"/>
    <w:rsid w:val="00086CAA"/>
    <w:rsid w:val="00086D3F"/>
    <w:rsid w:val="00086DAC"/>
    <w:rsid w:val="00086E0F"/>
    <w:rsid w:val="00086E20"/>
    <w:rsid w:val="00086FE6"/>
    <w:rsid w:val="00087051"/>
    <w:rsid w:val="0008708F"/>
    <w:rsid w:val="0008719F"/>
    <w:rsid w:val="000871DF"/>
    <w:rsid w:val="00087239"/>
    <w:rsid w:val="0008726C"/>
    <w:rsid w:val="0008735D"/>
    <w:rsid w:val="0008738F"/>
    <w:rsid w:val="000873CC"/>
    <w:rsid w:val="00087460"/>
    <w:rsid w:val="00087462"/>
    <w:rsid w:val="000874D1"/>
    <w:rsid w:val="0008754D"/>
    <w:rsid w:val="000875B3"/>
    <w:rsid w:val="00087647"/>
    <w:rsid w:val="00087679"/>
    <w:rsid w:val="00087688"/>
    <w:rsid w:val="0008777D"/>
    <w:rsid w:val="00087965"/>
    <w:rsid w:val="00087AA9"/>
    <w:rsid w:val="00087AB7"/>
    <w:rsid w:val="00087C41"/>
    <w:rsid w:val="00087EAE"/>
    <w:rsid w:val="00087FFB"/>
    <w:rsid w:val="000900D5"/>
    <w:rsid w:val="00090109"/>
    <w:rsid w:val="0009026F"/>
    <w:rsid w:val="00090459"/>
    <w:rsid w:val="00090490"/>
    <w:rsid w:val="000905EE"/>
    <w:rsid w:val="00090666"/>
    <w:rsid w:val="00090769"/>
    <w:rsid w:val="00090AB1"/>
    <w:rsid w:val="00090AE0"/>
    <w:rsid w:val="00090C41"/>
    <w:rsid w:val="00090D84"/>
    <w:rsid w:val="00090D8C"/>
    <w:rsid w:val="00090DB1"/>
    <w:rsid w:val="00090ED8"/>
    <w:rsid w:val="00090F55"/>
    <w:rsid w:val="00090F93"/>
    <w:rsid w:val="000910FD"/>
    <w:rsid w:val="00091150"/>
    <w:rsid w:val="0009130F"/>
    <w:rsid w:val="000913AD"/>
    <w:rsid w:val="000913D2"/>
    <w:rsid w:val="000913E7"/>
    <w:rsid w:val="00091473"/>
    <w:rsid w:val="0009154A"/>
    <w:rsid w:val="00091792"/>
    <w:rsid w:val="0009190A"/>
    <w:rsid w:val="00091911"/>
    <w:rsid w:val="00091938"/>
    <w:rsid w:val="00091945"/>
    <w:rsid w:val="00091973"/>
    <w:rsid w:val="000919B7"/>
    <w:rsid w:val="000919E4"/>
    <w:rsid w:val="00091A75"/>
    <w:rsid w:val="00091AB8"/>
    <w:rsid w:val="00091B6B"/>
    <w:rsid w:val="00091CEE"/>
    <w:rsid w:val="00091F6F"/>
    <w:rsid w:val="00092141"/>
    <w:rsid w:val="00092174"/>
    <w:rsid w:val="0009223D"/>
    <w:rsid w:val="0009250F"/>
    <w:rsid w:val="00092531"/>
    <w:rsid w:val="00092679"/>
    <w:rsid w:val="000926F9"/>
    <w:rsid w:val="00092751"/>
    <w:rsid w:val="000928A0"/>
    <w:rsid w:val="00092900"/>
    <w:rsid w:val="00092B27"/>
    <w:rsid w:val="00092D26"/>
    <w:rsid w:val="00092D38"/>
    <w:rsid w:val="00092D5D"/>
    <w:rsid w:val="00092EFB"/>
    <w:rsid w:val="00092FC6"/>
    <w:rsid w:val="00092FFF"/>
    <w:rsid w:val="0009310A"/>
    <w:rsid w:val="00093231"/>
    <w:rsid w:val="000933B8"/>
    <w:rsid w:val="0009350B"/>
    <w:rsid w:val="00093551"/>
    <w:rsid w:val="0009363D"/>
    <w:rsid w:val="0009376B"/>
    <w:rsid w:val="0009377B"/>
    <w:rsid w:val="00093889"/>
    <w:rsid w:val="00093915"/>
    <w:rsid w:val="00093943"/>
    <w:rsid w:val="000939DB"/>
    <w:rsid w:val="00093A30"/>
    <w:rsid w:val="00093AE7"/>
    <w:rsid w:val="00093C9C"/>
    <w:rsid w:val="00093F38"/>
    <w:rsid w:val="00093F92"/>
    <w:rsid w:val="000941AB"/>
    <w:rsid w:val="0009423A"/>
    <w:rsid w:val="0009458E"/>
    <w:rsid w:val="0009462A"/>
    <w:rsid w:val="00094662"/>
    <w:rsid w:val="000947C9"/>
    <w:rsid w:val="00094821"/>
    <w:rsid w:val="00094888"/>
    <w:rsid w:val="0009489B"/>
    <w:rsid w:val="000949AD"/>
    <w:rsid w:val="000949AE"/>
    <w:rsid w:val="00094A5B"/>
    <w:rsid w:val="00094B73"/>
    <w:rsid w:val="00094C39"/>
    <w:rsid w:val="00094C4A"/>
    <w:rsid w:val="00094DE5"/>
    <w:rsid w:val="00094E5D"/>
    <w:rsid w:val="0009508A"/>
    <w:rsid w:val="00095101"/>
    <w:rsid w:val="0009518A"/>
    <w:rsid w:val="000951DC"/>
    <w:rsid w:val="0009524F"/>
    <w:rsid w:val="000952FD"/>
    <w:rsid w:val="00095422"/>
    <w:rsid w:val="0009550A"/>
    <w:rsid w:val="000959B5"/>
    <w:rsid w:val="00095A67"/>
    <w:rsid w:val="00095AE8"/>
    <w:rsid w:val="00095BD2"/>
    <w:rsid w:val="00095BEE"/>
    <w:rsid w:val="00095C97"/>
    <w:rsid w:val="00095CD4"/>
    <w:rsid w:val="00095E64"/>
    <w:rsid w:val="00095FD8"/>
    <w:rsid w:val="00096048"/>
    <w:rsid w:val="000962AE"/>
    <w:rsid w:val="0009640B"/>
    <w:rsid w:val="00096612"/>
    <w:rsid w:val="0009668B"/>
    <w:rsid w:val="000966B0"/>
    <w:rsid w:val="000967F3"/>
    <w:rsid w:val="000968E9"/>
    <w:rsid w:val="00096977"/>
    <w:rsid w:val="000969CF"/>
    <w:rsid w:val="00096BD7"/>
    <w:rsid w:val="00096C50"/>
    <w:rsid w:val="00096CA1"/>
    <w:rsid w:val="00096ED7"/>
    <w:rsid w:val="00096F82"/>
    <w:rsid w:val="00096FB4"/>
    <w:rsid w:val="00096FE3"/>
    <w:rsid w:val="0009740E"/>
    <w:rsid w:val="000975E5"/>
    <w:rsid w:val="00097690"/>
    <w:rsid w:val="000976A6"/>
    <w:rsid w:val="00097A09"/>
    <w:rsid w:val="00097E9D"/>
    <w:rsid w:val="00097EAB"/>
    <w:rsid w:val="00097F10"/>
    <w:rsid w:val="00097FD1"/>
    <w:rsid w:val="000A013B"/>
    <w:rsid w:val="000A01D8"/>
    <w:rsid w:val="000A03E5"/>
    <w:rsid w:val="000A0404"/>
    <w:rsid w:val="000A0468"/>
    <w:rsid w:val="000A0497"/>
    <w:rsid w:val="000A06B0"/>
    <w:rsid w:val="000A06BB"/>
    <w:rsid w:val="000A089E"/>
    <w:rsid w:val="000A0A71"/>
    <w:rsid w:val="000A0B38"/>
    <w:rsid w:val="000A0C31"/>
    <w:rsid w:val="000A0C8A"/>
    <w:rsid w:val="000A0DCE"/>
    <w:rsid w:val="000A0EE2"/>
    <w:rsid w:val="000A114D"/>
    <w:rsid w:val="000A1264"/>
    <w:rsid w:val="000A12BA"/>
    <w:rsid w:val="000A13B6"/>
    <w:rsid w:val="000A1508"/>
    <w:rsid w:val="000A159C"/>
    <w:rsid w:val="000A15E1"/>
    <w:rsid w:val="000A185A"/>
    <w:rsid w:val="000A1943"/>
    <w:rsid w:val="000A1C8E"/>
    <w:rsid w:val="000A1E4D"/>
    <w:rsid w:val="000A1EEC"/>
    <w:rsid w:val="000A20C9"/>
    <w:rsid w:val="000A2278"/>
    <w:rsid w:val="000A2414"/>
    <w:rsid w:val="000A24DB"/>
    <w:rsid w:val="000A25CF"/>
    <w:rsid w:val="000A2620"/>
    <w:rsid w:val="000A274D"/>
    <w:rsid w:val="000A278B"/>
    <w:rsid w:val="000A2833"/>
    <w:rsid w:val="000A2895"/>
    <w:rsid w:val="000A2978"/>
    <w:rsid w:val="000A2A07"/>
    <w:rsid w:val="000A2A1E"/>
    <w:rsid w:val="000A2A3F"/>
    <w:rsid w:val="000A2CD9"/>
    <w:rsid w:val="000A2CF6"/>
    <w:rsid w:val="000A2D25"/>
    <w:rsid w:val="000A2DAE"/>
    <w:rsid w:val="000A2E88"/>
    <w:rsid w:val="000A2ECD"/>
    <w:rsid w:val="000A31FB"/>
    <w:rsid w:val="000A32FB"/>
    <w:rsid w:val="000A3430"/>
    <w:rsid w:val="000A3466"/>
    <w:rsid w:val="000A3592"/>
    <w:rsid w:val="000A35E5"/>
    <w:rsid w:val="000A36A3"/>
    <w:rsid w:val="000A3702"/>
    <w:rsid w:val="000A379E"/>
    <w:rsid w:val="000A3851"/>
    <w:rsid w:val="000A385C"/>
    <w:rsid w:val="000A3912"/>
    <w:rsid w:val="000A3C41"/>
    <w:rsid w:val="000A3CD3"/>
    <w:rsid w:val="000A3CE0"/>
    <w:rsid w:val="000A3D6B"/>
    <w:rsid w:val="000A3D79"/>
    <w:rsid w:val="000A3EBF"/>
    <w:rsid w:val="000A4362"/>
    <w:rsid w:val="000A43AB"/>
    <w:rsid w:val="000A43D8"/>
    <w:rsid w:val="000A450E"/>
    <w:rsid w:val="000A45E9"/>
    <w:rsid w:val="000A467D"/>
    <w:rsid w:val="000A47CA"/>
    <w:rsid w:val="000A4888"/>
    <w:rsid w:val="000A4A46"/>
    <w:rsid w:val="000A4A53"/>
    <w:rsid w:val="000A4B4D"/>
    <w:rsid w:val="000A4CC9"/>
    <w:rsid w:val="000A4D21"/>
    <w:rsid w:val="000A4DD6"/>
    <w:rsid w:val="000A4E03"/>
    <w:rsid w:val="000A4EBB"/>
    <w:rsid w:val="000A4EFA"/>
    <w:rsid w:val="000A4F0D"/>
    <w:rsid w:val="000A4FBB"/>
    <w:rsid w:val="000A5051"/>
    <w:rsid w:val="000A507B"/>
    <w:rsid w:val="000A5095"/>
    <w:rsid w:val="000A523A"/>
    <w:rsid w:val="000A536E"/>
    <w:rsid w:val="000A53D5"/>
    <w:rsid w:val="000A5613"/>
    <w:rsid w:val="000A564F"/>
    <w:rsid w:val="000A5691"/>
    <w:rsid w:val="000A58A5"/>
    <w:rsid w:val="000A59D6"/>
    <w:rsid w:val="000A5B7E"/>
    <w:rsid w:val="000A5BA4"/>
    <w:rsid w:val="000A5CB7"/>
    <w:rsid w:val="000A5E49"/>
    <w:rsid w:val="000A5ED7"/>
    <w:rsid w:val="000A606E"/>
    <w:rsid w:val="000A6101"/>
    <w:rsid w:val="000A61B0"/>
    <w:rsid w:val="000A6290"/>
    <w:rsid w:val="000A6938"/>
    <w:rsid w:val="000A69A2"/>
    <w:rsid w:val="000A6B36"/>
    <w:rsid w:val="000A6C26"/>
    <w:rsid w:val="000A6C3B"/>
    <w:rsid w:val="000A6D7A"/>
    <w:rsid w:val="000A6E33"/>
    <w:rsid w:val="000A6ED2"/>
    <w:rsid w:val="000A70CB"/>
    <w:rsid w:val="000A7135"/>
    <w:rsid w:val="000A7265"/>
    <w:rsid w:val="000A7363"/>
    <w:rsid w:val="000A745C"/>
    <w:rsid w:val="000A752E"/>
    <w:rsid w:val="000A756F"/>
    <w:rsid w:val="000A75BE"/>
    <w:rsid w:val="000A75EA"/>
    <w:rsid w:val="000A761C"/>
    <w:rsid w:val="000A7630"/>
    <w:rsid w:val="000A76D9"/>
    <w:rsid w:val="000A76F2"/>
    <w:rsid w:val="000A7910"/>
    <w:rsid w:val="000A7959"/>
    <w:rsid w:val="000A7AAF"/>
    <w:rsid w:val="000A7CA9"/>
    <w:rsid w:val="000A7CB9"/>
    <w:rsid w:val="000A7D0C"/>
    <w:rsid w:val="000A7F25"/>
    <w:rsid w:val="000A7FDA"/>
    <w:rsid w:val="000B002D"/>
    <w:rsid w:val="000B003C"/>
    <w:rsid w:val="000B0196"/>
    <w:rsid w:val="000B02B5"/>
    <w:rsid w:val="000B030D"/>
    <w:rsid w:val="000B03C2"/>
    <w:rsid w:val="000B03CB"/>
    <w:rsid w:val="000B0505"/>
    <w:rsid w:val="000B0570"/>
    <w:rsid w:val="000B058F"/>
    <w:rsid w:val="000B05C7"/>
    <w:rsid w:val="000B0846"/>
    <w:rsid w:val="000B089A"/>
    <w:rsid w:val="000B08FA"/>
    <w:rsid w:val="000B0974"/>
    <w:rsid w:val="000B09F7"/>
    <w:rsid w:val="000B0CDE"/>
    <w:rsid w:val="000B0D06"/>
    <w:rsid w:val="000B0D5C"/>
    <w:rsid w:val="000B0DB1"/>
    <w:rsid w:val="000B0DE9"/>
    <w:rsid w:val="000B0EDB"/>
    <w:rsid w:val="000B0F74"/>
    <w:rsid w:val="000B1014"/>
    <w:rsid w:val="000B1174"/>
    <w:rsid w:val="000B1182"/>
    <w:rsid w:val="000B11D8"/>
    <w:rsid w:val="000B135F"/>
    <w:rsid w:val="000B157A"/>
    <w:rsid w:val="000B1595"/>
    <w:rsid w:val="000B16DE"/>
    <w:rsid w:val="000B186D"/>
    <w:rsid w:val="000B1978"/>
    <w:rsid w:val="000B1A1A"/>
    <w:rsid w:val="000B1A3B"/>
    <w:rsid w:val="000B1A67"/>
    <w:rsid w:val="000B1A78"/>
    <w:rsid w:val="000B1C31"/>
    <w:rsid w:val="000B1E1D"/>
    <w:rsid w:val="000B1FA8"/>
    <w:rsid w:val="000B1FF6"/>
    <w:rsid w:val="000B2025"/>
    <w:rsid w:val="000B2026"/>
    <w:rsid w:val="000B20A0"/>
    <w:rsid w:val="000B2148"/>
    <w:rsid w:val="000B2313"/>
    <w:rsid w:val="000B24AF"/>
    <w:rsid w:val="000B261A"/>
    <w:rsid w:val="000B2878"/>
    <w:rsid w:val="000B2923"/>
    <w:rsid w:val="000B2929"/>
    <w:rsid w:val="000B2A1B"/>
    <w:rsid w:val="000B2AE8"/>
    <w:rsid w:val="000B2B08"/>
    <w:rsid w:val="000B3015"/>
    <w:rsid w:val="000B3030"/>
    <w:rsid w:val="000B30E1"/>
    <w:rsid w:val="000B32C1"/>
    <w:rsid w:val="000B34D3"/>
    <w:rsid w:val="000B3552"/>
    <w:rsid w:val="000B36D7"/>
    <w:rsid w:val="000B3808"/>
    <w:rsid w:val="000B3859"/>
    <w:rsid w:val="000B3A17"/>
    <w:rsid w:val="000B3AA8"/>
    <w:rsid w:val="000B3C0E"/>
    <w:rsid w:val="000B3D21"/>
    <w:rsid w:val="000B3DBB"/>
    <w:rsid w:val="000B4143"/>
    <w:rsid w:val="000B42C5"/>
    <w:rsid w:val="000B4467"/>
    <w:rsid w:val="000B45A3"/>
    <w:rsid w:val="000B45C1"/>
    <w:rsid w:val="000B46CE"/>
    <w:rsid w:val="000B4882"/>
    <w:rsid w:val="000B48B9"/>
    <w:rsid w:val="000B4A12"/>
    <w:rsid w:val="000B4A77"/>
    <w:rsid w:val="000B4BBE"/>
    <w:rsid w:val="000B4D95"/>
    <w:rsid w:val="000B4DB9"/>
    <w:rsid w:val="000B4E19"/>
    <w:rsid w:val="000B4EE4"/>
    <w:rsid w:val="000B5017"/>
    <w:rsid w:val="000B507F"/>
    <w:rsid w:val="000B50AC"/>
    <w:rsid w:val="000B50E7"/>
    <w:rsid w:val="000B5154"/>
    <w:rsid w:val="000B5172"/>
    <w:rsid w:val="000B5281"/>
    <w:rsid w:val="000B54E1"/>
    <w:rsid w:val="000B5502"/>
    <w:rsid w:val="000B5566"/>
    <w:rsid w:val="000B55C4"/>
    <w:rsid w:val="000B5689"/>
    <w:rsid w:val="000B56D5"/>
    <w:rsid w:val="000B56EE"/>
    <w:rsid w:val="000B5720"/>
    <w:rsid w:val="000B574B"/>
    <w:rsid w:val="000B5771"/>
    <w:rsid w:val="000B57F2"/>
    <w:rsid w:val="000B5877"/>
    <w:rsid w:val="000B5883"/>
    <w:rsid w:val="000B5981"/>
    <w:rsid w:val="000B5B3D"/>
    <w:rsid w:val="000B5BB8"/>
    <w:rsid w:val="000B5D03"/>
    <w:rsid w:val="000B5D20"/>
    <w:rsid w:val="000B5D88"/>
    <w:rsid w:val="000B5EBA"/>
    <w:rsid w:val="000B614F"/>
    <w:rsid w:val="000B617F"/>
    <w:rsid w:val="000B642D"/>
    <w:rsid w:val="000B6431"/>
    <w:rsid w:val="000B6458"/>
    <w:rsid w:val="000B65CA"/>
    <w:rsid w:val="000B67BA"/>
    <w:rsid w:val="000B6829"/>
    <w:rsid w:val="000B69EC"/>
    <w:rsid w:val="000B6AAD"/>
    <w:rsid w:val="000B6C35"/>
    <w:rsid w:val="000B6CEB"/>
    <w:rsid w:val="000B6CEC"/>
    <w:rsid w:val="000B70DD"/>
    <w:rsid w:val="000B72E5"/>
    <w:rsid w:val="000B75C3"/>
    <w:rsid w:val="000B7A49"/>
    <w:rsid w:val="000B7A52"/>
    <w:rsid w:val="000B7AA1"/>
    <w:rsid w:val="000B7ED4"/>
    <w:rsid w:val="000C00E1"/>
    <w:rsid w:val="000C0407"/>
    <w:rsid w:val="000C0582"/>
    <w:rsid w:val="000C059B"/>
    <w:rsid w:val="000C06BB"/>
    <w:rsid w:val="000C072A"/>
    <w:rsid w:val="000C09AC"/>
    <w:rsid w:val="000C0AC8"/>
    <w:rsid w:val="000C0AEF"/>
    <w:rsid w:val="000C0C0F"/>
    <w:rsid w:val="000C0E06"/>
    <w:rsid w:val="000C0E41"/>
    <w:rsid w:val="000C0E64"/>
    <w:rsid w:val="000C1010"/>
    <w:rsid w:val="000C1061"/>
    <w:rsid w:val="000C11D6"/>
    <w:rsid w:val="000C1218"/>
    <w:rsid w:val="000C138B"/>
    <w:rsid w:val="000C13F4"/>
    <w:rsid w:val="000C1526"/>
    <w:rsid w:val="000C162F"/>
    <w:rsid w:val="000C16F3"/>
    <w:rsid w:val="000C182C"/>
    <w:rsid w:val="000C18BE"/>
    <w:rsid w:val="000C1950"/>
    <w:rsid w:val="000C1A68"/>
    <w:rsid w:val="000C1AA8"/>
    <w:rsid w:val="000C1B01"/>
    <w:rsid w:val="000C1BA4"/>
    <w:rsid w:val="000C229B"/>
    <w:rsid w:val="000C2487"/>
    <w:rsid w:val="000C24E0"/>
    <w:rsid w:val="000C2935"/>
    <w:rsid w:val="000C293A"/>
    <w:rsid w:val="000C2AA2"/>
    <w:rsid w:val="000C2BC9"/>
    <w:rsid w:val="000C2C42"/>
    <w:rsid w:val="000C2C87"/>
    <w:rsid w:val="000C2D06"/>
    <w:rsid w:val="000C2ED5"/>
    <w:rsid w:val="000C2F0E"/>
    <w:rsid w:val="000C2F9C"/>
    <w:rsid w:val="000C3100"/>
    <w:rsid w:val="000C324F"/>
    <w:rsid w:val="000C33D2"/>
    <w:rsid w:val="000C347A"/>
    <w:rsid w:val="000C34B8"/>
    <w:rsid w:val="000C34FA"/>
    <w:rsid w:val="000C35DA"/>
    <w:rsid w:val="000C368F"/>
    <w:rsid w:val="000C3864"/>
    <w:rsid w:val="000C3A0F"/>
    <w:rsid w:val="000C3B59"/>
    <w:rsid w:val="000C3BDC"/>
    <w:rsid w:val="000C3C98"/>
    <w:rsid w:val="000C3D5B"/>
    <w:rsid w:val="000C3E99"/>
    <w:rsid w:val="000C3F51"/>
    <w:rsid w:val="000C3FD0"/>
    <w:rsid w:val="000C40E2"/>
    <w:rsid w:val="000C4163"/>
    <w:rsid w:val="000C41BF"/>
    <w:rsid w:val="000C43C9"/>
    <w:rsid w:val="000C43EE"/>
    <w:rsid w:val="000C4826"/>
    <w:rsid w:val="000C4839"/>
    <w:rsid w:val="000C48BC"/>
    <w:rsid w:val="000C491C"/>
    <w:rsid w:val="000C4928"/>
    <w:rsid w:val="000C4954"/>
    <w:rsid w:val="000C4BB6"/>
    <w:rsid w:val="000C4CB8"/>
    <w:rsid w:val="000C4CFD"/>
    <w:rsid w:val="000C4D3B"/>
    <w:rsid w:val="000C4D8D"/>
    <w:rsid w:val="000C4DE9"/>
    <w:rsid w:val="000C4E16"/>
    <w:rsid w:val="000C4EA4"/>
    <w:rsid w:val="000C4EBB"/>
    <w:rsid w:val="000C4F37"/>
    <w:rsid w:val="000C523E"/>
    <w:rsid w:val="000C532A"/>
    <w:rsid w:val="000C53BC"/>
    <w:rsid w:val="000C54B7"/>
    <w:rsid w:val="000C574F"/>
    <w:rsid w:val="000C57B4"/>
    <w:rsid w:val="000C5824"/>
    <w:rsid w:val="000C5908"/>
    <w:rsid w:val="000C59F3"/>
    <w:rsid w:val="000C5B31"/>
    <w:rsid w:val="000C5B99"/>
    <w:rsid w:val="000C5CD1"/>
    <w:rsid w:val="000C5D0B"/>
    <w:rsid w:val="000C5E76"/>
    <w:rsid w:val="000C5EBC"/>
    <w:rsid w:val="000C60B4"/>
    <w:rsid w:val="000C61D9"/>
    <w:rsid w:val="000C622B"/>
    <w:rsid w:val="000C6321"/>
    <w:rsid w:val="000C63A2"/>
    <w:rsid w:val="000C655A"/>
    <w:rsid w:val="000C6ACA"/>
    <w:rsid w:val="000C6B23"/>
    <w:rsid w:val="000C6DB0"/>
    <w:rsid w:val="000C6F95"/>
    <w:rsid w:val="000C702D"/>
    <w:rsid w:val="000C70FC"/>
    <w:rsid w:val="000C7188"/>
    <w:rsid w:val="000C7352"/>
    <w:rsid w:val="000C7514"/>
    <w:rsid w:val="000C7576"/>
    <w:rsid w:val="000C763A"/>
    <w:rsid w:val="000C767F"/>
    <w:rsid w:val="000C778F"/>
    <w:rsid w:val="000C7810"/>
    <w:rsid w:val="000C78FA"/>
    <w:rsid w:val="000C790A"/>
    <w:rsid w:val="000C7A83"/>
    <w:rsid w:val="000C7AA2"/>
    <w:rsid w:val="000C7ABA"/>
    <w:rsid w:val="000C7CFF"/>
    <w:rsid w:val="000D00FE"/>
    <w:rsid w:val="000D0486"/>
    <w:rsid w:val="000D04AF"/>
    <w:rsid w:val="000D0588"/>
    <w:rsid w:val="000D05D2"/>
    <w:rsid w:val="000D0835"/>
    <w:rsid w:val="000D093D"/>
    <w:rsid w:val="000D0ADD"/>
    <w:rsid w:val="000D0B1E"/>
    <w:rsid w:val="000D0E92"/>
    <w:rsid w:val="000D0FA4"/>
    <w:rsid w:val="000D0FF1"/>
    <w:rsid w:val="000D10B7"/>
    <w:rsid w:val="000D10F6"/>
    <w:rsid w:val="000D1105"/>
    <w:rsid w:val="000D1195"/>
    <w:rsid w:val="000D1198"/>
    <w:rsid w:val="000D11B1"/>
    <w:rsid w:val="000D1298"/>
    <w:rsid w:val="000D1352"/>
    <w:rsid w:val="000D13D6"/>
    <w:rsid w:val="000D156E"/>
    <w:rsid w:val="000D159D"/>
    <w:rsid w:val="000D1719"/>
    <w:rsid w:val="000D1732"/>
    <w:rsid w:val="000D17DF"/>
    <w:rsid w:val="000D1824"/>
    <w:rsid w:val="000D18DD"/>
    <w:rsid w:val="000D1ADD"/>
    <w:rsid w:val="000D1AFF"/>
    <w:rsid w:val="000D1C27"/>
    <w:rsid w:val="000D1C7E"/>
    <w:rsid w:val="000D1CBA"/>
    <w:rsid w:val="000D1D42"/>
    <w:rsid w:val="000D1E2E"/>
    <w:rsid w:val="000D1F61"/>
    <w:rsid w:val="000D2133"/>
    <w:rsid w:val="000D2142"/>
    <w:rsid w:val="000D23E5"/>
    <w:rsid w:val="000D24FE"/>
    <w:rsid w:val="000D2585"/>
    <w:rsid w:val="000D269A"/>
    <w:rsid w:val="000D26C5"/>
    <w:rsid w:val="000D2865"/>
    <w:rsid w:val="000D28C6"/>
    <w:rsid w:val="000D28DB"/>
    <w:rsid w:val="000D2AE9"/>
    <w:rsid w:val="000D2BDF"/>
    <w:rsid w:val="000D2D59"/>
    <w:rsid w:val="000D2D79"/>
    <w:rsid w:val="000D2E95"/>
    <w:rsid w:val="000D31BE"/>
    <w:rsid w:val="000D323D"/>
    <w:rsid w:val="000D32A3"/>
    <w:rsid w:val="000D32CD"/>
    <w:rsid w:val="000D3416"/>
    <w:rsid w:val="000D3516"/>
    <w:rsid w:val="000D3688"/>
    <w:rsid w:val="000D3773"/>
    <w:rsid w:val="000D38F1"/>
    <w:rsid w:val="000D39B6"/>
    <w:rsid w:val="000D3AD6"/>
    <w:rsid w:val="000D3B40"/>
    <w:rsid w:val="000D3B86"/>
    <w:rsid w:val="000D3D2E"/>
    <w:rsid w:val="000D3ED6"/>
    <w:rsid w:val="000D4024"/>
    <w:rsid w:val="000D40E5"/>
    <w:rsid w:val="000D411A"/>
    <w:rsid w:val="000D421F"/>
    <w:rsid w:val="000D424A"/>
    <w:rsid w:val="000D43EC"/>
    <w:rsid w:val="000D45CA"/>
    <w:rsid w:val="000D45EA"/>
    <w:rsid w:val="000D488C"/>
    <w:rsid w:val="000D4B0B"/>
    <w:rsid w:val="000D4CEE"/>
    <w:rsid w:val="000D4EB0"/>
    <w:rsid w:val="000D4FC6"/>
    <w:rsid w:val="000D4FDF"/>
    <w:rsid w:val="000D50A0"/>
    <w:rsid w:val="000D50C3"/>
    <w:rsid w:val="000D5132"/>
    <w:rsid w:val="000D51A9"/>
    <w:rsid w:val="000D536A"/>
    <w:rsid w:val="000D54CA"/>
    <w:rsid w:val="000D5607"/>
    <w:rsid w:val="000D566F"/>
    <w:rsid w:val="000D59BA"/>
    <w:rsid w:val="000D59E5"/>
    <w:rsid w:val="000D5A44"/>
    <w:rsid w:val="000D5AE4"/>
    <w:rsid w:val="000D5B55"/>
    <w:rsid w:val="000D5CF5"/>
    <w:rsid w:val="000D5D4E"/>
    <w:rsid w:val="000D5EE6"/>
    <w:rsid w:val="000D6115"/>
    <w:rsid w:val="000D6158"/>
    <w:rsid w:val="000D61CD"/>
    <w:rsid w:val="000D6211"/>
    <w:rsid w:val="000D635C"/>
    <w:rsid w:val="000D6439"/>
    <w:rsid w:val="000D649E"/>
    <w:rsid w:val="000D6539"/>
    <w:rsid w:val="000D664B"/>
    <w:rsid w:val="000D6677"/>
    <w:rsid w:val="000D6765"/>
    <w:rsid w:val="000D679A"/>
    <w:rsid w:val="000D67D0"/>
    <w:rsid w:val="000D6824"/>
    <w:rsid w:val="000D68D5"/>
    <w:rsid w:val="000D6911"/>
    <w:rsid w:val="000D693E"/>
    <w:rsid w:val="000D697B"/>
    <w:rsid w:val="000D6AC3"/>
    <w:rsid w:val="000D6CA2"/>
    <w:rsid w:val="000D6D37"/>
    <w:rsid w:val="000D6DE5"/>
    <w:rsid w:val="000D6F75"/>
    <w:rsid w:val="000D7214"/>
    <w:rsid w:val="000D72C4"/>
    <w:rsid w:val="000D7300"/>
    <w:rsid w:val="000D7321"/>
    <w:rsid w:val="000D7425"/>
    <w:rsid w:val="000D75A9"/>
    <w:rsid w:val="000D795C"/>
    <w:rsid w:val="000D7A15"/>
    <w:rsid w:val="000D7CA2"/>
    <w:rsid w:val="000D7D7C"/>
    <w:rsid w:val="000D7D99"/>
    <w:rsid w:val="000D7DC5"/>
    <w:rsid w:val="000D7FBF"/>
    <w:rsid w:val="000D7FC7"/>
    <w:rsid w:val="000E039D"/>
    <w:rsid w:val="000E0413"/>
    <w:rsid w:val="000E049E"/>
    <w:rsid w:val="000E05C0"/>
    <w:rsid w:val="000E0630"/>
    <w:rsid w:val="000E063B"/>
    <w:rsid w:val="000E064C"/>
    <w:rsid w:val="000E0A37"/>
    <w:rsid w:val="000E0BBE"/>
    <w:rsid w:val="000E0BD8"/>
    <w:rsid w:val="000E0C36"/>
    <w:rsid w:val="000E0C64"/>
    <w:rsid w:val="000E0E94"/>
    <w:rsid w:val="000E13BA"/>
    <w:rsid w:val="000E1404"/>
    <w:rsid w:val="000E1643"/>
    <w:rsid w:val="000E1690"/>
    <w:rsid w:val="000E1723"/>
    <w:rsid w:val="000E17DF"/>
    <w:rsid w:val="000E1909"/>
    <w:rsid w:val="000E19F5"/>
    <w:rsid w:val="000E1A04"/>
    <w:rsid w:val="000E1CE9"/>
    <w:rsid w:val="000E1D14"/>
    <w:rsid w:val="000E1F37"/>
    <w:rsid w:val="000E1F5C"/>
    <w:rsid w:val="000E1F92"/>
    <w:rsid w:val="000E204F"/>
    <w:rsid w:val="000E209D"/>
    <w:rsid w:val="000E218B"/>
    <w:rsid w:val="000E21C7"/>
    <w:rsid w:val="000E2222"/>
    <w:rsid w:val="000E25F3"/>
    <w:rsid w:val="000E2659"/>
    <w:rsid w:val="000E2699"/>
    <w:rsid w:val="000E2737"/>
    <w:rsid w:val="000E27AE"/>
    <w:rsid w:val="000E289C"/>
    <w:rsid w:val="000E2968"/>
    <w:rsid w:val="000E2D26"/>
    <w:rsid w:val="000E2E21"/>
    <w:rsid w:val="000E2FAE"/>
    <w:rsid w:val="000E312E"/>
    <w:rsid w:val="000E31D0"/>
    <w:rsid w:val="000E3274"/>
    <w:rsid w:val="000E32B4"/>
    <w:rsid w:val="000E3360"/>
    <w:rsid w:val="000E33AD"/>
    <w:rsid w:val="000E3568"/>
    <w:rsid w:val="000E35F9"/>
    <w:rsid w:val="000E3661"/>
    <w:rsid w:val="000E3873"/>
    <w:rsid w:val="000E3A1F"/>
    <w:rsid w:val="000E3B22"/>
    <w:rsid w:val="000E3B2A"/>
    <w:rsid w:val="000E3BDD"/>
    <w:rsid w:val="000E3BF1"/>
    <w:rsid w:val="000E3C55"/>
    <w:rsid w:val="000E3EA0"/>
    <w:rsid w:val="000E3ED2"/>
    <w:rsid w:val="000E3F4D"/>
    <w:rsid w:val="000E41C8"/>
    <w:rsid w:val="000E4337"/>
    <w:rsid w:val="000E433C"/>
    <w:rsid w:val="000E4459"/>
    <w:rsid w:val="000E445F"/>
    <w:rsid w:val="000E44F9"/>
    <w:rsid w:val="000E452C"/>
    <w:rsid w:val="000E45BC"/>
    <w:rsid w:val="000E461C"/>
    <w:rsid w:val="000E4652"/>
    <w:rsid w:val="000E4714"/>
    <w:rsid w:val="000E4886"/>
    <w:rsid w:val="000E4904"/>
    <w:rsid w:val="000E4AEC"/>
    <w:rsid w:val="000E4BAD"/>
    <w:rsid w:val="000E4D68"/>
    <w:rsid w:val="000E4DA2"/>
    <w:rsid w:val="000E4E51"/>
    <w:rsid w:val="000E4F4C"/>
    <w:rsid w:val="000E5060"/>
    <w:rsid w:val="000E50D5"/>
    <w:rsid w:val="000E5393"/>
    <w:rsid w:val="000E544A"/>
    <w:rsid w:val="000E54D4"/>
    <w:rsid w:val="000E55C8"/>
    <w:rsid w:val="000E55DC"/>
    <w:rsid w:val="000E56D4"/>
    <w:rsid w:val="000E5900"/>
    <w:rsid w:val="000E5938"/>
    <w:rsid w:val="000E5A8D"/>
    <w:rsid w:val="000E5B6F"/>
    <w:rsid w:val="000E5B73"/>
    <w:rsid w:val="000E5CD0"/>
    <w:rsid w:val="000E5D8B"/>
    <w:rsid w:val="000E5E1B"/>
    <w:rsid w:val="000E5E48"/>
    <w:rsid w:val="000E5EFD"/>
    <w:rsid w:val="000E611B"/>
    <w:rsid w:val="000E626B"/>
    <w:rsid w:val="000E6364"/>
    <w:rsid w:val="000E63A9"/>
    <w:rsid w:val="000E63F9"/>
    <w:rsid w:val="000E64D9"/>
    <w:rsid w:val="000E6613"/>
    <w:rsid w:val="000E674D"/>
    <w:rsid w:val="000E67A6"/>
    <w:rsid w:val="000E67C4"/>
    <w:rsid w:val="000E686C"/>
    <w:rsid w:val="000E6A4C"/>
    <w:rsid w:val="000E6A69"/>
    <w:rsid w:val="000E6AA5"/>
    <w:rsid w:val="000E6CA9"/>
    <w:rsid w:val="000E6CF3"/>
    <w:rsid w:val="000E6D1C"/>
    <w:rsid w:val="000E6E67"/>
    <w:rsid w:val="000E7020"/>
    <w:rsid w:val="000E708D"/>
    <w:rsid w:val="000E70AC"/>
    <w:rsid w:val="000E70DB"/>
    <w:rsid w:val="000E70F4"/>
    <w:rsid w:val="000E714E"/>
    <w:rsid w:val="000E74DE"/>
    <w:rsid w:val="000E752F"/>
    <w:rsid w:val="000E75AD"/>
    <w:rsid w:val="000E7937"/>
    <w:rsid w:val="000E7952"/>
    <w:rsid w:val="000E7A5F"/>
    <w:rsid w:val="000E7A9D"/>
    <w:rsid w:val="000E7AEB"/>
    <w:rsid w:val="000E7CB7"/>
    <w:rsid w:val="000E7D10"/>
    <w:rsid w:val="000E7F65"/>
    <w:rsid w:val="000E7F92"/>
    <w:rsid w:val="000F0034"/>
    <w:rsid w:val="000F010F"/>
    <w:rsid w:val="000F014D"/>
    <w:rsid w:val="000F0368"/>
    <w:rsid w:val="000F058B"/>
    <w:rsid w:val="000F06B0"/>
    <w:rsid w:val="000F07D8"/>
    <w:rsid w:val="000F0AF7"/>
    <w:rsid w:val="000F0B33"/>
    <w:rsid w:val="000F0CD8"/>
    <w:rsid w:val="000F0DAC"/>
    <w:rsid w:val="000F0F5F"/>
    <w:rsid w:val="000F0F6D"/>
    <w:rsid w:val="000F11BE"/>
    <w:rsid w:val="000F12BC"/>
    <w:rsid w:val="000F12C6"/>
    <w:rsid w:val="000F1365"/>
    <w:rsid w:val="000F17D7"/>
    <w:rsid w:val="000F184D"/>
    <w:rsid w:val="000F1857"/>
    <w:rsid w:val="000F1A3E"/>
    <w:rsid w:val="000F1B21"/>
    <w:rsid w:val="000F1CD1"/>
    <w:rsid w:val="000F1CD5"/>
    <w:rsid w:val="000F1DCC"/>
    <w:rsid w:val="000F1E27"/>
    <w:rsid w:val="000F1FF0"/>
    <w:rsid w:val="000F2207"/>
    <w:rsid w:val="000F22B4"/>
    <w:rsid w:val="000F26A4"/>
    <w:rsid w:val="000F2704"/>
    <w:rsid w:val="000F270B"/>
    <w:rsid w:val="000F2712"/>
    <w:rsid w:val="000F28BB"/>
    <w:rsid w:val="000F294F"/>
    <w:rsid w:val="000F2C41"/>
    <w:rsid w:val="000F2FB4"/>
    <w:rsid w:val="000F3016"/>
    <w:rsid w:val="000F30A5"/>
    <w:rsid w:val="000F3119"/>
    <w:rsid w:val="000F3123"/>
    <w:rsid w:val="000F3232"/>
    <w:rsid w:val="000F324E"/>
    <w:rsid w:val="000F3377"/>
    <w:rsid w:val="000F33B4"/>
    <w:rsid w:val="000F33C4"/>
    <w:rsid w:val="000F352F"/>
    <w:rsid w:val="000F353E"/>
    <w:rsid w:val="000F3544"/>
    <w:rsid w:val="000F35BB"/>
    <w:rsid w:val="000F367F"/>
    <w:rsid w:val="000F3A4F"/>
    <w:rsid w:val="000F3B86"/>
    <w:rsid w:val="000F3C62"/>
    <w:rsid w:val="000F3C7B"/>
    <w:rsid w:val="000F3D12"/>
    <w:rsid w:val="000F3D2B"/>
    <w:rsid w:val="000F3E68"/>
    <w:rsid w:val="000F3EA0"/>
    <w:rsid w:val="000F3EBF"/>
    <w:rsid w:val="000F3ECC"/>
    <w:rsid w:val="000F3F3B"/>
    <w:rsid w:val="000F412A"/>
    <w:rsid w:val="000F4210"/>
    <w:rsid w:val="000F4283"/>
    <w:rsid w:val="000F4625"/>
    <w:rsid w:val="000F474C"/>
    <w:rsid w:val="000F475C"/>
    <w:rsid w:val="000F4766"/>
    <w:rsid w:val="000F48FA"/>
    <w:rsid w:val="000F4931"/>
    <w:rsid w:val="000F4D42"/>
    <w:rsid w:val="000F4FB8"/>
    <w:rsid w:val="000F4FD0"/>
    <w:rsid w:val="000F5290"/>
    <w:rsid w:val="000F52F1"/>
    <w:rsid w:val="000F54A2"/>
    <w:rsid w:val="000F5551"/>
    <w:rsid w:val="000F55E0"/>
    <w:rsid w:val="000F56AE"/>
    <w:rsid w:val="000F573E"/>
    <w:rsid w:val="000F575A"/>
    <w:rsid w:val="000F57FF"/>
    <w:rsid w:val="000F5865"/>
    <w:rsid w:val="000F5902"/>
    <w:rsid w:val="000F5A63"/>
    <w:rsid w:val="000F5B24"/>
    <w:rsid w:val="000F5B68"/>
    <w:rsid w:val="000F5B81"/>
    <w:rsid w:val="000F5BED"/>
    <w:rsid w:val="000F5EC3"/>
    <w:rsid w:val="000F5EC8"/>
    <w:rsid w:val="000F5F44"/>
    <w:rsid w:val="000F5F7A"/>
    <w:rsid w:val="000F5F97"/>
    <w:rsid w:val="000F5FE6"/>
    <w:rsid w:val="000F6064"/>
    <w:rsid w:val="000F6094"/>
    <w:rsid w:val="000F6209"/>
    <w:rsid w:val="000F6216"/>
    <w:rsid w:val="000F6413"/>
    <w:rsid w:val="000F647A"/>
    <w:rsid w:val="000F64C8"/>
    <w:rsid w:val="000F64D3"/>
    <w:rsid w:val="000F6580"/>
    <w:rsid w:val="000F66E1"/>
    <w:rsid w:val="000F68B5"/>
    <w:rsid w:val="000F69F1"/>
    <w:rsid w:val="000F69FE"/>
    <w:rsid w:val="000F6AC6"/>
    <w:rsid w:val="000F6CBF"/>
    <w:rsid w:val="000F7004"/>
    <w:rsid w:val="000F7026"/>
    <w:rsid w:val="000F7089"/>
    <w:rsid w:val="000F7162"/>
    <w:rsid w:val="000F7316"/>
    <w:rsid w:val="000F75F1"/>
    <w:rsid w:val="000F766C"/>
    <w:rsid w:val="000F76B9"/>
    <w:rsid w:val="000F76E1"/>
    <w:rsid w:val="000F7723"/>
    <w:rsid w:val="000F7769"/>
    <w:rsid w:val="000F78F4"/>
    <w:rsid w:val="000F791A"/>
    <w:rsid w:val="000F796D"/>
    <w:rsid w:val="000F7970"/>
    <w:rsid w:val="000F7A07"/>
    <w:rsid w:val="000F7C7C"/>
    <w:rsid w:val="000F7D36"/>
    <w:rsid w:val="000F7EA0"/>
    <w:rsid w:val="000F7EBD"/>
    <w:rsid w:val="000F7F98"/>
    <w:rsid w:val="0010001D"/>
    <w:rsid w:val="00100169"/>
    <w:rsid w:val="00100178"/>
    <w:rsid w:val="001001B2"/>
    <w:rsid w:val="00100218"/>
    <w:rsid w:val="00100353"/>
    <w:rsid w:val="001004C5"/>
    <w:rsid w:val="0010068E"/>
    <w:rsid w:val="00100754"/>
    <w:rsid w:val="00100813"/>
    <w:rsid w:val="0010086E"/>
    <w:rsid w:val="0010091C"/>
    <w:rsid w:val="00100964"/>
    <w:rsid w:val="001009AF"/>
    <w:rsid w:val="00100AA8"/>
    <w:rsid w:val="00100B70"/>
    <w:rsid w:val="00100B75"/>
    <w:rsid w:val="00100CCB"/>
    <w:rsid w:val="00100E26"/>
    <w:rsid w:val="00100E92"/>
    <w:rsid w:val="00100ECE"/>
    <w:rsid w:val="00101056"/>
    <w:rsid w:val="001011D5"/>
    <w:rsid w:val="001012A6"/>
    <w:rsid w:val="001012BA"/>
    <w:rsid w:val="001012E2"/>
    <w:rsid w:val="001013CC"/>
    <w:rsid w:val="00101540"/>
    <w:rsid w:val="001015A4"/>
    <w:rsid w:val="001017CB"/>
    <w:rsid w:val="0010185E"/>
    <w:rsid w:val="00101A60"/>
    <w:rsid w:val="00101B80"/>
    <w:rsid w:val="00101C4F"/>
    <w:rsid w:val="00101EF0"/>
    <w:rsid w:val="00101F70"/>
    <w:rsid w:val="0010229C"/>
    <w:rsid w:val="001023D3"/>
    <w:rsid w:val="001024DF"/>
    <w:rsid w:val="00102899"/>
    <w:rsid w:val="001028C1"/>
    <w:rsid w:val="0010290E"/>
    <w:rsid w:val="00102A5F"/>
    <w:rsid w:val="00102CC5"/>
    <w:rsid w:val="00102CE7"/>
    <w:rsid w:val="00102D02"/>
    <w:rsid w:val="00102E41"/>
    <w:rsid w:val="00102E9D"/>
    <w:rsid w:val="001030A0"/>
    <w:rsid w:val="001030AF"/>
    <w:rsid w:val="00103171"/>
    <w:rsid w:val="001031E6"/>
    <w:rsid w:val="0010352A"/>
    <w:rsid w:val="00103622"/>
    <w:rsid w:val="00103627"/>
    <w:rsid w:val="00103648"/>
    <w:rsid w:val="00103655"/>
    <w:rsid w:val="00103722"/>
    <w:rsid w:val="001037C6"/>
    <w:rsid w:val="001037E3"/>
    <w:rsid w:val="001037E6"/>
    <w:rsid w:val="00103844"/>
    <w:rsid w:val="00103923"/>
    <w:rsid w:val="00103A1B"/>
    <w:rsid w:val="00103C90"/>
    <w:rsid w:val="00103D8A"/>
    <w:rsid w:val="00103E72"/>
    <w:rsid w:val="00103F4F"/>
    <w:rsid w:val="00104088"/>
    <w:rsid w:val="00104201"/>
    <w:rsid w:val="0010435F"/>
    <w:rsid w:val="001045C5"/>
    <w:rsid w:val="00104601"/>
    <w:rsid w:val="001046BE"/>
    <w:rsid w:val="00104835"/>
    <w:rsid w:val="001048F2"/>
    <w:rsid w:val="00104A87"/>
    <w:rsid w:val="00104B3D"/>
    <w:rsid w:val="00104C1C"/>
    <w:rsid w:val="00104CD8"/>
    <w:rsid w:val="00104D56"/>
    <w:rsid w:val="00104EFE"/>
    <w:rsid w:val="00104F5E"/>
    <w:rsid w:val="00104F6B"/>
    <w:rsid w:val="00104F9D"/>
    <w:rsid w:val="00105055"/>
    <w:rsid w:val="001053CC"/>
    <w:rsid w:val="001053D4"/>
    <w:rsid w:val="001053FC"/>
    <w:rsid w:val="0010541C"/>
    <w:rsid w:val="00105466"/>
    <w:rsid w:val="0010548C"/>
    <w:rsid w:val="001056F8"/>
    <w:rsid w:val="0010576F"/>
    <w:rsid w:val="00105955"/>
    <w:rsid w:val="001059D5"/>
    <w:rsid w:val="00105D0A"/>
    <w:rsid w:val="00105DCD"/>
    <w:rsid w:val="00105EA6"/>
    <w:rsid w:val="00105F1A"/>
    <w:rsid w:val="00105FE5"/>
    <w:rsid w:val="00106072"/>
    <w:rsid w:val="00106169"/>
    <w:rsid w:val="0010625A"/>
    <w:rsid w:val="001062A7"/>
    <w:rsid w:val="00106368"/>
    <w:rsid w:val="001064D8"/>
    <w:rsid w:val="00106503"/>
    <w:rsid w:val="00106651"/>
    <w:rsid w:val="00106722"/>
    <w:rsid w:val="00106A55"/>
    <w:rsid w:val="00106C6D"/>
    <w:rsid w:val="00106D6B"/>
    <w:rsid w:val="00106DF2"/>
    <w:rsid w:val="0010711B"/>
    <w:rsid w:val="00107166"/>
    <w:rsid w:val="00107248"/>
    <w:rsid w:val="0010740F"/>
    <w:rsid w:val="00107473"/>
    <w:rsid w:val="00107514"/>
    <w:rsid w:val="0010769E"/>
    <w:rsid w:val="001077A0"/>
    <w:rsid w:val="001077DC"/>
    <w:rsid w:val="00107874"/>
    <w:rsid w:val="0010787D"/>
    <w:rsid w:val="001078A3"/>
    <w:rsid w:val="00107980"/>
    <w:rsid w:val="001079FD"/>
    <w:rsid w:val="00107A26"/>
    <w:rsid w:val="00107A57"/>
    <w:rsid w:val="00107BAC"/>
    <w:rsid w:val="00107C53"/>
    <w:rsid w:val="00107C9C"/>
    <w:rsid w:val="00107D83"/>
    <w:rsid w:val="00107E87"/>
    <w:rsid w:val="00107F75"/>
    <w:rsid w:val="00110016"/>
    <w:rsid w:val="001101B1"/>
    <w:rsid w:val="001101DC"/>
    <w:rsid w:val="001102E0"/>
    <w:rsid w:val="001102EC"/>
    <w:rsid w:val="001103D8"/>
    <w:rsid w:val="0011049D"/>
    <w:rsid w:val="00110674"/>
    <w:rsid w:val="00110721"/>
    <w:rsid w:val="00110A1A"/>
    <w:rsid w:val="00110A9C"/>
    <w:rsid w:val="00110ADC"/>
    <w:rsid w:val="00110DB1"/>
    <w:rsid w:val="00110DD0"/>
    <w:rsid w:val="00110E87"/>
    <w:rsid w:val="00110FF0"/>
    <w:rsid w:val="0011104D"/>
    <w:rsid w:val="00111188"/>
    <w:rsid w:val="001111FF"/>
    <w:rsid w:val="00111269"/>
    <w:rsid w:val="001112FB"/>
    <w:rsid w:val="00111535"/>
    <w:rsid w:val="0011156D"/>
    <w:rsid w:val="00111616"/>
    <w:rsid w:val="0011162E"/>
    <w:rsid w:val="00111696"/>
    <w:rsid w:val="00111704"/>
    <w:rsid w:val="00111C5E"/>
    <w:rsid w:val="00111D47"/>
    <w:rsid w:val="00111DC8"/>
    <w:rsid w:val="0011209F"/>
    <w:rsid w:val="001120C3"/>
    <w:rsid w:val="001122E1"/>
    <w:rsid w:val="00112381"/>
    <w:rsid w:val="001123B3"/>
    <w:rsid w:val="001123E2"/>
    <w:rsid w:val="001123F0"/>
    <w:rsid w:val="0011248A"/>
    <w:rsid w:val="001125E6"/>
    <w:rsid w:val="001125FA"/>
    <w:rsid w:val="001126AC"/>
    <w:rsid w:val="00112864"/>
    <w:rsid w:val="001128A3"/>
    <w:rsid w:val="001128E5"/>
    <w:rsid w:val="00112A9C"/>
    <w:rsid w:val="00112C06"/>
    <w:rsid w:val="00112CC8"/>
    <w:rsid w:val="00112CDE"/>
    <w:rsid w:val="00112D43"/>
    <w:rsid w:val="00112E0A"/>
    <w:rsid w:val="00112E50"/>
    <w:rsid w:val="00112E98"/>
    <w:rsid w:val="00112EB4"/>
    <w:rsid w:val="00113113"/>
    <w:rsid w:val="001131F6"/>
    <w:rsid w:val="001132B6"/>
    <w:rsid w:val="001132D3"/>
    <w:rsid w:val="001132EF"/>
    <w:rsid w:val="00113439"/>
    <w:rsid w:val="001135B2"/>
    <w:rsid w:val="0011361B"/>
    <w:rsid w:val="0011387A"/>
    <w:rsid w:val="0011389C"/>
    <w:rsid w:val="00113921"/>
    <w:rsid w:val="0011394E"/>
    <w:rsid w:val="0011399A"/>
    <w:rsid w:val="00113C4E"/>
    <w:rsid w:val="00113C99"/>
    <w:rsid w:val="00113FDE"/>
    <w:rsid w:val="00114249"/>
    <w:rsid w:val="0011424B"/>
    <w:rsid w:val="001142B1"/>
    <w:rsid w:val="00114699"/>
    <w:rsid w:val="001147E1"/>
    <w:rsid w:val="00114878"/>
    <w:rsid w:val="00114DD2"/>
    <w:rsid w:val="00114F14"/>
    <w:rsid w:val="0011537F"/>
    <w:rsid w:val="00115464"/>
    <w:rsid w:val="001154C2"/>
    <w:rsid w:val="001154CC"/>
    <w:rsid w:val="00115510"/>
    <w:rsid w:val="0011553E"/>
    <w:rsid w:val="00115575"/>
    <w:rsid w:val="001155A2"/>
    <w:rsid w:val="001156F2"/>
    <w:rsid w:val="00115782"/>
    <w:rsid w:val="001157C9"/>
    <w:rsid w:val="00115831"/>
    <w:rsid w:val="001158C6"/>
    <w:rsid w:val="00115A43"/>
    <w:rsid w:val="00115A55"/>
    <w:rsid w:val="00115A97"/>
    <w:rsid w:val="00115AF4"/>
    <w:rsid w:val="00115B1E"/>
    <w:rsid w:val="00115B30"/>
    <w:rsid w:val="00115BA8"/>
    <w:rsid w:val="00115CDD"/>
    <w:rsid w:val="00115E59"/>
    <w:rsid w:val="00115F0F"/>
    <w:rsid w:val="0011609F"/>
    <w:rsid w:val="001163E6"/>
    <w:rsid w:val="00116486"/>
    <w:rsid w:val="00116849"/>
    <w:rsid w:val="0011689C"/>
    <w:rsid w:val="00116B1B"/>
    <w:rsid w:val="00116B6A"/>
    <w:rsid w:val="00116BC1"/>
    <w:rsid w:val="00116D56"/>
    <w:rsid w:val="00116EA0"/>
    <w:rsid w:val="00116FF4"/>
    <w:rsid w:val="0011703F"/>
    <w:rsid w:val="00117082"/>
    <w:rsid w:val="00117165"/>
    <w:rsid w:val="0011720A"/>
    <w:rsid w:val="001172B7"/>
    <w:rsid w:val="00117341"/>
    <w:rsid w:val="0011743C"/>
    <w:rsid w:val="001176A5"/>
    <w:rsid w:val="001176FF"/>
    <w:rsid w:val="00117717"/>
    <w:rsid w:val="00117865"/>
    <w:rsid w:val="00117898"/>
    <w:rsid w:val="00117ACD"/>
    <w:rsid w:val="00117AE4"/>
    <w:rsid w:val="00117B58"/>
    <w:rsid w:val="00117B82"/>
    <w:rsid w:val="00117BD7"/>
    <w:rsid w:val="00117C3E"/>
    <w:rsid w:val="00117C4B"/>
    <w:rsid w:val="00117CA7"/>
    <w:rsid w:val="00117CAE"/>
    <w:rsid w:val="00117E58"/>
    <w:rsid w:val="0012014C"/>
    <w:rsid w:val="00120373"/>
    <w:rsid w:val="001206DC"/>
    <w:rsid w:val="001206FC"/>
    <w:rsid w:val="00120788"/>
    <w:rsid w:val="00120834"/>
    <w:rsid w:val="00120A04"/>
    <w:rsid w:val="00120B5C"/>
    <w:rsid w:val="00120BDB"/>
    <w:rsid w:val="00120C22"/>
    <w:rsid w:val="00120EBB"/>
    <w:rsid w:val="001210B6"/>
    <w:rsid w:val="001210EB"/>
    <w:rsid w:val="0012120A"/>
    <w:rsid w:val="001212E7"/>
    <w:rsid w:val="00121547"/>
    <w:rsid w:val="0012159B"/>
    <w:rsid w:val="00121693"/>
    <w:rsid w:val="001216AF"/>
    <w:rsid w:val="00121881"/>
    <w:rsid w:val="001218A1"/>
    <w:rsid w:val="001219D2"/>
    <w:rsid w:val="00121B71"/>
    <w:rsid w:val="00121C5B"/>
    <w:rsid w:val="00121D3A"/>
    <w:rsid w:val="00121F4C"/>
    <w:rsid w:val="00122099"/>
    <w:rsid w:val="0012226A"/>
    <w:rsid w:val="001224F5"/>
    <w:rsid w:val="001225EE"/>
    <w:rsid w:val="00122758"/>
    <w:rsid w:val="0012283C"/>
    <w:rsid w:val="00122A3B"/>
    <w:rsid w:val="00122AAD"/>
    <w:rsid w:val="00122D9E"/>
    <w:rsid w:val="00122E14"/>
    <w:rsid w:val="00122E54"/>
    <w:rsid w:val="00122F33"/>
    <w:rsid w:val="001231AE"/>
    <w:rsid w:val="001231ED"/>
    <w:rsid w:val="0012326B"/>
    <w:rsid w:val="00123328"/>
    <w:rsid w:val="00123376"/>
    <w:rsid w:val="00123412"/>
    <w:rsid w:val="00123434"/>
    <w:rsid w:val="001234E1"/>
    <w:rsid w:val="00123598"/>
    <w:rsid w:val="00123609"/>
    <w:rsid w:val="001237BE"/>
    <w:rsid w:val="001238C6"/>
    <w:rsid w:val="00123B75"/>
    <w:rsid w:val="00123B88"/>
    <w:rsid w:val="00123BC5"/>
    <w:rsid w:val="00123C7F"/>
    <w:rsid w:val="00123CFE"/>
    <w:rsid w:val="00123D5B"/>
    <w:rsid w:val="00124062"/>
    <w:rsid w:val="0012408D"/>
    <w:rsid w:val="001240F0"/>
    <w:rsid w:val="00124171"/>
    <w:rsid w:val="001242BE"/>
    <w:rsid w:val="001243E9"/>
    <w:rsid w:val="00124566"/>
    <w:rsid w:val="00124617"/>
    <w:rsid w:val="00124637"/>
    <w:rsid w:val="0012477A"/>
    <w:rsid w:val="001248EB"/>
    <w:rsid w:val="00124917"/>
    <w:rsid w:val="00124B2C"/>
    <w:rsid w:val="00124B56"/>
    <w:rsid w:val="00124B69"/>
    <w:rsid w:val="00124C1E"/>
    <w:rsid w:val="001251B7"/>
    <w:rsid w:val="0012529F"/>
    <w:rsid w:val="001252CA"/>
    <w:rsid w:val="0012553D"/>
    <w:rsid w:val="001255A0"/>
    <w:rsid w:val="00125756"/>
    <w:rsid w:val="001257AC"/>
    <w:rsid w:val="001258A8"/>
    <w:rsid w:val="001258EB"/>
    <w:rsid w:val="00125A04"/>
    <w:rsid w:val="00125A7B"/>
    <w:rsid w:val="00125BD3"/>
    <w:rsid w:val="00125BD8"/>
    <w:rsid w:val="00125BE2"/>
    <w:rsid w:val="00125C05"/>
    <w:rsid w:val="00125EC8"/>
    <w:rsid w:val="001263F0"/>
    <w:rsid w:val="00126639"/>
    <w:rsid w:val="00126696"/>
    <w:rsid w:val="00126720"/>
    <w:rsid w:val="001267A8"/>
    <w:rsid w:val="00126A7B"/>
    <w:rsid w:val="00126B8D"/>
    <w:rsid w:val="00126BD3"/>
    <w:rsid w:val="00126D3C"/>
    <w:rsid w:val="00126DE6"/>
    <w:rsid w:val="00126E09"/>
    <w:rsid w:val="00126F12"/>
    <w:rsid w:val="00126FF9"/>
    <w:rsid w:val="001270D9"/>
    <w:rsid w:val="00127101"/>
    <w:rsid w:val="0012712C"/>
    <w:rsid w:val="00127286"/>
    <w:rsid w:val="0012762F"/>
    <w:rsid w:val="00127698"/>
    <w:rsid w:val="001276A5"/>
    <w:rsid w:val="001276FC"/>
    <w:rsid w:val="00127751"/>
    <w:rsid w:val="00127AF2"/>
    <w:rsid w:val="00127B02"/>
    <w:rsid w:val="00127C49"/>
    <w:rsid w:val="00127D12"/>
    <w:rsid w:val="00127FA3"/>
    <w:rsid w:val="001300F1"/>
    <w:rsid w:val="0013011D"/>
    <w:rsid w:val="001302E5"/>
    <w:rsid w:val="0013049B"/>
    <w:rsid w:val="0013058A"/>
    <w:rsid w:val="001305B0"/>
    <w:rsid w:val="001305F6"/>
    <w:rsid w:val="00130777"/>
    <w:rsid w:val="00130838"/>
    <w:rsid w:val="00130913"/>
    <w:rsid w:val="00130952"/>
    <w:rsid w:val="001309F6"/>
    <w:rsid w:val="00130A29"/>
    <w:rsid w:val="00130B5E"/>
    <w:rsid w:val="00130B94"/>
    <w:rsid w:val="00130CDA"/>
    <w:rsid w:val="00130EFC"/>
    <w:rsid w:val="00131004"/>
    <w:rsid w:val="00131331"/>
    <w:rsid w:val="001313AC"/>
    <w:rsid w:val="00131582"/>
    <w:rsid w:val="00131706"/>
    <w:rsid w:val="00131768"/>
    <w:rsid w:val="0013176A"/>
    <w:rsid w:val="0013176E"/>
    <w:rsid w:val="00131861"/>
    <w:rsid w:val="00131946"/>
    <w:rsid w:val="00131AC8"/>
    <w:rsid w:val="00131C0A"/>
    <w:rsid w:val="00131C9A"/>
    <w:rsid w:val="00131CAB"/>
    <w:rsid w:val="00131D0B"/>
    <w:rsid w:val="00131E1B"/>
    <w:rsid w:val="00131E7A"/>
    <w:rsid w:val="00131F42"/>
    <w:rsid w:val="00131FC3"/>
    <w:rsid w:val="00131FFA"/>
    <w:rsid w:val="00132029"/>
    <w:rsid w:val="00132428"/>
    <w:rsid w:val="0013243B"/>
    <w:rsid w:val="0013265E"/>
    <w:rsid w:val="00132692"/>
    <w:rsid w:val="001326A4"/>
    <w:rsid w:val="0013270E"/>
    <w:rsid w:val="00132766"/>
    <w:rsid w:val="001328C0"/>
    <w:rsid w:val="00132975"/>
    <w:rsid w:val="00132ADD"/>
    <w:rsid w:val="00132B29"/>
    <w:rsid w:val="00132CAA"/>
    <w:rsid w:val="00132CC2"/>
    <w:rsid w:val="00132CD7"/>
    <w:rsid w:val="00132D32"/>
    <w:rsid w:val="00132D4A"/>
    <w:rsid w:val="00132DF1"/>
    <w:rsid w:val="00132EAD"/>
    <w:rsid w:val="001330A7"/>
    <w:rsid w:val="001330B1"/>
    <w:rsid w:val="00133143"/>
    <w:rsid w:val="00133182"/>
    <w:rsid w:val="0013325D"/>
    <w:rsid w:val="00133283"/>
    <w:rsid w:val="0013354F"/>
    <w:rsid w:val="00133759"/>
    <w:rsid w:val="0013375A"/>
    <w:rsid w:val="00133882"/>
    <w:rsid w:val="0013389E"/>
    <w:rsid w:val="00133C83"/>
    <w:rsid w:val="00133D8C"/>
    <w:rsid w:val="00133EE9"/>
    <w:rsid w:val="00133F18"/>
    <w:rsid w:val="00133FF1"/>
    <w:rsid w:val="001343A4"/>
    <w:rsid w:val="00134493"/>
    <w:rsid w:val="00134538"/>
    <w:rsid w:val="001348AC"/>
    <w:rsid w:val="00134928"/>
    <w:rsid w:val="00134940"/>
    <w:rsid w:val="00134957"/>
    <w:rsid w:val="00134A3B"/>
    <w:rsid w:val="00134AA0"/>
    <w:rsid w:val="00134AFE"/>
    <w:rsid w:val="00134C18"/>
    <w:rsid w:val="00134D0E"/>
    <w:rsid w:val="00134D35"/>
    <w:rsid w:val="00134E7B"/>
    <w:rsid w:val="00134EA9"/>
    <w:rsid w:val="00134FC0"/>
    <w:rsid w:val="00135033"/>
    <w:rsid w:val="0013524E"/>
    <w:rsid w:val="00135356"/>
    <w:rsid w:val="001353E2"/>
    <w:rsid w:val="00135413"/>
    <w:rsid w:val="0013544E"/>
    <w:rsid w:val="00135477"/>
    <w:rsid w:val="001356DD"/>
    <w:rsid w:val="001357F1"/>
    <w:rsid w:val="00135902"/>
    <w:rsid w:val="00135A6A"/>
    <w:rsid w:val="00135A8F"/>
    <w:rsid w:val="00135AFE"/>
    <w:rsid w:val="00135DA5"/>
    <w:rsid w:val="00135EF7"/>
    <w:rsid w:val="00135F31"/>
    <w:rsid w:val="00135F52"/>
    <w:rsid w:val="00135FAC"/>
    <w:rsid w:val="00136036"/>
    <w:rsid w:val="00136145"/>
    <w:rsid w:val="001361F6"/>
    <w:rsid w:val="00136240"/>
    <w:rsid w:val="00136337"/>
    <w:rsid w:val="001365B3"/>
    <w:rsid w:val="00136766"/>
    <w:rsid w:val="001367B1"/>
    <w:rsid w:val="0013693B"/>
    <w:rsid w:val="001369BA"/>
    <w:rsid w:val="00136DBD"/>
    <w:rsid w:val="00136E32"/>
    <w:rsid w:val="0013701D"/>
    <w:rsid w:val="00137106"/>
    <w:rsid w:val="00137229"/>
    <w:rsid w:val="001372C2"/>
    <w:rsid w:val="00137381"/>
    <w:rsid w:val="001373C3"/>
    <w:rsid w:val="0013757D"/>
    <w:rsid w:val="001375E7"/>
    <w:rsid w:val="0013779C"/>
    <w:rsid w:val="00137A7F"/>
    <w:rsid w:val="00137BDA"/>
    <w:rsid w:val="00137C59"/>
    <w:rsid w:val="00137E1C"/>
    <w:rsid w:val="00137E53"/>
    <w:rsid w:val="00137E9E"/>
    <w:rsid w:val="00137F26"/>
    <w:rsid w:val="00137F7D"/>
    <w:rsid w:val="00137FC3"/>
    <w:rsid w:val="00137FF7"/>
    <w:rsid w:val="00140085"/>
    <w:rsid w:val="001400A8"/>
    <w:rsid w:val="001400A9"/>
    <w:rsid w:val="00140124"/>
    <w:rsid w:val="001401F2"/>
    <w:rsid w:val="001402C8"/>
    <w:rsid w:val="001405A7"/>
    <w:rsid w:val="001405F9"/>
    <w:rsid w:val="00140639"/>
    <w:rsid w:val="00140648"/>
    <w:rsid w:val="0014064B"/>
    <w:rsid w:val="0014075E"/>
    <w:rsid w:val="00140B2D"/>
    <w:rsid w:val="00140B95"/>
    <w:rsid w:val="00140CAF"/>
    <w:rsid w:val="00140CC3"/>
    <w:rsid w:val="00140D37"/>
    <w:rsid w:val="00140E06"/>
    <w:rsid w:val="00140E41"/>
    <w:rsid w:val="00140E78"/>
    <w:rsid w:val="00140E8C"/>
    <w:rsid w:val="00140FA8"/>
    <w:rsid w:val="00140FD4"/>
    <w:rsid w:val="00141040"/>
    <w:rsid w:val="00141124"/>
    <w:rsid w:val="00141149"/>
    <w:rsid w:val="00141184"/>
    <w:rsid w:val="00141198"/>
    <w:rsid w:val="00141310"/>
    <w:rsid w:val="001413AC"/>
    <w:rsid w:val="00141463"/>
    <w:rsid w:val="001414D1"/>
    <w:rsid w:val="0014158D"/>
    <w:rsid w:val="00141632"/>
    <w:rsid w:val="00141849"/>
    <w:rsid w:val="00141982"/>
    <w:rsid w:val="00141B0B"/>
    <w:rsid w:val="00141ECC"/>
    <w:rsid w:val="00141F2B"/>
    <w:rsid w:val="00141FE7"/>
    <w:rsid w:val="00142104"/>
    <w:rsid w:val="0014217F"/>
    <w:rsid w:val="001421EE"/>
    <w:rsid w:val="001425DF"/>
    <w:rsid w:val="00142704"/>
    <w:rsid w:val="0014274D"/>
    <w:rsid w:val="00142760"/>
    <w:rsid w:val="00142840"/>
    <w:rsid w:val="00142860"/>
    <w:rsid w:val="00142991"/>
    <w:rsid w:val="00142A3E"/>
    <w:rsid w:val="00142A4B"/>
    <w:rsid w:val="00142DED"/>
    <w:rsid w:val="00142DEF"/>
    <w:rsid w:val="00142EFA"/>
    <w:rsid w:val="00142FB6"/>
    <w:rsid w:val="00142FC2"/>
    <w:rsid w:val="00142FEB"/>
    <w:rsid w:val="00143045"/>
    <w:rsid w:val="001435B8"/>
    <w:rsid w:val="00143796"/>
    <w:rsid w:val="00143A0E"/>
    <w:rsid w:val="00143A2D"/>
    <w:rsid w:val="00143DDA"/>
    <w:rsid w:val="00143DE2"/>
    <w:rsid w:val="00143E9A"/>
    <w:rsid w:val="00144093"/>
    <w:rsid w:val="00144094"/>
    <w:rsid w:val="0014411E"/>
    <w:rsid w:val="001441FE"/>
    <w:rsid w:val="0014428C"/>
    <w:rsid w:val="001442F6"/>
    <w:rsid w:val="00144468"/>
    <w:rsid w:val="0014453F"/>
    <w:rsid w:val="0014458F"/>
    <w:rsid w:val="001445B2"/>
    <w:rsid w:val="00144603"/>
    <w:rsid w:val="00144627"/>
    <w:rsid w:val="001446F5"/>
    <w:rsid w:val="001446FE"/>
    <w:rsid w:val="0014474B"/>
    <w:rsid w:val="001447C5"/>
    <w:rsid w:val="00144888"/>
    <w:rsid w:val="001449DA"/>
    <w:rsid w:val="00144A2E"/>
    <w:rsid w:val="00144AE7"/>
    <w:rsid w:val="00144B23"/>
    <w:rsid w:val="00144B7A"/>
    <w:rsid w:val="00144BB4"/>
    <w:rsid w:val="00144CAB"/>
    <w:rsid w:val="00144D79"/>
    <w:rsid w:val="00144D88"/>
    <w:rsid w:val="00144E4E"/>
    <w:rsid w:val="00144FED"/>
    <w:rsid w:val="00145081"/>
    <w:rsid w:val="001454A4"/>
    <w:rsid w:val="00145662"/>
    <w:rsid w:val="00145927"/>
    <w:rsid w:val="00145A41"/>
    <w:rsid w:val="00145BEF"/>
    <w:rsid w:val="00145C11"/>
    <w:rsid w:val="00145DBD"/>
    <w:rsid w:val="00145E58"/>
    <w:rsid w:val="00145EA7"/>
    <w:rsid w:val="001461E1"/>
    <w:rsid w:val="001463F0"/>
    <w:rsid w:val="001464D7"/>
    <w:rsid w:val="0014660A"/>
    <w:rsid w:val="00146673"/>
    <w:rsid w:val="00146705"/>
    <w:rsid w:val="0014681B"/>
    <w:rsid w:val="001468C2"/>
    <w:rsid w:val="001468D0"/>
    <w:rsid w:val="00146A33"/>
    <w:rsid w:val="00146A72"/>
    <w:rsid w:val="00146ACB"/>
    <w:rsid w:val="00146C57"/>
    <w:rsid w:val="00146C66"/>
    <w:rsid w:val="00146E1A"/>
    <w:rsid w:val="00146E6B"/>
    <w:rsid w:val="0014728A"/>
    <w:rsid w:val="001473AF"/>
    <w:rsid w:val="0014774D"/>
    <w:rsid w:val="0014795A"/>
    <w:rsid w:val="00147B2B"/>
    <w:rsid w:val="00147EFA"/>
    <w:rsid w:val="00147F1C"/>
    <w:rsid w:val="00147F5C"/>
    <w:rsid w:val="00147F74"/>
    <w:rsid w:val="00147F96"/>
    <w:rsid w:val="001500F9"/>
    <w:rsid w:val="0015010D"/>
    <w:rsid w:val="00150150"/>
    <w:rsid w:val="001501EC"/>
    <w:rsid w:val="00150937"/>
    <w:rsid w:val="00150B4E"/>
    <w:rsid w:val="00150DE0"/>
    <w:rsid w:val="00150FC3"/>
    <w:rsid w:val="0015105D"/>
    <w:rsid w:val="0015108A"/>
    <w:rsid w:val="00151146"/>
    <w:rsid w:val="001511B4"/>
    <w:rsid w:val="001511BE"/>
    <w:rsid w:val="00151353"/>
    <w:rsid w:val="00151396"/>
    <w:rsid w:val="0015150D"/>
    <w:rsid w:val="00151656"/>
    <w:rsid w:val="00151675"/>
    <w:rsid w:val="00151ACB"/>
    <w:rsid w:val="00151BE3"/>
    <w:rsid w:val="00151C2D"/>
    <w:rsid w:val="00151C40"/>
    <w:rsid w:val="00151C62"/>
    <w:rsid w:val="00151D2E"/>
    <w:rsid w:val="00151E84"/>
    <w:rsid w:val="00151FED"/>
    <w:rsid w:val="00152054"/>
    <w:rsid w:val="0015207A"/>
    <w:rsid w:val="00152126"/>
    <w:rsid w:val="0015226A"/>
    <w:rsid w:val="00152291"/>
    <w:rsid w:val="0015236E"/>
    <w:rsid w:val="00152537"/>
    <w:rsid w:val="0015280B"/>
    <w:rsid w:val="001529F4"/>
    <w:rsid w:val="00152C59"/>
    <w:rsid w:val="00152CE9"/>
    <w:rsid w:val="00152EC6"/>
    <w:rsid w:val="00152F42"/>
    <w:rsid w:val="0015308C"/>
    <w:rsid w:val="0015308F"/>
    <w:rsid w:val="00153243"/>
    <w:rsid w:val="00153444"/>
    <w:rsid w:val="00153717"/>
    <w:rsid w:val="0015381B"/>
    <w:rsid w:val="0015394B"/>
    <w:rsid w:val="0015395E"/>
    <w:rsid w:val="001539AC"/>
    <w:rsid w:val="00153C2F"/>
    <w:rsid w:val="00153FAA"/>
    <w:rsid w:val="001540DB"/>
    <w:rsid w:val="001540F3"/>
    <w:rsid w:val="001544E4"/>
    <w:rsid w:val="001544F2"/>
    <w:rsid w:val="00154548"/>
    <w:rsid w:val="0015456C"/>
    <w:rsid w:val="001549B0"/>
    <w:rsid w:val="001549E4"/>
    <w:rsid w:val="00154A06"/>
    <w:rsid w:val="00154A5C"/>
    <w:rsid w:val="00154AAC"/>
    <w:rsid w:val="00154DBB"/>
    <w:rsid w:val="00154E3C"/>
    <w:rsid w:val="00154FA9"/>
    <w:rsid w:val="00155384"/>
    <w:rsid w:val="001554A6"/>
    <w:rsid w:val="00155509"/>
    <w:rsid w:val="0015550A"/>
    <w:rsid w:val="001555E5"/>
    <w:rsid w:val="0015564F"/>
    <w:rsid w:val="00155652"/>
    <w:rsid w:val="00155733"/>
    <w:rsid w:val="00155B48"/>
    <w:rsid w:val="00155DE3"/>
    <w:rsid w:val="0015602C"/>
    <w:rsid w:val="00156299"/>
    <w:rsid w:val="00156323"/>
    <w:rsid w:val="001564DA"/>
    <w:rsid w:val="001565E7"/>
    <w:rsid w:val="00156626"/>
    <w:rsid w:val="00156706"/>
    <w:rsid w:val="00156773"/>
    <w:rsid w:val="001568F4"/>
    <w:rsid w:val="00156976"/>
    <w:rsid w:val="00156A23"/>
    <w:rsid w:val="00156A90"/>
    <w:rsid w:val="00156BF2"/>
    <w:rsid w:val="00156D07"/>
    <w:rsid w:val="00156D3F"/>
    <w:rsid w:val="00156D80"/>
    <w:rsid w:val="00157007"/>
    <w:rsid w:val="001570A3"/>
    <w:rsid w:val="00157183"/>
    <w:rsid w:val="0015723E"/>
    <w:rsid w:val="001573F0"/>
    <w:rsid w:val="001573F2"/>
    <w:rsid w:val="00157435"/>
    <w:rsid w:val="00157586"/>
    <w:rsid w:val="001576EE"/>
    <w:rsid w:val="0015787F"/>
    <w:rsid w:val="001578C0"/>
    <w:rsid w:val="00157A66"/>
    <w:rsid w:val="00157AAF"/>
    <w:rsid w:val="00157AE5"/>
    <w:rsid w:val="00157B7F"/>
    <w:rsid w:val="00157C2F"/>
    <w:rsid w:val="00157D41"/>
    <w:rsid w:val="00157D5F"/>
    <w:rsid w:val="00157EE1"/>
    <w:rsid w:val="001601B2"/>
    <w:rsid w:val="001601BD"/>
    <w:rsid w:val="001601F3"/>
    <w:rsid w:val="00160357"/>
    <w:rsid w:val="001604B1"/>
    <w:rsid w:val="0016063D"/>
    <w:rsid w:val="00160641"/>
    <w:rsid w:val="0016075A"/>
    <w:rsid w:val="0016087B"/>
    <w:rsid w:val="00160A37"/>
    <w:rsid w:val="00160A67"/>
    <w:rsid w:val="00160A68"/>
    <w:rsid w:val="00160B7A"/>
    <w:rsid w:val="00160B91"/>
    <w:rsid w:val="00160E56"/>
    <w:rsid w:val="001610F0"/>
    <w:rsid w:val="00161216"/>
    <w:rsid w:val="0016130C"/>
    <w:rsid w:val="00161733"/>
    <w:rsid w:val="001618D7"/>
    <w:rsid w:val="00161A21"/>
    <w:rsid w:val="00161BD6"/>
    <w:rsid w:val="00161C14"/>
    <w:rsid w:val="00161D01"/>
    <w:rsid w:val="00161E93"/>
    <w:rsid w:val="00161F12"/>
    <w:rsid w:val="00161F29"/>
    <w:rsid w:val="00161F32"/>
    <w:rsid w:val="00161F47"/>
    <w:rsid w:val="00162093"/>
    <w:rsid w:val="001620AC"/>
    <w:rsid w:val="001624D8"/>
    <w:rsid w:val="00162771"/>
    <w:rsid w:val="0016285E"/>
    <w:rsid w:val="00162A19"/>
    <w:rsid w:val="00162A55"/>
    <w:rsid w:val="00162C3D"/>
    <w:rsid w:val="00162D2C"/>
    <w:rsid w:val="00162DA0"/>
    <w:rsid w:val="00162E5B"/>
    <w:rsid w:val="00162EBE"/>
    <w:rsid w:val="00162F3A"/>
    <w:rsid w:val="0016302F"/>
    <w:rsid w:val="001630F5"/>
    <w:rsid w:val="00163245"/>
    <w:rsid w:val="0016329B"/>
    <w:rsid w:val="00163477"/>
    <w:rsid w:val="00163479"/>
    <w:rsid w:val="001634A7"/>
    <w:rsid w:val="001636B8"/>
    <w:rsid w:val="001636BA"/>
    <w:rsid w:val="001638B0"/>
    <w:rsid w:val="001638E7"/>
    <w:rsid w:val="00163918"/>
    <w:rsid w:val="001639AB"/>
    <w:rsid w:val="00163A87"/>
    <w:rsid w:val="00163AC5"/>
    <w:rsid w:val="00163B9A"/>
    <w:rsid w:val="00163BC9"/>
    <w:rsid w:val="00163C1A"/>
    <w:rsid w:val="00163C41"/>
    <w:rsid w:val="00163D05"/>
    <w:rsid w:val="00163D3F"/>
    <w:rsid w:val="00163DA1"/>
    <w:rsid w:val="00163E9F"/>
    <w:rsid w:val="00164017"/>
    <w:rsid w:val="00164376"/>
    <w:rsid w:val="0016448E"/>
    <w:rsid w:val="0016449B"/>
    <w:rsid w:val="00164668"/>
    <w:rsid w:val="001646DB"/>
    <w:rsid w:val="0016474A"/>
    <w:rsid w:val="001647ED"/>
    <w:rsid w:val="0016482C"/>
    <w:rsid w:val="0016483A"/>
    <w:rsid w:val="0016494F"/>
    <w:rsid w:val="00164959"/>
    <w:rsid w:val="00164A1E"/>
    <w:rsid w:val="00164A3F"/>
    <w:rsid w:val="00164A55"/>
    <w:rsid w:val="00164AD0"/>
    <w:rsid w:val="00164B1A"/>
    <w:rsid w:val="00164B38"/>
    <w:rsid w:val="00164B50"/>
    <w:rsid w:val="00164CD9"/>
    <w:rsid w:val="00164E46"/>
    <w:rsid w:val="00164E7C"/>
    <w:rsid w:val="00164E96"/>
    <w:rsid w:val="00164F9B"/>
    <w:rsid w:val="00164FD7"/>
    <w:rsid w:val="00165128"/>
    <w:rsid w:val="001651C3"/>
    <w:rsid w:val="001651D3"/>
    <w:rsid w:val="001651D4"/>
    <w:rsid w:val="0016521D"/>
    <w:rsid w:val="0016535D"/>
    <w:rsid w:val="001654BC"/>
    <w:rsid w:val="001655BF"/>
    <w:rsid w:val="00165675"/>
    <w:rsid w:val="001656F4"/>
    <w:rsid w:val="00165824"/>
    <w:rsid w:val="00165BA7"/>
    <w:rsid w:val="00165BCC"/>
    <w:rsid w:val="00165D08"/>
    <w:rsid w:val="00165D16"/>
    <w:rsid w:val="00165D64"/>
    <w:rsid w:val="00165DAD"/>
    <w:rsid w:val="00165DD6"/>
    <w:rsid w:val="00165F9A"/>
    <w:rsid w:val="001660B0"/>
    <w:rsid w:val="00166154"/>
    <w:rsid w:val="0016624F"/>
    <w:rsid w:val="00166323"/>
    <w:rsid w:val="00166431"/>
    <w:rsid w:val="00166655"/>
    <w:rsid w:val="001666B9"/>
    <w:rsid w:val="00166756"/>
    <w:rsid w:val="001667D2"/>
    <w:rsid w:val="001668F9"/>
    <w:rsid w:val="0016693D"/>
    <w:rsid w:val="00166ADB"/>
    <w:rsid w:val="00166B5B"/>
    <w:rsid w:val="00166C3C"/>
    <w:rsid w:val="00166D4B"/>
    <w:rsid w:val="001670EB"/>
    <w:rsid w:val="001670FC"/>
    <w:rsid w:val="0016715B"/>
    <w:rsid w:val="00167475"/>
    <w:rsid w:val="001674BC"/>
    <w:rsid w:val="001675D4"/>
    <w:rsid w:val="00167655"/>
    <w:rsid w:val="00167994"/>
    <w:rsid w:val="00167A68"/>
    <w:rsid w:val="00167B21"/>
    <w:rsid w:val="00167B38"/>
    <w:rsid w:val="00167B59"/>
    <w:rsid w:val="00167B75"/>
    <w:rsid w:val="00167C50"/>
    <w:rsid w:val="00167C6E"/>
    <w:rsid w:val="00167CFC"/>
    <w:rsid w:val="00167D83"/>
    <w:rsid w:val="001700F3"/>
    <w:rsid w:val="00170145"/>
    <w:rsid w:val="00170205"/>
    <w:rsid w:val="001702BC"/>
    <w:rsid w:val="00170362"/>
    <w:rsid w:val="0017054A"/>
    <w:rsid w:val="001705CE"/>
    <w:rsid w:val="0017063C"/>
    <w:rsid w:val="001707A3"/>
    <w:rsid w:val="0017091D"/>
    <w:rsid w:val="00170920"/>
    <w:rsid w:val="001709E1"/>
    <w:rsid w:val="00170A3C"/>
    <w:rsid w:val="00170A49"/>
    <w:rsid w:val="00170ED7"/>
    <w:rsid w:val="00170EF1"/>
    <w:rsid w:val="00170F34"/>
    <w:rsid w:val="00170F9E"/>
    <w:rsid w:val="00170FD3"/>
    <w:rsid w:val="00171135"/>
    <w:rsid w:val="0017116D"/>
    <w:rsid w:val="001711F1"/>
    <w:rsid w:val="00171360"/>
    <w:rsid w:val="00171491"/>
    <w:rsid w:val="00171513"/>
    <w:rsid w:val="001715A5"/>
    <w:rsid w:val="00171604"/>
    <w:rsid w:val="00171613"/>
    <w:rsid w:val="00171835"/>
    <w:rsid w:val="001718BD"/>
    <w:rsid w:val="00171916"/>
    <w:rsid w:val="001719DD"/>
    <w:rsid w:val="00171CBE"/>
    <w:rsid w:val="00171D4E"/>
    <w:rsid w:val="00171FB9"/>
    <w:rsid w:val="00172045"/>
    <w:rsid w:val="00172176"/>
    <w:rsid w:val="001722F0"/>
    <w:rsid w:val="0017270D"/>
    <w:rsid w:val="00172994"/>
    <w:rsid w:val="00172B3B"/>
    <w:rsid w:val="00172B46"/>
    <w:rsid w:val="00172CD3"/>
    <w:rsid w:val="00172D32"/>
    <w:rsid w:val="00172D7D"/>
    <w:rsid w:val="00172E32"/>
    <w:rsid w:val="00172EEE"/>
    <w:rsid w:val="00172F57"/>
    <w:rsid w:val="00173148"/>
    <w:rsid w:val="0017316E"/>
    <w:rsid w:val="001731ED"/>
    <w:rsid w:val="0017330C"/>
    <w:rsid w:val="001733CE"/>
    <w:rsid w:val="00173436"/>
    <w:rsid w:val="0017348B"/>
    <w:rsid w:val="001734C8"/>
    <w:rsid w:val="00173576"/>
    <w:rsid w:val="0017379C"/>
    <w:rsid w:val="00173905"/>
    <w:rsid w:val="001739A4"/>
    <w:rsid w:val="00173A72"/>
    <w:rsid w:val="00173A88"/>
    <w:rsid w:val="00173AFD"/>
    <w:rsid w:val="00173BD9"/>
    <w:rsid w:val="00173D08"/>
    <w:rsid w:val="00173F47"/>
    <w:rsid w:val="00174097"/>
    <w:rsid w:val="00174401"/>
    <w:rsid w:val="001744BF"/>
    <w:rsid w:val="001744D7"/>
    <w:rsid w:val="00174519"/>
    <w:rsid w:val="00174577"/>
    <w:rsid w:val="001745B1"/>
    <w:rsid w:val="001746FC"/>
    <w:rsid w:val="00174973"/>
    <w:rsid w:val="00174A43"/>
    <w:rsid w:val="00174A45"/>
    <w:rsid w:val="00174A50"/>
    <w:rsid w:val="00174C93"/>
    <w:rsid w:val="00174C96"/>
    <w:rsid w:val="00174C9A"/>
    <w:rsid w:val="00174D32"/>
    <w:rsid w:val="00174E70"/>
    <w:rsid w:val="00175001"/>
    <w:rsid w:val="00175012"/>
    <w:rsid w:val="00175027"/>
    <w:rsid w:val="0017504C"/>
    <w:rsid w:val="0017504D"/>
    <w:rsid w:val="00175132"/>
    <w:rsid w:val="00175398"/>
    <w:rsid w:val="0017568E"/>
    <w:rsid w:val="00175750"/>
    <w:rsid w:val="00175835"/>
    <w:rsid w:val="0017598E"/>
    <w:rsid w:val="00175A58"/>
    <w:rsid w:val="00175B8B"/>
    <w:rsid w:val="00175BD1"/>
    <w:rsid w:val="00175C32"/>
    <w:rsid w:val="00175C86"/>
    <w:rsid w:val="00175D47"/>
    <w:rsid w:val="00175D7E"/>
    <w:rsid w:val="00175D91"/>
    <w:rsid w:val="00175D95"/>
    <w:rsid w:val="00175DE7"/>
    <w:rsid w:val="00176076"/>
    <w:rsid w:val="0017630C"/>
    <w:rsid w:val="00176346"/>
    <w:rsid w:val="0017635D"/>
    <w:rsid w:val="001766E9"/>
    <w:rsid w:val="0017671A"/>
    <w:rsid w:val="00176721"/>
    <w:rsid w:val="001768B9"/>
    <w:rsid w:val="00176D15"/>
    <w:rsid w:val="00177372"/>
    <w:rsid w:val="00177422"/>
    <w:rsid w:val="00177585"/>
    <w:rsid w:val="001777DF"/>
    <w:rsid w:val="00177A15"/>
    <w:rsid w:val="00177A16"/>
    <w:rsid w:val="00177A9A"/>
    <w:rsid w:val="00177AC7"/>
    <w:rsid w:val="00177C28"/>
    <w:rsid w:val="00177D3D"/>
    <w:rsid w:val="00177D96"/>
    <w:rsid w:val="00177E6C"/>
    <w:rsid w:val="00177E79"/>
    <w:rsid w:val="00177EEA"/>
    <w:rsid w:val="00180496"/>
    <w:rsid w:val="001804DB"/>
    <w:rsid w:val="00180586"/>
    <w:rsid w:val="00180817"/>
    <w:rsid w:val="00180832"/>
    <w:rsid w:val="00180AC0"/>
    <w:rsid w:val="00180B4A"/>
    <w:rsid w:val="00180BFF"/>
    <w:rsid w:val="00180C76"/>
    <w:rsid w:val="00180D72"/>
    <w:rsid w:val="00180EF4"/>
    <w:rsid w:val="00180F67"/>
    <w:rsid w:val="00180F8E"/>
    <w:rsid w:val="0018108B"/>
    <w:rsid w:val="00181146"/>
    <w:rsid w:val="001811D2"/>
    <w:rsid w:val="00181364"/>
    <w:rsid w:val="001814B1"/>
    <w:rsid w:val="001814C5"/>
    <w:rsid w:val="0018183F"/>
    <w:rsid w:val="00181868"/>
    <w:rsid w:val="001818AC"/>
    <w:rsid w:val="001818D3"/>
    <w:rsid w:val="0018190D"/>
    <w:rsid w:val="00181A1B"/>
    <w:rsid w:val="00181A53"/>
    <w:rsid w:val="00181B3D"/>
    <w:rsid w:val="00181B9D"/>
    <w:rsid w:val="0018213D"/>
    <w:rsid w:val="001821DB"/>
    <w:rsid w:val="0018223E"/>
    <w:rsid w:val="0018228C"/>
    <w:rsid w:val="001822E3"/>
    <w:rsid w:val="0018236E"/>
    <w:rsid w:val="00182372"/>
    <w:rsid w:val="001823B0"/>
    <w:rsid w:val="001825A0"/>
    <w:rsid w:val="001829C0"/>
    <w:rsid w:val="00182A00"/>
    <w:rsid w:val="00182B22"/>
    <w:rsid w:val="00182CBC"/>
    <w:rsid w:val="00182D81"/>
    <w:rsid w:val="00182EB2"/>
    <w:rsid w:val="00182F58"/>
    <w:rsid w:val="00182F9B"/>
    <w:rsid w:val="001831E0"/>
    <w:rsid w:val="001832E3"/>
    <w:rsid w:val="00183442"/>
    <w:rsid w:val="00183461"/>
    <w:rsid w:val="001834F0"/>
    <w:rsid w:val="0018373C"/>
    <w:rsid w:val="0018376E"/>
    <w:rsid w:val="0018380B"/>
    <w:rsid w:val="001838D0"/>
    <w:rsid w:val="001838EE"/>
    <w:rsid w:val="0018395E"/>
    <w:rsid w:val="0018398F"/>
    <w:rsid w:val="001839E2"/>
    <w:rsid w:val="00183A8D"/>
    <w:rsid w:val="00183AAC"/>
    <w:rsid w:val="00183B3C"/>
    <w:rsid w:val="00183BCE"/>
    <w:rsid w:val="00183C7E"/>
    <w:rsid w:val="00183E26"/>
    <w:rsid w:val="00183E58"/>
    <w:rsid w:val="00183F04"/>
    <w:rsid w:val="00183F48"/>
    <w:rsid w:val="001841F3"/>
    <w:rsid w:val="001843A7"/>
    <w:rsid w:val="001843DA"/>
    <w:rsid w:val="00184435"/>
    <w:rsid w:val="00184543"/>
    <w:rsid w:val="00184590"/>
    <w:rsid w:val="001845A2"/>
    <w:rsid w:val="00184652"/>
    <w:rsid w:val="00184689"/>
    <w:rsid w:val="0018479F"/>
    <w:rsid w:val="0018484F"/>
    <w:rsid w:val="0018498E"/>
    <w:rsid w:val="00184D20"/>
    <w:rsid w:val="00184D84"/>
    <w:rsid w:val="00184E0A"/>
    <w:rsid w:val="00184E21"/>
    <w:rsid w:val="00184F54"/>
    <w:rsid w:val="0018509A"/>
    <w:rsid w:val="001852AD"/>
    <w:rsid w:val="00185410"/>
    <w:rsid w:val="0018543C"/>
    <w:rsid w:val="00185540"/>
    <w:rsid w:val="0018565A"/>
    <w:rsid w:val="001858A9"/>
    <w:rsid w:val="00185AF6"/>
    <w:rsid w:val="00185C02"/>
    <w:rsid w:val="00185C18"/>
    <w:rsid w:val="00185C70"/>
    <w:rsid w:val="00185C90"/>
    <w:rsid w:val="00185D3A"/>
    <w:rsid w:val="00185D9D"/>
    <w:rsid w:val="00185F63"/>
    <w:rsid w:val="00186370"/>
    <w:rsid w:val="00186668"/>
    <w:rsid w:val="001866F8"/>
    <w:rsid w:val="00186784"/>
    <w:rsid w:val="0018679D"/>
    <w:rsid w:val="00186810"/>
    <w:rsid w:val="00186832"/>
    <w:rsid w:val="001868B4"/>
    <w:rsid w:val="00186A2C"/>
    <w:rsid w:val="00186B9B"/>
    <w:rsid w:val="00186C63"/>
    <w:rsid w:val="00186ECA"/>
    <w:rsid w:val="00186F69"/>
    <w:rsid w:val="001870D1"/>
    <w:rsid w:val="0018715C"/>
    <w:rsid w:val="001871E7"/>
    <w:rsid w:val="0018744F"/>
    <w:rsid w:val="00187458"/>
    <w:rsid w:val="001875F8"/>
    <w:rsid w:val="0018761E"/>
    <w:rsid w:val="00187689"/>
    <w:rsid w:val="001877A9"/>
    <w:rsid w:val="00187818"/>
    <w:rsid w:val="0018781E"/>
    <w:rsid w:val="00187826"/>
    <w:rsid w:val="00187956"/>
    <w:rsid w:val="00187CF1"/>
    <w:rsid w:val="00190009"/>
    <w:rsid w:val="0019003A"/>
    <w:rsid w:val="00190152"/>
    <w:rsid w:val="001902F2"/>
    <w:rsid w:val="001905B3"/>
    <w:rsid w:val="001906A4"/>
    <w:rsid w:val="001907D3"/>
    <w:rsid w:val="001908E5"/>
    <w:rsid w:val="0019096D"/>
    <w:rsid w:val="00190B82"/>
    <w:rsid w:val="00190D32"/>
    <w:rsid w:val="00190E4A"/>
    <w:rsid w:val="00190E86"/>
    <w:rsid w:val="00190F30"/>
    <w:rsid w:val="00190FD9"/>
    <w:rsid w:val="001911C4"/>
    <w:rsid w:val="00191241"/>
    <w:rsid w:val="001913CA"/>
    <w:rsid w:val="001913E2"/>
    <w:rsid w:val="001915AF"/>
    <w:rsid w:val="001915CA"/>
    <w:rsid w:val="001915D6"/>
    <w:rsid w:val="00191696"/>
    <w:rsid w:val="00191793"/>
    <w:rsid w:val="001918E7"/>
    <w:rsid w:val="0019195F"/>
    <w:rsid w:val="001919F0"/>
    <w:rsid w:val="00191A6C"/>
    <w:rsid w:val="00191B36"/>
    <w:rsid w:val="00191CE8"/>
    <w:rsid w:val="00191E45"/>
    <w:rsid w:val="00191E6E"/>
    <w:rsid w:val="00191F12"/>
    <w:rsid w:val="00191FAD"/>
    <w:rsid w:val="00191FE9"/>
    <w:rsid w:val="00192054"/>
    <w:rsid w:val="0019207B"/>
    <w:rsid w:val="001921F0"/>
    <w:rsid w:val="00192303"/>
    <w:rsid w:val="001923A5"/>
    <w:rsid w:val="001925B2"/>
    <w:rsid w:val="001925C9"/>
    <w:rsid w:val="0019262D"/>
    <w:rsid w:val="0019277B"/>
    <w:rsid w:val="0019278B"/>
    <w:rsid w:val="00192832"/>
    <w:rsid w:val="001929EB"/>
    <w:rsid w:val="00192DFD"/>
    <w:rsid w:val="00192E7E"/>
    <w:rsid w:val="00192F8A"/>
    <w:rsid w:val="00193011"/>
    <w:rsid w:val="00193017"/>
    <w:rsid w:val="0019304F"/>
    <w:rsid w:val="001930D9"/>
    <w:rsid w:val="001931A6"/>
    <w:rsid w:val="001931B8"/>
    <w:rsid w:val="001933BC"/>
    <w:rsid w:val="00193577"/>
    <w:rsid w:val="0019374B"/>
    <w:rsid w:val="001937F6"/>
    <w:rsid w:val="001938C2"/>
    <w:rsid w:val="0019398F"/>
    <w:rsid w:val="00193A94"/>
    <w:rsid w:val="00193BA1"/>
    <w:rsid w:val="00193BCE"/>
    <w:rsid w:val="00193EF2"/>
    <w:rsid w:val="00193F02"/>
    <w:rsid w:val="0019415E"/>
    <w:rsid w:val="00194265"/>
    <w:rsid w:val="0019429E"/>
    <w:rsid w:val="00194493"/>
    <w:rsid w:val="001944A7"/>
    <w:rsid w:val="001944B2"/>
    <w:rsid w:val="0019475D"/>
    <w:rsid w:val="001948BA"/>
    <w:rsid w:val="00194999"/>
    <w:rsid w:val="001949EC"/>
    <w:rsid w:val="00194B26"/>
    <w:rsid w:val="00194BE8"/>
    <w:rsid w:val="00194CF0"/>
    <w:rsid w:val="00194D1C"/>
    <w:rsid w:val="00194D4D"/>
    <w:rsid w:val="00194DA4"/>
    <w:rsid w:val="00194EB5"/>
    <w:rsid w:val="00194F43"/>
    <w:rsid w:val="00195151"/>
    <w:rsid w:val="001951C7"/>
    <w:rsid w:val="001951D1"/>
    <w:rsid w:val="001951F4"/>
    <w:rsid w:val="001953E4"/>
    <w:rsid w:val="001954B6"/>
    <w:rsid w:val="00195695"/>
    <w:rsid w:val="00195A6C"/>
    <w:rsid w:val="00195BCE"/>
    <w:rsid w:val="00195C79"/>
    <w:rsid w:val="00195C9F"/>
    <w:rsid w:val="00195CF0"/>
    <w:rsid w:val="00195DD6"/>
    <w:rsid w:val="00195EEA"/>
    <w:rsid w:val="00195F8F"/>
    <w:rsid w:val="00195FE2"/>
    <w:rsid w:val="00195FF3"/>
    <w:rsid w:val="00196079"/>
    <w:rsid w:val="00196154"/>
    <w:rsid w:val="00196213"/>
    <w:rsid w:val="0019635F"/>
    <w:rsid w:val="00196362"/>
    <w:rsid w:val="00196472"/>
    <w:rsid w:val="001964E5"/>
    <w:rsid w:val="00196513"/>
    <w:rsid w:val="001965B3"/>
    <w:rsid w:val="001967CD"/>
    <w:rsid w:val="00196948"/>
    <w:rsid w:val="00196B8E"/>
    <w:rsid w:val="00196BF3"/>
    <w:rsid w:val="00196C08"/>
    <w:rsid w:val="00196C2D"/>
    <w:rsid w:val="00196C46"/>
    <w:rsid w:val="00196C47"/>
    <w:rsid w:val="00196C9D"/>
    <w:rsid w:val="00196ED6"/>
    <w:rsid w:val="00197011"/>
    <w:rsid w:val="0019722C"/>
    <w:rsid w:val="001972F6"/>
    <w:rsid w:val="0019730A"/>
    <w:rsid w:val="0019730D"/>
    <w:rsid w:val="0019751E"/>
    <w:rsid w:val="001978FD"/>
    <w:rsid w:val="0019793F"/>
    <w:rsid w:val="00197965"/>
    <w:rsid w:val="001979E0"/>
    <w:rsid w:val="00197A5C"/>
    <w:rsid w:val="00197B02"/>
    <w:rsid w:val="00197CA6"/>
    <w:rsid w:val="00197D06"/>
    <w:rsid w:val="00197DB1"/>
    <w:rsid w:val="00197ECB"/>
    <w:rsid w:val="001A0264"/>
    <w:rsid w:val="001A02F9"/>
    <w:rsid w:val="001A032C"/>
    <w:rsid w:val="001A037A"/>
    <w:rsid w:val="001A03D8"/>
    <w:rsid w:val="001A04D6"/>
    <w:rsid w:val="001A05DE"/>
    <w:rsid w:val="001A05EB"/>
    <w:rsid w:val="001A06F0"/>
    <w:rsid w:val="001A071E"/>
    <w:rsid w:val="001A0816"/>
    <w:rsid w:val="001A08EB"/>
    <w:rsid w:val="001A094F"/>
    <w:rsid w:val="001A095F"/>
    <w:rsid w:val="001A0AEC"/>
    <w:rsid w:val="001A0C31"/>
    <w:rsid w:val="001A0CD4"/>
    <w:rsid w:val="001A0DE0"/>
    <w:rsid w:val="001A0E03"/>
    <w:rsid w:val="001A0E70"/>
    <w:rsid w:val="001A0F04"/>
    <w:rsid w:val="001A0F12"/>
    <w:rsid w:val="001A0F67"/>
    <w:rsid w:val="001A1059"/>
    <w:rsid w:val="001A109E"/>
    <w:rsid w:val="001A10E1"/>
    <w:rsid w:val="001A1109"/>
    <w:rsid w:val="001A1179"/>
    <w:rsid w:val="001A14B0"/>
    <w:rsid w:val="001A1541"/>
    <w:rsid w:val="001A182D"/>
    <w:rsid w:val="001A1ADD"/>
    <w:rsid w:val="001A1B35"/>
    <w:rsid w:val="001A1D52"/>
    <w:rsid w:val="001A20B9"/>
    <w:rsid w:val="001A23C2"/>
    <w:rsid w:val="001A25A1"/>
    <w:rsid w:val="001A2691"/>
    <w:rsid w:val="001A283D"/>
    <w:rsid w:val="001A290D"/>
    <w:rsid w:val="001A2A07"/>
    <w:rsid w:val="001A2AD9"/>
    <w:rsid w:val="001A2C1E"/>
    <w:rsid w:val="001A2C29"/>
    <w:rsid w:val="001A2D33"/>
    <w:rsid w:val="001A2D48"/>
    <w:rsid w:val="001A2D6A"/>
    <w:rsid w:val="001A2E07"/>
    <w:rsid w:val="001A2EBD"/>
    <w:rsid w:val="001A2FFE"/>
    <w:rsid w:val="001A31CF"/>
    <w:rsid w:val="001A327D"/>
    <w:rsid w:val="001A335C"/>
    <w:rsid w:val="001A3595"/>
    <w:rsid w:val="001A3694"/>
    <w:rsid w:val="001A3991"/>
    <w:rsid w:val="001A3B79"/>
    <w:rsid w:val="001A3CEB"/>
    <w:rsid w:val="001A3D0C"/>
    <w:rsid w:val="001A3E30"/>
    <w:rsid w:val="001A3ED6"/>
    <w:rsid w:val="001A3F17"/>
    <w:rsid w:val="001A3F53"/>
    <w:rsid w:val="001A40CD"/>
    <w:rsid w:val="001A4163"/>
    <w:rsid w:val="001A4184"/>
    <w:rsid w:val="001A4342"/>
    <w:rsid w:val="001A4397"/>
    <w:rsid w:val="001A4420"/>
    <w:rsid w:val="001A44B6"/>
    <w:rsid w:val="001A4577"/>
    <w:rsid w:val="001A4707"/>
    <w:rsid w:val="001A47A7"/>
    <w:rsid w:val="001A48A2"/>
    <w:rsid w:val="001A4C83"/>
    <w:rsid w:val="001A4C9D"/>
    <w:rsid w:val="001A4E52"/>
    <w:rsid w:val="001A4EE5"/>
    <w:rsid w:val="001A4F38"/>
    <w:rsid w:val="001A501B"/>
    <w:rsid w:val="001A5026"/>
    <w:rsid w:val="001A5222"/>
    <w:rsid w:val="001A5293"/>
    <w:rsid w:val="001A5341"/>
    <w:rsid w:val="001A540B"/>
    <w:rsid w:val="001A54DC"/>
    <w:rsid w:val="001A57E0"/>
    <w:rsid w:val="001A595C"/>
    <w:rsid w:val="001A59AC"/>
    <w:rsid w:val="001A5A40"/>
    <w:rsid w:val="001A5AA2"/>
    <w:rsid w:val="001A5B3C"/>
    <w:rsid w:val="001A5CAF"/>
    <w:rsid w:val="001A5EBF"/>
    <w:rsid w:val="001A5F1C"/>
    <w:rsid w:val="001A5F2E"/>
    <w:rsid w:val="001A5F8F"/>
    <w:rsid w:val="001A6216"/>
    <w:rsid w:val="001A64E7"/>
    <w:rsid w:val="001A6581"/>
    <w:rsid w:val="001A65AC"/>
    <w:rsid w:val="001A662D"/>
    <w:rsid w:val="001A6749"/>
    <w:rsid w:val="001A69EE"/>
    <w:rsid w:val="001A6B3D"/>
    <w:rsid w:val="001A6B47"/>
    <w:rsid w:val="001A6CA8"/>
    <w:rsid w:val="001A6DAF"/>
    <w:rsid w:val="001A6E1A"/>
    <w:rsid w:val="001A6F55"/>
    <w:rsid w:val="001A6F61"/>
    <w:rsid w:val="001A6FB4"/>
    <w:rsid w:val="001A70F6"/>
    <w:rsid w:val="001A7358"/>
    <w:rsid w:val="001A7362"/>
    <w:rsid w:val="001A73E2"/>
    <w:rsid w:val="001A7416"/>
    <w:rsid w:val="001A7417"/>
    <w:rsid w:val="001A746E"/>
    <w:rsid w:val="001A7788"/>
    <w:rsid w:val="001A798D"/>
    <w:rsid w:val="001A79CD"/>
    <w:rsid w:val="001A7BC7"/>
    <w:rsid w:val="001A7DD4"/>
    <w:rsid w:val="001A7DED"/>
    <w:rsid w:val="001A7EE2"/>
    <w:rsid w:val="001A7F61"/>
    <w:rsid w:val="001A7FFB"/>
    <w:rsid w:val="001B00DD"/>
    <w:rsid w:val="001B0113"/>
    <w:rsid w:val="001B01CF"/>
    <w:rsid w:val="001B0245"/>
    <w:rsid w:val="001B0292"/>
    <w:rsid w:val="001B04CE"/>
    <w:rsid w:val="001B06B2"/>
    <w:rsid w:val="001B07C4"/>
    <w:rsid w:val="001B0ABF"/>
    <w:rsid w:val="001B0BF6"/>
    <w:rsid w:val="001B0D35"/>
    <w:rsid w:val="001B0F1B"/>
    <w:rsid w:val="001B1108"/>
    <w:rsid w:val="001B1236"/>
    <w:rsid w:val="001B13A2"/>
    <w:rsid w:val="001B1485"/>
    <w:rsid w:val="001B14ED"/>
    <w:rsid w:val="001B152F"/>
    <w:rsid w:val="001B15F4"/>
    <w:rsid w:val="001B179F"/>
    <w:rsid w:val="001B17BF"/>
    <w:rsid w:val="001B19CB"/>
    <w:rsid w:val="001B1B42"/>
    <w:rsid w:val="001B1BC3"/>
    <w:rsid w:val="001B1CA3"/>
    <w:rsid w:val="001B1DF0"/>
    <w:rsid w:val="001B1EF1"/>
    <w:rsid w:val="001B1F68"/>
    <w:rsid w:val="001B201B"/>
    <w:rsid w:val="001B2087"/>
    <w:rsid w:val="001B20C3"/>
    <w:rsid w:val="001B20E8"/>
    <w:rsid w:val="001B20FD"/>
    <w:rsid w:val="001B228A"/>
    <w:rsid w:val="001B23D8"/>
    <w:rsid w:val="001B23DA"/>
    <w:rsid w:val="001B242B"/>
    <w:rsid w:val="001B2436"/>
    <w:rsid w:val="001B24B8"/>
    <w:rsid w:val="001B263D"/>
    <w:rsid w:val="001B26D4"/>
    <w:rsid w:val="001B28CD"/>
    <w:rsid w:val="001B296C"/>
    <w:rsid w:val="001B2C4A"/>
    <w:rsid w:val="001B2C8F"/>
    <w:rsid w:val="001B2CF8"/>
    <w:rsid w:val="001B2F4F"/>
    <w:rsid w:val="001B3006"/>
    <w:rsid w:val="001B3099"/>
    <w:rsid w:val="001B30C9"/>
    <w:rsid w:val="001B3103"/>
    <w:rsid w:val="001B311A"/>
    <w:rsid w:val="001B312E"/>
    <w:rsid w:val="001B31C8"/>
    <w:rsid w:val="001B3210"/>
    <w:rsid w:val="001B3473"/>
    <w:rsid w:val="001B3574"/>
    <w:rsid w:val="001B358B"/>
    <w:rsid w:val="001B36E7"/>
    <w:rsid w:val="001B3AF5"/>
    <w:rsid w:val="001B3BEC"/>
    <w:rsid w:val="001B3BFB"/>
    <w:rsid w:val="001B3C24"/>
    <w:rsid w:val="001B3E19"/>
    <w:rsid w:val="001B4075"/>
    <w:rsid w:val="001B4171"/>
    <w:rsid w:val="001B420F"/>
    <w:rsid w:val="001B43E1"/>
    <w:rsid w:val="001B43EA"/>
    <w:rsid w:val="001B43F7"/>
    <w:rsid w:val="001B47A3"/>
    <w:rsid w:val="001B48F9"/>
    <w:rsid w:val="001B493A"/>
    <w:rsid w:val="001B4947"/>
    <w:rsid w:val="001B49F7"/>
    <w:rsid w:val="001B4A76"/>
    <w:rsid w:val="001B4B43"/>
    <w:rsid w:val="001B4C19"/>
    <w:rsid w:val="001B4C56"/>
    <w:rsid w:val="001B4C93"/>
    <w:rsid w:val="001B4DF9"/>
    <w:rsid w:val="001B4F05"/>
    <w:rsid w:val="001B5240"/>
    <w:rsid w:val="001B5308"/>
    <w:rsid w:val="001B5445"/>
    <w:rsid w:val="001B5503"/>
    <w:rsid w:val="001B557D"/>
    <w:rsid w:val="001B55A8"/>
    <w:rsid w:val="001B55C3"/>
    <w:rsid w:val="001B57D8"/>
    <w:rsid w:val="001B5974"/>
    <w:rsid w:val="001B5A2C"/>
    <w:rsid w:val="001B5A7E"/>
    <w:rsid w:val="001B5BBB"/>
    <w:rsid w:val="001B5D75"/>
    <w:rsid w:val="001B5E70"/>
    <w:rsid w:val="001B5E75"/>
    <w:rsid w:val="001B6325"/>
    <w:rsid w:val="001B63A5"/>
    <w:rsid w:val="001B6673"/>
    <w:rsid w:val="001B668A"/>
    <w:rsid w:val="001B66C6"/>
    <w:rsid w:val="001B66E9"/>
    <w:rsid w:val="001B6704"/>
    <w:rsid w:val="001B671E"/>
    <w:rsid w:val="001B67BD"/>
    <w:rsid w:val="001B67F9"/>
    <w:rsid w:val="001B69CA"/>
    <w:rsid w:val="001B6A64"/>
    <w:rsid w:val="001B6A85"/>
    <w:rsid w:val="001B6C09"/>
    <w:rsid w:val="001B6D47"/>
    <w:rsid w:val="001B6E58"/>
    <w:rsid w:val="001B707D"/>
    <w:rsid w:val="001B7096"/>
    <w:rsid w:val="001B71FD"/>
    <w:rsid w:val="001B7254"/>
    <w:rsid w:val="001B72B8"/>
    <w:rsid w:val="001B731B"/>
    <w:rsid w:val="001B73C4"/>
    <w:rsid w:val="001B73CF"/>
    <w:rsid w:val="001B7497"/>
    <w:rsid w:val="001B74CF"/>
    <w:rsid w:val="001B77F9"/>
    <w:rsid w:val="001B781E"/>
    <w:rsid w:val="001B7843"/>
    <w:rsid w:val="001B7849"/>
    <w:rsid w:val="001B7A65"/>
    <w:rsid w:val="001B7B0E"/>
    <w:rsid w:val="001B7BCC"/>
    <w:rsid w:val="001B7BD3"/>
    <w:rsid w:val="001B7F61"/>
    <w:rsid w:val="001B7F7F"/>
    <w:rsid w:val="001B7FAA"/>
    <w:rsid w:val="001C010D"/>
    <w:rsid w:val="001C019B"/>
    <w:rsid w:val="001C0274"/>
    <w:rsid w:val="001C0289"/>
    <w:rsid w:val="001C055E"/>
    <w:rsid w:val="001C06F5"/>
    <w:rsid w:val="001C0901"/>
    <w:rsid w:val="001C0991"/>
    <w:rsid w:val="001C0A33"/>
    <w:rsid w:val="001C0DD3"/>
    <w:rsid w:val="001C0E2D"/>
    <w:rsid w:val="001C0FEA"/>
    <w:rsid w:val="001C10AA"/>
    <w:rsid w:val="001C10DD"/>
    <w:rsid w:val="001C11FA"/>
    <w:rsid w:val="001C1358"/>
    <w:rsid w:val="001C13CD"/>
    <w:rsid w:val="001C1591"/>
    <w:rsid w:val="001C159F"/>
    <w:rsid w:val="001C1708"/>
    <w:rsid w:val="001C17A3"/>
    <w:rsid w:val="001C17AE"/>
    <w:rsid w:val="001C17D0"/>
    <w:rsid w:val="001C182B"/>
    <w:rsid w:val="001C1830"/>
    <w:rsid w:val="001C1AD0"/>
    <w:rsid w:val="001C1C61"/>
    <w:rsid w:val="001C1D02"/>
    <w:rsid w:val="001C1E43"/>
    <w:rsid w:val="001C1E5D"/>
    <w:rsid w:val="001C1F4A"/>
    <w:rsid w:val="001C201E"/>
    <w:rsid w:val="001C2306"/>
    <w:rsid w:val="001C231E"/>
    <w:rsid w:val="001C235B"/>
    <w:rsid w:val="001C2410"/>
    <w:rsid w:val="001C2447"/>
    <w:rsid w:val="001C25C7"/>
    <w:rsid w:val="001C2951"/>
    <w:rsid w:val="001C29BE"/>
    <w:rsid w:val="001C2B6C"/>
    <w:rsid w:val="001C2E32"/>
    <w:rsid w:val="001C30D6"/>
    <w:rsid w:val="001C314F"/>
    <w:rsid w:val="001C318E"/>
    <w:rsid w:val="001C335E"/>
    <w:rsid w:val="001C3514"/>
    <w:rsid w:val="001C371A"/>
    <w:rsid w:val="001C3818"/>
    <w:rsid w:val="001C3A5E"/>
    <w:rsid w:val="001C3A6B"/>
    <w:rsid w:val="001C3B2E"/>
    <w:rsid w:val="001C3B62"/>
    <w:rsid w:val="001C40C9"/>
    <w:rsid w:val="001C419F"/>
    <w:rsid w:val="001C426A"/>
    <w:rsid w:val="001C429C"/>
    <w:rsid w:val="001C4498"/>
    <w:rsid w:val="001C453E"/>
    <w:rsid w:val="001C4540"/>
    <w:rsid w:val="001C4560"/>
    <w:rsid w:val="001C4564"/>
    <w:rsid w:val="001C4670"/>
    <w:rsid w:val="001C46E8"/>
    <w:rsid w:val="001C49FF"/>
    <w:rsid w:val="001C4A2E"/>
    <w:rsid w:val="001C4A89"/>
    <w:rsid w:val="001C4C6D"/>
    <w:rsid w:val="001C4F04"/>
    <w:rsid w:val="001C4F05"/>
    <w:rsid w:val="001C4FA8"/>
    <w:rsid w:val="001C566F"/>
    <w:rsid w:val="001C574F"/>
    <w:rsid w:val="001C5796"/>
    <w:rsid w:val="001C57EC"/>
    <w:rsid w:val="001C57FB"/>
    <w:rsid w:val="001C594A"/>
    <w:rsid w:val="001C5B84"/>
    <w:rsid w:val="001C5EC2"/>
    <w:rsid w:val="001C5F81"/>
    <w:rsid w:val="001C5F8E"/>
    <w:rsid w:val="001C636C"/>
    <w:rsid w:val="001C6372"/>
    <w:rsid w:val="001C6385"/>
    <w:rsid w:val="001C6449"/>
    <w:rsid w:val="001C64B6"/>
    <w:rsid w:val="001C65E1"/>
    <w:rsid w:val="001C6702"/>
    <w:rsid w:val="001C6766"/>
    <w:rsid w:val="001C67AE"/>
    <w:rsid w:val="001C696F"/>
    <w:rsid w:val="001C69AC"/>
    <w:rsid w:val="001C69B3"/>
    <w:rsid w:val="001C69FB"/>
    <w:rsid w:val="001C6AD0"/>
    <w:rsid w:val="001C6B68"/>
    <w:rsid w:val="001C6B6B"/>
    <w:rsid w:val="001C6BF8"/>
    <w:rsid w:val="001C6F7E"/>
    <w:rsid w:val="001C714D"/>
    <w:rsid w:val="001C7195"/>
    <w:rsid w:val="001C7343"/>
    <w:rsid w:val="001C73F8"/>
    <w:rsid w:val="001C77CC"/>
    <w:rsid w:val="001C781D"/>
    <w:rsid w:val="001C7830"/>
    <w:rsid w:val="001C7A6F"/>
    <w:rsid w:val="001C7AD8"/>
    <w:rsid w:val="001C7C45"/>
    <w:rsid w:val="001C7EC5"/>
    <w:rsid w:val="001C7ECC"/>
    <w:rsid w:val="001D0058"/>
    <w:rsid w:val="001D0086"/>
    <w:rsid w:val="001D01E5"/>
    <w:rsid w:val="001D0346"/>
    <w:rsid w:val="001D035B"/>
    <w:rsid w:val="001D038B"/>
    <w:rsid w:val="001D04C8"/>
    <w:rsid w:val="001D04E1"/>
    <w:rsid w:val="001D05AE"/>
    <w:rsid w:val="001D05E9"/>
    <w:rsid w:val="001D0783"/>
    <w:rsid w:val="001D07B5"/>
    <w:rsid w:val="001D0835"/>
    <w:rsid w:val="001D0847"/>
    <w:rsid w:val="001D0862"/>
    <w:rsid w:val="001D0ABE"/>
    <w:rsid w:val="001D0BCE"/>
    <w:rsid w:val="001D0D1E"/>
    <w:rsid w:val="001D0D60"/>
    <w:rsid w:val="001D0DFC"/>
    <w:rsid w:val="001D0E62"/>
    <w:rsid w:val="001D0F23"/>
    <w:rsid w:val="001D11A7"/>
    <w:rsid w:val="001D11BC"/>
    <w:rsid w:val="001D1301"/>
    <w:rsid w:val="001D155F"/>
    <w:rsid w:val="001D1573"/>
    <w:rsid w:val="001D160C"/>
    <w:rsid w:val="001D17B9"/>
    <w:rsid w:val="001D18B3"/>
    <w:rsid w:val="001D199F"/>
    <w:rsid w:val="001D19E1"/>
    <w:rsid w:val="001D1BF3"/>
    <w:rsid w:val="001D1C2E"/>
    <w:rsid w:val="001D1C2F"/>
    <w:rsid w:val="001D1D62"/>
    <w:rsid w:val="001D1E36"/>
    <w:rsid w:val="001D2019"/>
    <w:rsid w:val="001D2020"/>
    <w:rsid w:val="001D20BB"/>
    <w:rsid w:val="001D236A"/>
    <w:rsid w:val="001D24E4"/>
    <w:rsid w:val="001D270F"/>
    <w:rsid w:val="001D297D"/>
    <w:rsid w:val="001D2A10"/>
    <w:rsid w:val="001D2AB3"/>
    <w:rsid w:val="001D2B52"/>
    <w:rsid w:val="001D2BAA"/>
    <w:rsid w:val="001D2BFD"/>
    <w:rsid w:val="001D2D9E"/>
    <w:rsid w:val="001D2DA1"/>
    <w:rsid w:val="001D2DEF"/>
    <w:rsid w:val="001D2F60"/>
    <w:rsid w:val="001D2FE6"/>
    <w:rsid w:val="001D2FEC"/>
    <w:rsid w:val="001D301D"/>
    <w:rsid w:val="001D342B"/>
    <w:rsid w:val="001D363D"/>
    <w:rsid w:val="001D365A"/>
    <w:rsid w:val="001D3668"/>
    <w:rsid w:val="001D3720"/>
    <w:rsid w:val="001D3A50"/>
    <w:rsid w:val="001D3A92"/>
    <w:rsid w:val="001D3AB2"/>
    <w:rsid w:val="001D3BAD"/>
    <w:rsid w:val="001D3BE5"/>
    <w:rsid w:val="001D3C58"/>
    <w:rsid w:val="001D3DE4"/>
    <w:rsid w:val="001D3DF1"/>
    <w:rsid w:val="001D3F53"/>
    <w:rsid w:val="001D3FAF"/>
    <w:rsid w:val="001D422D"/>
    <w:rsid w:val="001D42D5"/>
    <w:rsid w:val="001D439E"/>
    <w:rsid w:val="001D4477"/>
    <w:rsid w:val="001D4604"/>
    <w:rsid w:val="001D470B"/>
    <w:rsid w:val="001D48A1"/>
    <w:rsid w:val="001D48CD"/>
    <w:rsid w:val="001D4914"/>
    <w:rsid w:val="001D491C"/>
    <w:rsid w:val="001D4939"/>
    <w:rsid w:val="001D49C4"/>
    <w:rsid w:val="001D4B67"/>
    <w:rsid w:val="001D4B6F"/>
    <w:rsid w:val="001D4CE2"/>
    <w:rsid w:val="001D4FBA"/>
    <w:rsid w:val="001D501E"/>
    <w:rsid w:val="001D50FB"/>
    <w:rsid w:val="001D51A2"/>
    <w:rsid w:val="001D51E2"/>
    <w:rsid w:val="001D5322"/>
    <w:rsid w:val="001D540A"/>
    <w:rsid w:val="001D5422"/>
    <w:rsid w:val="001D5595"/>
    <w:rsid w:val="001D5858"/>
    <w:rsid w:val="001D58EB"/>
    <w:rsid w:val="001D5906"/>
    <w:rsid w:val="001D5926"/>
    <w:rsid w:val="001D597D"/>
    <w:rsid w:val="001D599C"/>
    <w:rsid w:val="001D59B9"/>
    <w:rsid w:val="001D5B84"/>
    <w:rsid w:val="001D5BEE"/>
    <w:rsid w:val="001D5E27"/>
    <w:rsid w:val="001D5EB6"/>
    <w:rsid w:val="001D5EF2"/>
    <w:rsid w:val="001D5F05"/>
    <w:rsid w:val="001D6017"/>
    <w:rsid w:val="001D62B0"/>
    <w:rsid w:val="001D6408"/>
    <w:rsid w:val="001D6547"/>
    <w:rsid w:val="001D6559"/>
    <w:rsid w:val="001D662D"/>
    <w:rsid w:val="001D67E3"/>
    <w:rsid w:val="001D67E6"/>
    <w:rsid w:val="001D6842"/>
    <w:rsid w:val="001D6882"/>
    <w:rsid w:val="001D6914"/>
    <w:rsid w:val="001D6932"/>
    <w:rsid w:val="001D6A5B"/>
    <w:rsid w:val="001D6A7B"/>
    <w:rsid w:val="001D6D70"/>
    <w:rsid w:val="001D6E7E"/>
    <w:rsid w:val="001D6F25"/>
    <w:rsid w:val="001D6FCB"/>
    <w:rsid w:val="001D708C"/>
    <w:rsid w:val="001D70D3"/>
    <w:rsid w:val="001D7188"/>
    <w:rsid w:val="001D71CB"/>
    <w:rsid w:val="001D7339"/>
    <w:rsid w:val="001D75A9"/>
    <w:rsid w:val="001D75F4"/>
    <w:rsid w:val="001D7732"/>
    <w:rsid w:val="001D782F"/>
    <w:rsid w:val="001D783B"/>
    <w:rsid w:val="001D7874"/>
    <w:rsid w:val="001D79A7"/>
    <w:rsid w:val="001D7A0C"/>
    <w:rsid w:val="001D7C53"/>
    <w:rsid w:val="001D7C97"/>
    <w:rsid w:val="001D7E4C"/>
    <w:rsid w:val="001D7EA6"/>
    <w:rsid w:val="001D7F22"/>
    <w:rsid w:val="001D7FBE"/>
    <w:rsid w:val="001E013B"/>
    <w:rsid w:val="001E01E0"/>
    <w:rsid w:val="001E030E"/>
    <w:rsid w:val="001E0442"/>
    <w:rsid w:val="001E05D8"/>
    <w:rsid w:val="001E0630"/>
    <w:rsid w:val="001E0720"/>
    <w:rsid w:val="001E0733"/>
    <w:rsid w:val="001E0750"/>
    <w:rsid w:val="001E0770"/>
    <w:rsid w:val="001E0802"/>
    <w:rsid w:val="001E08B0"/>
    <w:rsid w:val="001E0959"/>
    <w:rsid w:val="001E098B"/>
    <w:rsid w:val="001E098C"/>
    <w:rsid w:val="001E0AAB"/>
    <w:rsid w:val="001E0C2B"/>
    <w:rsid w:val="001E0CE9"/>
    <w:rsid w:val="001E0E2F"/>
    <w:rsid w:val="001E0F56"/>
    <w:rsid w:val="001E0FFB"/>
    <w:rsid w:val="001E1325"/>
    <w:rsid w:val="001E1326"/>
    <w:rsid w:val="001E13F1"/>
    <w:rsid w:val="001E14A9"/>
    <w:rsid w:val="001E1575"/>
    <w:rsid w:val="001E15AF"/>
    <w:rsid w:val="001E15CF"/>
    <w:rsid w:val="001E1A8B"/>
    <w:rsid w:val="001E1C0E"/>
    <w:rsid w:val="001E1CDD"/>
    <w:rsid w:val="001E1CF2"/>
    <w:rsid w:val="001E1D02"/>
    <w:rsid w:val="001E1D56"/>
    <w:rsid w:val="001E1D67"/>
    <w:rsid w:val="001E1E17"/>
    <w:rsid w:val="001E1FE7"/>
    <w:rsid w:val="001E2085"/>
    <w:rsid w:val="001E2161"/>
    <w:rsid w:val="001E2216"/>
    <w:rsid w:val="001E2244"/>
    <w:rsid w:val="001E235C"/>
    <w:rsid w:val="001E24E2"/>
    <w:rsid w:val="001E27B2"/>
    <w:rsid w:val="001E27F6"/>
    <w:rsid w:val="001E27FB"/>
    <w:rsid w:val="001E27FE"/>
    <w:rsid w:val="001E2909"/>
    <w:rsid w:val="001E29B6"/>
    <w:rsid w:val="001E2C7A"/>
    <w:rsid w:val="001E2EAF"/>
    <w:rsid w:val="001E3072"/>
    <w:rsid w:val="001E31F1"/>
    <w:rsid w:val="001E321B"/>
    <w:rsid w:val="001E3246"/>
    <w:rsid w:val="001E3285"/>
    <w:rsid w:val="001E3360"/>
    <w:rsid w:val="001E3489"/>
    <w:rsid w:val="001E3600"/>
    <w:rsid w:val="001E3696"/>
    <w:rsid w:val="001E37EA"/>
    <w:rsid w:val="001E3A2D"/>
    <w:rsid w:val="001E3A8F"/>
    <w:rsid w:val="001E3A96"/>
    <w:rsid w:val="001E3B0C"/>
    <w:rsid w:val="001E3E42"/>
    <w:rsid w:val="001E3ECA"/>
    <w:rsid w:val="001E3FC7"/>
    <w:rsid w:val="001E418C"/>
    <w:rsid w:val="001E4193"/>
    <w:rsid w:val="001E441E"/>
    <w:rsid w:val="001E44B0"/>
    <w:rsid w:val="001E4555"/>
    <w:rsid w:val="001E458C"/>
    <w:rsid w:val="001E47C9"/>
    <w:rsid w:val="001E486C"/>
    <w:rsid w:val="001E48CA"/>
    <w:rsid w:val="001E49A2"/>
    <w:rsid w:val="001E49F0"/>
    <w:rsid w:val="001E4A8E"/>
    <w:rsid w:val="001E4A93"/>
    <w:rsid w:val="001E4AAB"/>
    <w:rsid w:val="001E4B58"/>
    <w:rsid w:val="001E4C01"/>
    <w:rsid w:val="001E4F11"/>
    <w:rsid w:val="001E50D5"/>
    <w:rsid w:val="001E52BB"/>
    <w:rsid w:val="001E53AF"/>
    <w:rsid w:val="001E540C"/>
    <w:rsid w:val="001E544D"/>
    <w:rsid w:val="001E580B"/>
    <w:rsid w:val="001E5BAA"/>
    <w:rsid w:val="001E5C1E"/>
    <w:rsid w:val="001E5CB1"/>
    <w:rsid w:val="001E5CB3"/>
    <w:rsid w:val="001E5F69"/>
    <w:rsid w:val="001E66B4"/>
    <w:rsid w:val="001E66F2"/>
    <w:rsid w:val="001E67AE"/>
    <w:rsid w:val="001E69A5"/>
    <w:rsid w:val="001E6A15"/>
    <w:rsid w:val="001E6A77"/>
    <w:rsid w:val="001E6DBF"/>
    <w:rsid w:val="001E6E36"/>
    <w:rsid w:val="001E6F29"/>
    <w:rsid w:val="001E7325"/>
    <w:rsid w:val="001E7486"/>
    <w:rsid w:val="001E758E"/>
    <w:rsid w:val="001E7675"/>
    <w:rsid w:val="001E767A"/>
    <w:rsid w:val="001E771E"/>
    <w:rsid w:val="001E77CC"/>
    <w:rsid w:val="001E7825"/>
    <w:rsid w:val="001E78B9"/>
    <w:rsid w:val="001E795D"/>
    <w:rsid w:val="001E7964"/>
    <w:rsid w:val="001E7BA3"/>
    <w:rsid w:val="001E7CDB"/>
    <w:rsid w:val="001E7D05"/>
    <w:rsid w:val="001E7D6B"/>
    <w:rsid w:val="001E7DCF"/>
    <w:rsid w:val="001E7E1A"/>
    <w:rsid w:val="001F005B"/>
    <w:rsid w:val="001F009D"/>
    <w:rsid w:val="001F0396"/>
    <w:rsid w:val="001F0495"/>
    <w:rsid w:val="001F04C2"/>
    <w:rsid w:val="001F0561"/>
    <w:rsid w:val="001F05DD"/>
    <w:rsid w:val="001F0774"/>
    <w:rsid w:val="001F07B3"/>
    <w:rsid w:val="001F090A"/>
    <w:rsid w:val="001F0947"/>
    <w:rsid w:val="001F09E5"/>
    <w:rsid w:val="001F09E6"/>
    <w:rsid w:val="001F09F9"/>
    <w:rsid w:val="001F0A51"/>
    <w:rsid w:val="001F0AAC"/>
    <w:rsid w:val="001F0B68"/>
    <w:rsid w:val="001F0D25"/>
    <w:rsid w:val="001F0DCA"/>
    <w:rsid w:val="001F0F17"/>
    <w:rsid w:val="001F0F7E"/>
    <w:rsid w:val="001F0FCF"/>
    <w:rsid w:val="001F10B1"/>
    <w:rsid w:val="001F10B8"/>
    <w:rsid w:val="001F1592"/>
    <w:rsid w:val="001F16E8"/>
    <w:rsid w:val="001F180D"/>
    <w:rsid w:val="001F1982"/>
    <w:rsid w:val="001F1CDE"/>
    <w:rsid w:val="001F1CF7"/>
    <w:rsid w:val="001F1D3B"/>
    <w:rsid w:val="001F1D5D"/>
    <w:rsid w:val="001F1E99"/>
    <w:rsid w:val="001F1F83"/>
    <w:rsid w:val="001F21FD"/>
    <w:rsid w:val="001F2278"/>
    <w:rsid w:val="001F227B"/>
    <w:rsid w:val="001F2374"/>
    <w:rsid w:val="001F2637"/>
    <w:rsid w:val="001F275D"/>
    <w:rsid w:val="001F2829"/>
    <w:rsid w:val="001F283E"/>
    <w:rsid w:val="001F28C3"/>
    <w:rsid w:val="001F2B89"/>
    <w:rsid w:val="001F2C5E"/>
    <w:rsid w:val="001F2F44"/>
    <w:rsid w:val="001F318D"/>
    <w:rsid w:val="001F31CF"/>
    <w:rsid w:val="001F3230"/>
    <w:rsid w:val="001F3256"/>
    <w:rsid w:val="001F326B"/>
    <w:rsid w:val="001F32B8"/>
    <w:rsid w:val="001F3323"/>
    <w:rsid w:val="001F3347"/>
    <w:rsid w:val="001F344B"/>
    <w:rsid w:val="001F3541"/>
    <w:rsid w:val="001F35DF"/>
    <w:rsid w:val="001F35F4"/>
    <w:rsid w:val="001F3637"/>
    <w:rsid w:val="001F3690"/>
    <w:rsid w:val="001F37DE"/>
    <w:rsid w:val="001F3ADF"/>
    <w:rsid w:val="001F3BE1"/>
    <w:rsid w:val="001F3F41"/>
    <w:rsid w:val="001F3F60"/>
    <w:rsid w:val="001F3F94"/>
    <w:rsid w:val="001F408F"/>
    <w:rsid w:val="001F40DF"/>
    <w:rsid w:val="001F426A"/>
    <w:rsid w:val="001F43C4"/>
    <w:rsid w:val="001F4426"/>
    <w:rsid w:val="001F452D"/>
    <w:rsid w:val="001F456E"/>
    <w:rsid w:val="001F45F1"/>
    <w:rsid w:val="001F4637"/>
    <w:rsid w:val="001F4794"/>
    <w:rsid w:val="001F4839"/>
    <w:rsid w:val="001F498E"/>
    <w:rsid w:val="001F4CDF"/>
    <w:rsid w:val="001F4DE0"/>
    <w:rsid w:val="001F4E2A"/>
    <w:rsid w:val="001F4E57"/>
    <w:rsid w:val="001F4E60"/>
    <w:rsid w:val="001F510A"/>
    <w:rsid w:val="001F521E"/>
    <w:rsid w:val="001F522D"/>
    <w:rsid w:val="001F537D"/>
    <w:rsid w:val="001F54F5"/>
    <w:rsid w:val="001F5549"/>
    <w:rsid w:val="001F579B"/>
    <w:rsid w:val="001F5A1D"/>
    <w:rsid w:val="001F608B"/>
    <w:rsid w:val="001F61D1"/>
    <w:rsid w:val="001F62C4"/>
    <w:rsid w:val="001F62F8"/>
    <w:rsid w:val="001F6413"/>
    <w:rsid w:val="001F6426"/>
    <w:rsid w:val="001F64B4"/>
    <w:rsid w:val="001F674E"/>
    <w:rsid w:val="001F68FF"/>
    <w:rsid w:val="001F69E4"/>
    <w:rsid w:val="001F69E7"/>
    <w:rsid w:val="001F6AF1"/>
    <w:rsid w:val="001F6BC2"/>
    <w:rsid w:val="001F6C9D"/>
    <w:rsid w:val="001F6D48"/>
    <w:rsid w:val="001F6E57"/>
    <w:rsid w:val="001F708A"/>
    <w:rsid w:val="001F7151"/>
    <w:rsid w:val="001F715F"/>
    <w:rsid w:val="001F716A"/>
    <w:rsid w:val="001F73A9"/>
    <w:rsid w:val="001F761C"/>
    <w:rsid w:val="001F7A2D"/>
    <w:rsid w:val="001F7A6F"/>
    <w:rsid w:val="001F7B65"/>
    <w:rsid w:val="001F7BCA"/>
    <w:rsid w:val="001F7CA0"/>
    <w:rsid w:val="001F7DA8"/>
    <w:rsid w:val="00200031"/>
    <w:rsid w:val="002000C9"/>
    <w:rsid w:val="002000D2"/>
    <w:rsid w:val="0020019F"/>
    <w:rsid w:val="0020026B"/>
    <w:rsid w:val="0020041F"/>
    <w:rsid w:val="0020049E"/>
    <w:rsid w:val="00200527"/>
    <w:rsid w:val="002006C7"/>
    <w:rsid w:val="00200947"/>
    <w:rsid w:val="00200970"/>
    <w:rsid w:val="0020098F"/>
    <w:rsid w:val="00200A15"/>
    <w:rsid w:val="00200B1A"/>
    <w:rsid w:val="00200BC6"/>
    <w:rsid w:val="00200BFF"/>
    <w:rsid w:val="00200C10"/>
    <w:rsid w:val="00200C2A"/>
    <w:rsid w:val="00200C3B"/>
    <w:rsid w:val="00200C4A"/>
    <w:rsid w:val="00200D53"/>
    <w:rsid w:val="00200D6B"/>
    <w:rsid w:val="00201099"/>
    <w:rsid w:val="002011DE"/>
    <w:rsid w:val="0020134B"/>
    <w:rsid w:val="002014C6"/>
    <w:rsid w:val="002014EA"/>
    <w:rsid w:val="002015E8"/>
    <w:rsid w:val="00201618"/>
    <w:rsid w:val="0020176C"/>
    <w:rsid w:val="0020177A"/>
    <w:rsid w:val="00201785"/>
    <w:rsid w:val="00201803"/>
    <w:rsid w:val="00201903"/>
    <w:rsid w:val="0020194E"/>
    <w:rsid w:val="0020199D"/>
    <w:rsid w:val="00201A09"/>
    <w:rsid w:val="00201AD5"/>
    <w:rsid w:val="00201AF2"/>
    <w:rsid w:val="00201B54"/>
    <w:rsid w:val="00201B9B"/>
    <w:rsid w:val="00201C94"/>
    <w:rsid w:val="00201CC6"/>
    <w:rsid w:val="00201E4F"/>
    <w:rsid w:val="00201F01"/>
    <w:rsid w:val="002021B3"/>
    <w:rsid w:val="00202229"/>
    <w:rsid w:val="00202279"/>
    <w:rsid w:val="0020233A"/>
    <w:rsid w:val="00202352"/>
    <w:rsid w:val="00202388"/>
    <w:rsid w:val="002023AA"/>
    <w:rsid w:val="002023D9"/>
    <w:rsid w:val="0020260D"/>
    <w:rsid w:val="0020260E"/>
    <w:rsid w:val="002026FB"/>
    <w:rsid w:val="00202713"/>
    <w:rsid w:val="002027FE"/>
    <w:rsid w:val="002029A1"/>
    <w:rsid w:val="00202B18"/>
    <w:rsid w:val="00202B41"/>
    <w:rsid w:val="00202BDC"/>
    <w:rsid w:val="00202E0D"/>
    <w:rsid w:val="00202ECE"/>
    <w:rsid w:val="00203012"/>
    <w:rsid w:val="00203089"/>
    <w:rsid w:val="00203183"/>
    <w:rsid w:val="00203340"/>
    <w:rsid w:val="00203394"/>
    <w:rsid w:val="00203398"/>
    <w:rsid w:val="002033BF"/>
    <w:rsid w:val="002033E2"/>
    <w:rsid w:val="002034B9"/>
    <w:rsid w:val="00203551"/>
    <w:rsid w:val="00203645"/>
    <w:rsid w:val="00203686"/>
    <w:rsid w:val="0020369F"/>
    <w:rsid w:val="0020385F"/>
    <w:rsid w:val="00203861"/>
    <w:rsid w:val="00203ACF"/>
    <w:rsid w:val="00203E10"/>
    <w:rsid w:val="00203F69"/>
    <w:rsid w:val="00204067"/>
    <w:rsid w:val="0020413E"/>
    <w:rsid w:val="0020425B"/>
    <w:rsid w:val="002043A9"/>
    <w:rsid w:val="002044A6"/>
    <w:rsid w:val="0020463A"/>
    <w:rsid w:val="00204661"/>
    <w:rsid w:val="0020466F"/>
    <w:rsid w:val="002046A5"/>
    <w:rsid w:val="00204794"/>
    <w:rsid w:val="002047AC"/>
    <w:rsid w:val="0020480F"/>
    <w:rsid w:val="00204865"/>
    <w:rsid w:val="00204993"/>
    <w:rsid w:val="00204A45"/>
    <w:rsid w:val="00204AB1"/>
    <w:rsid w:val="00204BD5"/>
    <w:rsid w:val="00204C26"/>
    <w:rsid w:val="00204FE8"/>
    <w:rsid w:val="002050AC"/>
    <w:rsid w:val="002050FE"/>
    <w:rsid w:val="0020515F"/>
    <w:rsid w:val="0020522E"/>
    <w:rsid w:val="00205336"/>
    <w:rsid w:val="00205455"/>
    <w:rsid w:val="00205493"/>
    <w:rsid w:val="002055B7"/>
    <w:rsid w:val="00205804"/>
    <w:rsid w:val="00205854"/>
    <w:rsid w:val="00205883"/>
    <w:rsid w:val="00205978"/>
    <w:rsid w:val="00205CDE"/>
    <w:rsid w:val="00205D18"/>
    <w:rsid w:val="00205D85"/>
    <w:rsid w:val="00205F78"/>
    <w:rsid w:val="00205FBA"/>
    <w:rsid w:val="002060B2"/>
    <w:rsid w:val="00206169"/>
    <w:rsid w:val="002061EB"/>
    <w:rsid w:val="00206211"/>
    <w:rsid w:val="002062EA"/>
    <w:rsid w:val="00206305"/>
    <w:rsid w:val="0020642D"/>
    <w:rsid w:val="00206477"/>
    <w:rsid w:val="00206504"/>
    <w:rsid w:val="00206545"/>
    <w:rsid w:val="00206577"/>
    <w:rsid w:val="00206636"/>
    <w:rsid w:val="00206638"/>
    <w:rsid w:val="00206730"/>
    <w:rsid w:val="002067A1"/>
    <w:rsid w:val="002069EA"/>
    <w:rsid w:val="00206AB5"/>
    <w:rsid w:val="00206ADB"/>
    <w:rsid w:val="00206AEA"/>
    <w:rsid w:val="00206B33"/>
    <w:rsid w:val="00206D8B"/>
    <w:rsid w:val="00206D96"/>
    <w:rsid w:val="00206DC4"/>
    <w:rsid w:val="00206E7F"/>
    <w:rsid w:val="0020707E"/>
    <w:rsid w:val="00207382"/>
    <w:rsid w:val="0020749B"/>
    <w:rsid w:val="002074E9"/>
    <w:rsid w:val="00207515"/>
    <w:rsid w:val="002076F8"/>
    <w:rsid w:val="0020778E"/>
    <w:rsid w:val="00207B8F"/>
    <w:rsid w:val="00207C2C"/>
    <w:rsid w:val="00207DC6"/>
    <w:rsid w:val="00207E57"/>
    <w:rsid w:val="00207F33"/>
    <w:rsid w:val="0021006D"/>
    <w:rsid w:val="002100C1"/>
    <w:rsid w:val="0021013A"/>
    <w:rsid w:val="0021015E"/>
    <w:rsid w:val="00210483"/>
    <w:rsid w:val="00210552"/>
    <w:rsid w:val="00210580"/>
    <w:rsid w:val="002107B3"/>
    <w:rsid w:val="002107C1"/>
    <w:rsid w:val="002107E6"/>
    <w:rsid w:val="002108CA"/>
    <w:rsid w:val="002108DF"/>
    <w:rsid w:val="0021095C"/>
    <w:rsid w:val="00210977"/>
    <w:rsid w:val="00210A27"/>
    <w:rsid w:val="00210AEC"/>
    <w:rsid w:val="00210B86"/>
    <w:rsid w:val="00210CCA"/>
    <w:rsid w:val="00210D05"/>
    <w:rsid w:val="00210EC5"/>
    <w:rsid w:val="00211132"/>
    <w:rsid w:val="0021116B"/>
    <w:rsid w:val="00211184"/>
    <w:rsid w:val="0021118C"/>
    <w:rsid w:val="00211222"/>
    <w:rsid w:val="002114B5"/>
    <w:rsid w:val="002115B5"/>
    <w:rsid w:val="002116AA"/>
    <w:rsid w:val="0021197A"/>
    <w:rsid w:val="002119E1"/>
    <w:rsid w:val="00211A96"/>
    <w:rsid w:val="00211DB7"/>
    <w:rsid w:val="00211E02"/>
    <w:rsid w:val="00211E25"/>
    <w:rsid w:val="00211FCB"/>
    <w:rsid w:val="00212162"/>
    <w:rsid w:val="00212194"/>
    <w:rsid w:val="00212287"/>
    <w:rsid w:val="0021229D"/>
    <w:rsid w:val="002123F6"/>
    <w:rsid w:val="002124CE"/>
    <w:rsid w:val="002125B4"/>
    <w:rsid w:val="0021264F"/>
    <w:rsid w:val="00212664"/>
    <w:rsid w:val="002126AA"/>
    <w:rsid w:val="0021289D"/>
    <w:rsid w:val="0021290E"/>
    <w:rsid w:val="00212AC4"/>
    <w:rsid w:val="00212B60"/>
    <w:rsid w:val="00212B91"/>
    <w:rsid w:val="00212B9B"/>
    <w:rsid w:val="00212C00"/>
    <w:rsid w:val="00212EDC"/>
    <w:rsid w:val="00212F3C"/>
    <w:rsid w:val="00212FA1"/>
    <w:rsid w:val="00213064"/>
    <w:rsid w:val="002130AC"/>
    <w:rsid w:val="002132D8"/>
    <w:rsid w:val="002133E7"/>
    <w:rsid w:val="002134D7"/>
    <w:rsid w:val="00213746"/>
    <w:rsid w:val="002137B6"/>
    <w:rsid w:val="00213A20"/>
    <w:rsid w:val="00213A95"/>
    <w:rsid w:val="00213AC3"/>
    <w:rsid w:val="00213BDD"/>
    <w:rsid w:val="00213C61"/>
    <w:rsid w:val="00213CF1"/>
    <w:rsid w:val="00213D17"/>
    <w:rsid w:val="00213E28"/>
    <w:rsid w:val="00213E6C"/>
    <w:rsid w:val="00213ED9"/>
    <w:rsid w:val="00213F1B"/>
    <w:rsid w:val="00213F37"/>
    <w:rsid w:val="00213F80"/>
    <w:rsid w:val="00213FAB"/>
    <w:rsid w:val="002140A6"/>
    <w:rsid w:val="00214129"/>
    <w:rsid w:val="00214359"/>
    <w:rsid w:val="002145BD"/>
    <w:rsid w:val="002147C5"/>
    <w:rsid w:val="0021486A"/>
    <w:rsid w:val="00214877"/>
    <w:rsid w:val="00214AA0"/>
    <w:rsid w:val="00214AF3"/>
    <w:rsid w:val="00214C41"/>
    <w:rsid w:val="00214C66"/>
    <w:rsid w:val="00214F0C"/>
    <w:rsid w:val="00214F9F"/>
    <w:rsid w:val="002150AB"/>
    <w:rsid w:val="00215151"/>
    <w:rsid w:val="00215562"/>
    <w:rsid w:val="002155B8"/>
    <w:rsid w:val="002155F1"/>
    <w:rsid w:val="002157EB"/>
    <w:rsid w:val="00215892"/>
    <w:rsid w:val="00215968"/>
    <w:rsid w:val="00215BAD"/>
    <w:rsid w:val="00215CE2"/>
    <w:rsid w:val="00215EDB"/>
    <w:rsid w:val="00215F09"/>
    <w:rsid w:val="00215F94"/>
    <w:rsid w:val="00215FB4"/>
    <w:rsid w:val="00215FB8"/>
    <w:rsid w:val="002160BD"/>
    <w:rsid w:val="00216108"/>
    <w:rsid w:val="002162CB"/>
    <w:rsid w:val="0021639C"/>
    <w:rsid w:val="002163A8"/>
    <w:rsid w:val="002166A5"/>
    <w:rsid w:val="002169DB"/>
    <w:rsid w:val="00216A00"/>
    <w:rsid w:val="00216AEC"/>
    <w:rsid w:val="00216BCA"/>
    <w:rsid w:val="00216D2C"/>
    <w:rsid w:val="00216E2E"/>
    <w:rsid w:val="00216F58"/>
    <w:rsid w:val="002170E9"/>
    <w:rsid w:val="0021721E"/>
    <w:rsid w:val="002176BA"/>
    <w:rsid w:val="002177ED"/>
    <w:rsid w:val="00217812"/>
    <w:rsid w:val="002178E2"/>
    <w:rsid w:val="00217B6F"/>
    <w:rsid w:val="00217D32"/>
    <w:rsid w:val="00217EF0"/>
    <w:rsid w:val="00217F8F"/>
    <w:rsid w:val="00220222"/>
    <w:rsid w:val="0022028A"/>
    <w:rsid w:val="00220480"/>
    <w:rsid w:val="00220491"/>
    <w:rsid w:val="00220924"/>
    <w:rsid w:val="00220C7C"/>
    <w:rsid w:val="00221059"/>
    <w:rsid w:val="002211D0"/>
    <w:rsid w:val="0022121D"/>
    <w:rsid w:val="0022138E"/>
    <w:rsid w:val="002213BB"/>
    <w:rsid w:val="00221490"/>
    <w:rsid w:val="002214DF"/>
    <w:rsid w:val="00221525"/>
    <w:rsid w:val="00221860"/>
    <w:rsid w:val="0022186F"/>
    <w:rsid w:val="002219AF"/>
    <w:rsid w:val="002219DB"/>
    <w:rsid w:val="00221AAC"/>
    <w:rsid w:val="00221ADF"/>
    <w:rsid w:val="00221DCB"/>
    <w:rsid w:val="00221E3F"/>
    <w:rsid w:val="00221E40"/>
    <w:rsid w:val="00221E48"/>
    <w:rsid w:val="00221E83"/>
    <w:rsid w:val="00221F2B"/>
    <w:rsid w:val="002220C7"/>
    <w:rsid w:val="00222254"/>
    <w:rsid w:val="002223D3"/>
    <w:rsid w:val="0022258C"/>
    <w:rsid w:val="002226D2"/>
    <w:rsid w:val="0022270F"/>
    <w:rsid w:val="0022281B"/>
    <w:rsid w:val="0022293D"/>
    <w:rsid w:val="00222A80"/>
    <w:rsid w:val="00222A90"/>
    <w:rsid w:val="00222AB4"/>
    <w:rsid w:val="00222B26"/>
    <w:rsid w:val="00222B4E"/>
    <w:rsid w:val="00222B4F"/>
    <w:rsid w:val="00222FDA"/>
    <w:rsid w:val="002230DF"/>
    <w:rsid w:val="002230E2"/>
    <w:rsid w:val="0022323F"/>
    <w:rsid w:val="002233E8"/>
    <w:rsid w:val="00223581"/>
    <w:rsid w:val="00223601"/>
    <w:rsid w:val="00223798"/>
    <w:rsid w:val="00223935"/>
    <w:rsid w:val="002239F8"/>
    <w:rsid w:val="00223BBF"/>
    <w:rsid w:val="00223CA9"/>
    <w:rsid w:val="00223D18"/>
    <w:rsid w:val="00223F72"/>
    <w:rsid w:val="00224024"/>
    <w:rsid w:val="0022407B"/>
    <w:rsid w:val="0022414A"/>
    <w:rsid w:val="0022415F"/>
    <w:rsid w:val="002242D2"/>
    <w:rsid w:val="0022441F"/>
    <w:rsid w:val="0022460E"/>
    <w:rsid w:val="0022469E"/>
    <w:rsid w:val="00224718"/>
    <w:rsid w:val="00224839"/>
    <w:rsid w:val="00224920"/>
    <w:rsid w:val="002249B2"/>
    <w:rsid w:val="002249C1"/>
    <w:rsid w:val="00224A16"/>
    <w:rsid w:val="00224A9A"/>
    <w:rsid w:val="00224B0F"/>
    <w:rsid w:val="00224BA8"/>
    <w:rsid w:val="00224BC2"/>
    <w:rsid w:val="00224C8F"/>
    <w:rsid w:val="00224E57"/>
    <w:rsid w:val="00224E5B"/>
    <w:rsid w:val="00224E85"/>
    <w:rsid w:val="00224F87"/>
    <w:rsid w:val="00224FA1"/>
    <w:rsid w:val="0022500D"/>
    <w:rsid w:val="002250C4"/>
    <w:rsid w:val="00225166"/>
    <w:rsid w:val="00225311"/>
    <w:rsid w:val="0022544C"/>
    <w:rsid w:val="002254EA"/>
    <w:rsid w:val="002255BE"/>
    <w:rsid w:val="0022562E"/>
    <w:rsid w:val="0022566A"/>
    <w:rsid w:val="00225891"/>
    <w:rsid w:val="0022595B"/>
    <w:rsid w:val="00225A60"/>
    <w:rsid w:val="00225C45"/>
    <w:rsid w:val="00225D70"/>
    <w:rsid w:val="00225E74"/>
    <w:rsid w:val="00225F00"/>
    <w:rsid w:val="00225F72"/>
    <w:rsid w:val="00225FF8"/>
    <w:rsid w:val="00226045"/>
    <w:rsid w:val="0022624C"/>
    <w:rsid w:val="0022639E"/>
    <w:rsid w:val="0022641C"/>
    <w:rsid w:val="00226463"/>
    <w:rsid w:val="00226574"/>
    <w:rsid w:val="00226590"/>
    <w:rsid w:val="002265A1"/>
    <w:rsid w:val="00226A02"/>
    <w:rsid w:val="00226B23"/>
    <w:rsid w:val="00226B76"/>
    <w:rsid w:val="00226C27"/>
    <w:rsid w:val="00226C5E"/>
    <w:rsid w:val="00226D10"/>
    <w:rsid w:val="00226F0A"/>
    <w:rsid w:val="00226F8F"/>
    <w:rsid w:val="0022706E"/>
    <w:rsid w:val="002270AC"/>
    <w:rsid w:val="0022718E"/>
    <w:rsid w:val="0022719E"/>
    <w:rsid w:val="0022728C"/>
    <w:rsid w:val="0022737C"/>
    <w:rsid w:val="002274D5"/>
    <w:rsid w:val="002274EB"/>
    <w:rsid w:val="00227587"/>
    <w:rsid w:val="00227672"/>
    <w:rsid w:val="002278EC"/>
    <w:rsid w:val="002278FE"/>
    <w:rsid w:val="00227C3A"/>
    <w:rsid w:val="00227C91"/>
    <w:rsid w:val="00227CD2"/>
    <w:rsid w:val="00227EAA"/>
    <w:rsid w:val="00227EDB"/>
    <w:rsid w:val="00227F72"/>
    <w:rsid w:val="00230006"/>
    <w:rsid w:val="0023009B"/>
    <w:rsid w:val="002303D9"/>
    <w:rsid w:val="0023041D"/>
    <w:rsid w:val="00230440"/>
    <w:rsid w:val="00230497"/>
    <w:rsid w:val="002305DC"/>
    <w:rsid w:val="00230713"/>
    <w:rsid w:val="002307FC"/>
    <w:rsid w:val="0023086C"/>
    <w:rsid w:val="00230A10"/>
    <w:rsid w:val="00230C63"/>
    <w:rsid w:val="00230E02"/>
    <w:rsid w:val="00230E24"/>
    <w:rsid w:val="00230E46"/>
    <w:rsid w:val="00230E59"/>
    <w:rsid w:val="00230EF7"/>
    <w:rsid w:val="00230FC0"/>
    <w:rsid w:val="00230FFF"/>
    <w:rsid w:val="00231012"/>
    <w:rsid w:val="00231421"/>
    <w:rsid w:val="00231426"/>
    <w:rsid w:val="00231578"/>
    <w:rsid w:val="002317AD"/>
    <w:rsid w:val="002317B8"/>
    <w:rsid w:val="002318C1"/>
    <w:rsid w:val="00231958"/>
    <w:rsid w:val="002319D2"/>
    <w:rsid w:val="002319F8"/>
    <w:rsid w:val="00231A1C"/>
    <w:rsid w:val="00231A9B"/>
    <w:rsid w:val="00231C24"/>
    <w:rsid w:val="00231CEF"/>
    <w:rsid w:val="00231D76"/>
    <w:rsid w:val="00231EB8"/>
    <w:rsid w:val="00231FA8"/>
    <w:rsid w:val="002321B2"/>
    <w:rsid w:val="00232241"/>
    <w:rsid w:val="0023225E"/>
    <w:rsid w:val="002322AD"/>
    <w:rsid w:val="00232333"/>
    <w:rsid w:val="0023279D"/>
    <w:rsid w:val="0023280E"/>
    <w:rsid w:val="0023283F"/>
    <w:rsid w:val="002328F5"/>
    <w:rsid w:val="00232A68"/>
    <w:rsid w:val="00232A97"/>
    <w:rsid w:val="00232ACE"/>
    <w:rsid w:val="00232B2D"/>
    <w:rsid w:val="00232D78"/>
    <w:rsid w:val="00232FFF"/>
    <w:rsid w:val="002330B2"/>
    <w:rsid w:val="00233196"/>
    <w:rsid w:val="002332CA"/>
    <w:rsid w:val="0023354E"/>
    <w:rsid w:val="00233701"/>
    <w:rsid w:val="00233766"/>
    <w:rsid w:val="00233800"/>
    <w:rsid w:val="00233C4A"/>
    <w:rsid w:val="00233D38"/>
    <w:rsid w:val="00234087"/>
    <w:rsid w:val="00234090"/>
    <w:rsid w:val="00234188"/>
    <w:rsid w:val="00234207"/>
    <w:rsid w:val="002342C2"/>
    <w:rsid w:val="00234558"/>
    <w:rsid w:val="0023455F"/>
    <w:rsid w:val="00234601"/>
    <w:rsid w:val="002349E7"/>
    <w:rsid w:val="00234A04"/>
    <w:rsid w:val="00234B1B"/>
    <w:rsid w:val="00234D82"/>
    <w:rsid w:val="00234DF1"/>
    <w:rsid w:val="00234F38"/>
    <w:rsid w:val="0023510E"/>
    <w:rsid w:val="0023522A"/>
    <w:rsid w:val="0023533D"/>
    <w:rsid w:val="002353BA"/>
    <w:rsid w:val="002354C0"/>
    <w:rsid w:val="002354C6"/>
    <w:rsid w:val="0023565A"/>
    <w:rsid w:val="00235711"/>
    <w:rsid w:val="002357BB"/>
    <w:rsid w:val="00235A7A"/>
    <w:rsid w:val="00235C0E"/>
    <w:rsid w:val="00235D79"/>
    <w:rsid w:val="00235DC9"/>
    <w:rsid w:val="00235F94"/>
    <w:rsid w:val="00235FEE"/>
    <w:rsid w:val="002361EC"/>
    <w:rsid w:val="00236242"/>
    <w:rsid w:val="002362A7"/>
    <w:rsid w:val="002362EC"/>
    <w:rsid w:val="00236441"/>
    <w:rsid w:val="0023648D"/>
    <w:rsid w:val="002364CD"/>
    <w:rsid w:val="00236533"/>
    <w:rsid w:val="002365EB"/>
    <w:rsid w:val="002365F4"/>
    <w:rsid w:val="00236614"/>
    <w:rsid w:val="0023674A"/>
    <w:rsid w:val="0023677D"/>
    <w:rsid w:val="00236867"/>
    <w:rsid w:val="00236A44"/>
    <w:rsid w:val="00236B07"/>
    <w:rsid w:val="00236B70"/>
    <w:rsid w:val="00236B93"/>
    <w:rsid w:val="00236CE4"/>
    <w:rsid w:val="00236D34"/>
    <w:rsid w:val="00236FA3"/>
    <w:rsid w:val="00236FF9"/>
    <w:rsid w:val="0023712C"/>
    <w:rsid w:val="0023734B"/>
    <w:rsid w:val="00237368"/>
    <w:rsid w:val="00237376"/>
    <w:rsid w:val="0023755B"/>
    <w:rsid w:val="00237569"/>
    <w:rsid w:val="0023760E"/>
    <w:rsid w:val="00237706"/>
    <w:rsid w:val="002377D1"/>
    <w:rsid w:val="002378B9"/>
    <w:rsid w:val="002378EB"/>
    <w:rsid w:val="00237955"/>
    <w:rsid w:val="00237AD2"/>
    <w:rsid w:val="00237CDD"/>
    <w:rsid w:val="00237D18"/>
    <w:rsid w:val="00237E19"/>
    <w:rsid w:val="00237EAC"/>
    <w:rsid w:val="00240049"/>
    <w:rsid w:val="00240188"/>
    <w:rsid w:val="002401F3"/>
    <w:rsid w:val="00240281"/>
    <w:rsid w:val="00240398"/>
    <w:rsid w:val="002403DF"/>
    <w:rsid w:val="00240447"/>
    <w:rsid w:val="002404D0"/>
    <w:rsid w:val="0024059E"/>
    <w:rsid w:val="002405AC"/>
    <w:rsid w:val="002405C3"/>
    <w:rsid w:val="002406EB"/>
    <w:rsid w:val="00240706"/>
    <w:rsid w:val="0024070B"/>
    <w:rsid w:val="00240741"/>
    <w:rsid w:val="002407D7"/>
    <w:rsid w:val="002407E6"/>
    <w:rsid w:val="00240813"/>
    <w:rsid w:val="00240B75"/>
    <w:rsid w:val="00240C07"/>
    <w:rsid w:val="00240C10"/>
    <w:rsid w:val="00240C13"/>
    <w:rsid w:val="00240C22"/>
    <w:rsid w:val="00240F8F"/>
    <w:rsid w:val="00240FC1"/>
    <w:rsid w:val="0024104B"/>
    <w:rsid w:val="0024107C"/>
    <w:rsid w:val="0024114B"/>
    <w:rsid w:val="002411CC"/>
    <w:rsid w:val="002412F2"/>
    <w:rsid w:val="002414EE"/>
    <w:rsid w:val="002415BB"/>
    <w:rsid w:val="0024169E"/>
    <w:rsid w:val="002416F7"/>
    <w:rsid w:val="0024171D"/>
    <w:rsid w:val="002417FE"/>
    <w:rsid w:val="0024182F"/>
    <w:rsid w:val="0024185D"/>
    <w:rsid w:val="00241B4B"/>
    <w:rsid w:val="00241BFF"/>
    <w:rsid w:val="00241D20"/>
    <w:rsid w:val="00241D8A"/>
    <w:rsid w:val="002421AE"/>
    <w:rsid w:val="00242203"/>
    <w:rsid w:val="002423FF"/>
    <w:rsid w:val="0024240C"/>
    <w:rsid w:val="00242415"/>
    <w:rsid w:val="0024253A"/>
    <w:rsid w:val="0024263C"/>
    <w:rsid w:val="00242773"/>
    <w:rsid w:val="002427F2"/>
    <w:rsid w:val="002427FF"/>
    <w:rsid w:val="0024285E"/>
    <w:rsid w:val="00242A43"/>
    <w:rsid w:val="00242B9E"/>
    <w:rsid w:val="00242BDB"/>
    <w:rsid w:val="00242C9B"/>
    <w:rsid w:val="00242D0B"/>
    <w:rsid w:val="00242DC1"/>
    <w:rsid w:val="00243142"/>
    <w:rsid w:val="002431E6"/>
    <w:rsid w:val="00243235"/>
    <w:rsid w:val="002432CB"/>
    <w:rsid w:val="00243342"/>
    <w:rsid w:val="002433EF"/>
    <w:rsid w:val="002434BB"/>
    <w:rsid w:val="0024353C"/>
    <w:rsid w:val="002435C9"/>
    <w:rsid w:val="0024361A"/>
    <w:rsid w:val="00243835"/>
    <w:rsid w:val="0024396C"/>
    <w:rsid w:val="00243988"/>
    <w:rsid w:val="00243A91"/>
    <w:rsid w:val="00243AD6"/>
    <w:rsid w:val="00243E9F"/>
    <w:rsid w:val="00243FAB"/>
    <w:rsid w:val="00243FE0"/>
    <w:rsid w:val="00244232"/>
    <w:rsid w:val="002444BC"/>
    <w:rsid w:val="00244692"/>
    <w:rsid w:val="002446D9"/>
    <w:rsid w:val="0024475B"/>
    <w:rsid w:val="00244807"/>
    <w:rsid w:val="002448BF"/>
    <w:rsid w:val="002449E5"/>
    <w:rsid w:val="00244A98"/>
    <w:rsid w:val="00244A9E"/>
    <w:rsid w:val="00244ADF"/>
    <w:rsid w:val="00244B8A"/>
    <w:rsid w:val="00244C7C"/>
    <w:rsid w:val="00244CE0"/>
    <w:rsid w:val="00244D43"/>
    <w:rsid w:val="00244EA2"/>
    <w:rsid w:val="00244EA4"/>
    <w:rsid w:val="00244F55"/>
    <w:rsid w:val="00244F7A"/>
    <w:rsid w:val="00244FA5"/>
    <w:rsid w:val="00245065"/>
    <w:rsid w:val="00245123"/>
    <w:rsid w:val="002454AE"/>
    <w:rsid w:val="002454F3"/>
    <w:rsid w:val="002454F4"/>
    <w:rsid w:val="00245611"/>
    <w:rsid w:val="00245612"/>
    <w:rsid w:val="002456B1"/>
    <w:rsid w:val="002456CC"/>
    <w:rsid w:val="0024571F"/>
    <w:rsid w:val="0024573E"/>
    <w:rsid w:val="00245790"/>
    <w:rsid w:val="002457A7"/>
    <w:rsid w:val="002457B7"/>
    <w:rsid w:val="002457DD"/>
    <w:rsid w:val="00245BEA"/>
    <w:rsid w:val="00245D21"/>
    <w:rsid w:val="00245F0A"/>
    <w:rsid w:val="00245F81"/>
    <w:rsid w:val="002460B3"/>
    <w:rsid w:val="00246111"/>
    <w:rsid w:val="00246131"/>
    <w:rsid w:val="0024613F"/>
    <w:rsid w:val="00246177"/>
    <w:rsid w:val="002461C9"/>
    <w:rsid w:val="0024620E"/>
    <w:rsid w:val="002462C4"/>
    <w:rsid w:val="002463A0"/>
    <w:rsid w:val="0024658E"/>
    <w:rsid w:val="002466C3"/>
    <w:rsid w:val="0024691A"/>
    <w:rsid w:val="00246A76"/>
    <w:rsid w:val="00246AA2"/>
    <w:rsid w:val="00246C9D"/>
    <w:rsid w:val="00246CA2"/>
    <w:rsid w:val="00246CA3"/>
    <w:rsid w:val="00246CA5"/>
    <w:rsid w:val="00246EB6"/>
    <w:rsid w:val="00246F06"/>
    <w:rsid w:val="00246F7D"/>
    <w:rsid w:val="00247165"/>
    <w:rsid w:val="002471CF"/>
    <w:rsid w:val="002472E2"/>
    <w:rsid w:val="0024742F"/>
    <w:rsid w:val="00247542"/>
    <w:rsid w:val="002477F1"/>
    <w:rsid w:val="00247830"/>
    <w:rsid w:val="00247973"/>
    <w:rsid w:val="00247A70"/>
    <w:rsid w:val="00247ABC"/>
    <w:rsid w:val="00247B16"/>
    <w:rsid w:val="00247B31"/>
    <w:rsid w:val="00247B45"/>
    <w:rsid w:val="00247B9B"/>
    <w:rsid w:val="00247DB1"/>
    <w:rsid w:val="00247E46"/>
    <w:rsid w:val="00247E85"/>
    <w:rsid w:val="00247EE2"/>
    <w:rsid w:val="0025003B"/>
    <w:rsid w:val="00250056"/>
    <w:rsid w:val="002501A0"/>
    <w:rsid w:val="002505AF"/>
    <w:rsid w:val="0025061C"/>
    <w:rsid w:val="002506A3"/>
    <w:rsid w:val="002506BC"/>
    <w:rsid w:val="00250781"/>
    <w:rsid w:val="002507D6"/>
    <w:rsid w:val="00250985"/>
    <w:rsid w:val="00250A46"/>
    <w:rsid w:val="00250E94"/>
    <w:rsid w:val="00250F63"/>
    <w:rsid w:val="002510DA"/>
    <w:rsid w:val="002512E3"/>
    <w:rsid w:val="00251327"/>
    <w:rsid w:val="002513B2"/>
    <w:rsid w:val="002514FF"/>
    <w:rsid w:val="0025150B"/>
    <w:rsid w:val="00251574"/>
    <w:rsid w:val="00251591"/>
    <w:rsid w:val="002517EF"/>
    <w:rsid w:val="00251897"/>
    <w:rsid w:val="00251B40"/>
    <w:rsid w:val="00251C68"/>
    <w:rsid w:val="00251D98"/>
    <w:rsid w:val="00251D9C"/>
    <w:rsid w:val="00251DAD"/>
    <w:rsid w:val="00251EB5"/>
    <w:rsid w:val="00252083"/>
    <w:rsid w:val="0025210F"/>
    <w:rsid w:val="00252253"/>
    <w:rsid w:val="002523D5"/>
    <w:rsid w:val="00252475"/>
    <w:rsid w:val="002525A1"/>
    <w:rsid w:val="00252614"/>
    <w:rsid w:val="0025262D"/>
    <w:rsid w:val="0025265A"/>
    <w:rsid w:val="002526DA"/>
    <w:rsid w:val="00252960"/>
    <w:rsid w:val="002529C3"/>
    <w:rsid w:val="00252ACE"/>
    <w:rsid w:val="00252B06"/>
    <w:rsid w:val="00252B29"/>
    <w:rsid w:val="00252B45"/>
    <w:rsid w:val="00252BC9"/>
    <w:rsid w:val="00252CCA"/>
    <w:rsid w:val="00252CD5"/>
    <w:rsid w:val="00252D6A"/>
    <w:rsid w:val="00253039"/>
    <w:rsid w:val="0025321E"/>
    <w:rsid w:val="0025323A"/>
    <w:rsid w:val="002532B3"/>
    <w:rsid w:val="00253496"/>
    <w:rsid w:val="002534B6"/>
    <w:rsid w:val="0025358E"/>
    <w:rsid w:val="002536CB"/>
    <w:rsid w:val="00253775"/>
    <w:rsid w:val="0025392E"/>
    <w:rsid w:val="00253B98"/>
    <w:rsid w:val="00253C40"/>
    <w:rsid w:val="00253CD5"/>
    <w:rsid w:val="00253D54"/>
    <w:rsid w:val="00253E2A"/>
    <w:rsid w:val="00253EC4"/>
    <w:rsid w:val="00254062"/>
    <w:rsid w:val="0025407F"/>
    <w:rsid w:val="0025410B"/>
    <w:rsid w:val="0025417C"/>
    <w:rsid w:val="002541DD"/>
    <w:rsid w:val="002542E1"/>
    <w:rsid w:val="00254345"/>
    <w:rsid w:val="002543B0"/>
    <w:rsid w:val="0025449B"/>
    <w:rsid w:val="002545F0"/>
    <w:rsid w:val="0025462B"/>
    <w:rsid w:val="002546B3"/>
    <w:rsid w:val="0025477F"/>
    <w:rsid w:val="00254999"/>
    <w:rsid w:val="002549CA"/>
    <w:rsid w:val="00254C24"/>
    <w:rsid w:val="00254CA2"/>
    <w:rsid w:val="00254D82"/>
    <w:rsid w:val="00254F55"/>
    <w:rsid w:val="00254FBE"/>
    <w:rsid w:val="00254FF8"/>
    <w:rsid w:val="002550D7"/>
    <w:rsid w:val="002551C8"/>
    <w:rsid w:val="002551DC"/>
    <w:rsid w:val="002552DF"/>
    <w:rsid w:val="002552E4"/>
    <w:rsid w:val="00255334"/>
    <w:rsid w:val="00255347"/>
    <w:rsid w:val="0025539D"/>
    <w:rsid w:val="002553C4"/>
    <w:rsid w:val="00255569"/>
    <w:rsid w:val="00255616"/>
    <w:rsid w:val="0025581F"/>
    <w:rsid w:val="00255900"/>
    <w:rsid w:val="002559B7"/>
    <w:rsid w:val="00255C3F"/>
    <w:rsid w:val="00255D30"/>
    <w:rsid w:val="00255DB7"/>
    <w:rsid w:val="00256042"/>
    <w:rsid w:val="00256110"/>
    <w:rsid w:val="00256128"/>
    <w:rsid w:val="0025614D"/>
    <w:rsid w:val="00256473"/>
    <w:rsid w:val="00256504"/>
    <w:rsid w:val="00256556"/>
    <w:rsid w:val="002565E9"/>
    <w:rsid w:val="002566FC"/>
    <w:rsid w:val="00256871"/>
    <w:rsid w:val="002568A7"/>
    <w:rsid w:val="002568ED"/>
    <w:rsid w:val="00256969"/>
    <w:rsid w:val="00256A6D"/>
    <w:rsid w:val="00256AEE"/>
    <w:rsid w:val="00256E64"/>
    <w:rsid w:val="00256E69"/>
    <w:rsid w:val="00256E73"/>
    <w:rsid w:val="00256EF4"/>
    <w:rsid w:val="00256F17"/>
    <w:rsid w:val="00256FAA"/>
    <w:rsid w:val="00257055"/>
    <w:rsid w:val="00257144"/>
    <w:rsid w:val="0025714C"/>
    <w:rsid w:val="0025729D"/>
    <w:rsid w:val="002572A9"/>
    <w:rsid w:val="002572B2"/>
    <w:rsid w:val="0025735F"/>
    <w:rsid w:val="0025737D"/>
    <w:rsid w:val="00257486"/>
    <w:rsid w:val="002576DE"/>
    <w:rsid w:val="00257982"/>
    <w:rsid w:val="00257AC1"/>
    <w:rsid w:val="00257AF1"/>
    <w:rsid w:val="00257B03"/>
    <w:rsid w:val="00257C48"/>
    <w:rsid w:val="00257D13"/>
    <w:rsid w:val="00257D31"/>
    <w:rsid w:val="00257EAD"/>
    <w:rsid w:val="00257F2A"/>
    <w:rsid w:val="00260127"/>
    <w:rsid w:val="00260153"/>
    <w:rsid w:val="0026026A"/>
    <w:rsid w:val="0026028A"/>
    <w:rsid w:val="00260305"/>
    <w:rsid w:val="002603B5"/>
    <w:rsid w:val="00260457"/>
    <w:rsid w:val="002604DF"/>
    <w:rsid w:val="0026057C"/>
    <w:rsid w:val="002605BB"/>
    <w:rsid w:val="002605CC"/>
    <w:rsid w:val="002605E5"/>
    <w:rsid w:val="002607E9"/>
    <w:rsid w:val="00260992"/>
    <w:rsid w:val="00260CA7"/>
    <w:rsid w:val="00260D18"/>
    <w:rsid w:val="00260EB8"/>
    <w:rsid w:val="00261052"/>
    <w:rsid w:val="00261061"/>
    <w:rsid w:val="002610D5"/>
    <w:rsid w:val="00261171"/>
    <w:rsid w:val="002611ED"/>
    <w:rsid w:val="002611FA"/>
    <w:rsid w:val="002612B3"/>
    <w:rsid w:val="002614DC"/>
    <w:rsid w:val="002614EB"/>
    <w:rsid w:val="00261542"/>
    <w:rsid w:val="00261566"/>
    <w:rsid w:val="00261865"/>
    <w:rsid w:val="002618DA"/>
    <w:rsid w:val="00261933"/>
    <w:rsid w:val="00261C39"/>
    <w:rsid w:val="00261CBC"/>
    <w:rsid w:val="00261D46"/>
    <w:rsid w:val="00261E13"/>
    <w:rsid w:val="00261E76"/>
    <w:rsid w:val="0026223D"/>
    <w:rsid w:val="0026235D"/>
    <w:rsid w:val="0026252E"/>
    <w:rsid w:val="0026261A"/>
    <w:rsid w:val="00262644"/>
    <w:rsid w:val="0026267A"/>
    <w:rsid w:val="00262724"/>
    <w:rsid w:val="0026274D"/>
    <w:rsid w:val="002627D9"/>
    <w:rsid w:val="00262967"/>
    <w:rsid w:val="00262973"/>
    <w:rsid w:val="00262A74"/>
    <w:rsid w:val="00262AA4"/>
    <w:rsid w:val="00262B70"/>
    <w:rsid w:val="00262BB3"/>
    <w:rsid w:val="00262C0D"/>
    <w:rsid w:val="00262D44"/>
    <w:rsid w:val="00262E3A"/>
    <w:rsid w:val="00262E80"/>
    <w:rsid w:val="00262EE0"/>
    <w:rsid w:val="00262EE2"/>
    <w:rsid w:val="00262EF2"/>
    <w:rsid w:val="00262F25"/>
    <w:rsid w:val="00263406"/>
    <w:rsid w:val="00263467"/>
    <w:rsid w:val="002634DA"/>
    <w:rsid w:val="00263592"/>
    <w:rsid w:val="00263817"/>
    <w:rsid w:val="00263818"/>
    <w:rsid w:val="00263A15"/>
    <w:rsid w:val="00263AC2"/>
    <w:rsid w:val="00263AF9"/>
    <w:rsid w:val="00263EE3"/>
    <w:rsid w:val="00263F52"/>
    <w:rsid w:val="00263FD7"/>
    <w:rsid w:val="0026411C"/>
    <w:rsid w:val="002641FE"/>
    <w:rsid w:val="0026432B"/>
    <w:rsid w:val="00264557"/>
    <w:rsid w:val="002645B9"/>
    <w:rsid w:val="002645D0"/>
    <w:rsid w:val="0026461C"/>
    <w:rsid w:val="00264819"/>
    <w:rsid w:val="00264856"/>
    <w:rsid w:val="00264915"/>
    <w:rsid w:val="00264922"/>
    <w:rsid w:val="002649CE"/>
    <w:rsid w:val="00264A20"/>
    <w:rsid w:val="00264E2D"/>
    <w:rsid w:val="00264F86"/>
    <w:rsid w:val="00265028"/>
    <w:rsid w:val="0026503C"/>
    <w:rsid w:val="00265051"/>
    <w:rsid w:val="002650B8"/>
    <w:rsid w:val="002650CB"/>
    <w:rsid w:val="00265126"/>
    <w:rsid w:val="00265144"/>
    <w:rsid w:val="00265194"/>
    <w:rsid w:val="002651EB"/>
    <w:rsid w:val="00265245"/>
    <w:rsid w:val="0026539B"/>
    <w:rsid w:val="00265419"/>
    <w:rsid w:val="00265425"/>
    <w:rsid w:val="00265566"/>
    <w:rsid w:val="00265709"/>
    <w:rsid w:val="00265854"/>
    <w:rsid w:val="00265A0C"/>
    <w:rsid w:val="00265A7F"/>
    <w:rsid w:val="00265C72"/>
    <w:rsid w:val="00265CF1"/>
    <w:rsid w:val="00265D02"/>
    <w:rsid w:val="00265D2B"/>
    <w:rsid w:val="00265D74"/>
    <w:rsid w:val="00265D84"/>
    <w:rsid w:val="00265FB5"/>
    <w:rsid w:val="00266059"/>
    <w:rsid w:val="0026608B"/>
    <w:rsid w:val="00266225"/>
    <w:rsid w:val="002662CF"/>
    <w:rsid w:val="00266359"/>
    <w:rsid w:val="00266364"/>
    <w:rsid w:val="002666D2"/>
    <w:rsid w:val="0026688C"/>
    <w:rsid w:val="002669D0"/>
    <w:rsid w:val="002669D3"/>
    <w:rsid w:val="00266B5C"/>
    <w:rsid w:val="00266BEC"/>
    <w:rsid w:val="00266C5D"/>
    <w:rsid w:val="00266CE7"/>
    <w:rsid w:val="00266D86"/>
    <w:rsid w:val="00266E0C"/>
    <w:rsid w:val="00266E77"/>
    <w:rsid w:val="00266EAA"/>
    <w:rsid w:val="00266F3E"/>
    <w:rsid w:val="00266F9F"/>
    <w:rsid w:val="00266FCF"/>
    <w:rsid w:val="00267089"/>
    <w:rsid w:val="00267092"/>
    <w:rsid w:val="002671A2"/>
    <w:rsid w:val="002671B4"/>
    <w:rsid w:val="002672F2"/>
    <w:rsid w:val="00267374"/>
    <w:rsid w:val="002674CA"/>
    <w:rsid w:val="002674F9"/>
    <w:rsid w:val="0026756C"/>
    <w:rsid w:val="00267695"/>
    <w:rsid w:val="00267781"/>
    <w:rsid w:val="002677BB"/>
    <w:rsid w:val="00267808"/>
    <w:rsid w:val="00267A0B"/>
    <w:rsid w:val="00267C9C"/>
    <w:rsid w:val="00267CB1"/>
    <w:rsid w:val="00267E2E"/>
    <w:rsid w:val="00267E3B"/>
    <w:rsid w:val="00267EC6"/>
    <w:rsid w:val="00267EF4"/>
    <w:rsid w:val="00267F74"/>
    <w:rsid w:val="0027001A"/>
    <w:rsid w:val="00270153"/>
    <w:rsid w:val="002701A2"/>
    <w:rsid w:val="00270236"/>
    <w:rsid w:val="002702C5"/>
    <w:rsid w:val="00270396"/>
    <w:rsid w:val="00270404"/>
    <w:rsid w:val="00270431"/>
    <w:rsid w:val="00270440"/>
    <w:rsid w:val="00270651"/>
    <w:rsid w:val="00270828"/>
    <w:rsid w:val="0027097F"/>
    <w:rsid w:val="00270A38"/>
    <w:rsid w:val="00270A71"/>
    <w:rsid w:val="00270BE7"/>
    <w:rsid w:val="00270C27"/>
    <w:rsid w:val="00270E08"/>
    <w:rsid w:val="00270F01"/>
    <w:rsid w:val="00270FDE"/>
    <w:rsid w:val="00271068"/>
    <w:rsid w:val="00271158"/>
    <w:rsid w:val="00271264"/>
    <w:rsid w:val="00271299"/>
    <w:rsid w:val="0027129A"/>
    <w:rsid w:val="0027135C"/>
    <w:rsid w:val="00271529"/>
    <w:rsid w:val="00271631"/>
    <w:rsid w:val="0027164B"/>
    <w:rsid w:val="00271666"/>
    <w:rsid w:val="00271711"/>
    <w:rsid w:val="0027179D"/>
    <w:rsid w:val="0027187D"/>
    <w:rsid w:val="00271943"/>
    <w:rsid w:val="00271C8A"/>
    <w:rsid w:val="00271DA7"/>
    <w:rsid w:val="00271E03"/>
    <w:rsid w:val="00271EE6"/>
    <w:rsid w:val="00271EEC"/>
    <w:rsid w:val="00272125"/>
    <w:rsid w:val="00272135"/>
    <w:rsid w:val="00272146"/>
    <w:rsid w:val="00272317"/>
    <w:rsid w:val="00272323"/>
    <w:rsid w:val="002724E0"/>
    <w:rsid w:val="0027263A"/>
    <w:rsid w:val="002726B6"/>
    <w:rsid w:val="00272724"/>
    <w:rsid w:val="00272839"/>
    <w:rsid w:val="00272881"/>
    <w:rsid w:val="00272927"/>
    <w:rsid w:val="00272ACB"/>
    <w:rsid w:val="00272B22"/>
    <w:rsid w:val="00272BED"/>
    <w:rsid w:val="00272C70"/>
    <w:rsid w:val="00272D4D"/>
    <w:rsid w:val="00272F00"/>
    <w:rsid w:val="00272F51"/>
    <w:rsid w:val="00273032"/>
    <w:rsid w:val="002733D2"/>
    <w:rsid w:val="00273421"/>
    <w:rsid w:val="00273497"/>
    <w:rsid w:val="00273524"/>
    <w:rsid w:val="00273640"/>
    <w:rsid w:val="002737D8"/>
    <w:rsid w:val="0027386F"/>
    <w:rsid w:val="0027399F"/>
    <w:rsid w:val="00273A4E"/>
    <w:rsid w:val="00273AFE"/>
    <w:rsid w:val="00273B40"/>
    <w:rsid w:val="00273C76"/>
    <w:rsid w:val="00273D79"/>
    <w:rsid w:val="00273D7F"/>
    <w:rsid w:val="00273F82"/>
    <w:rsid w:val="00273F84"/>
    <w:rsid w:val="00274114"/>
    <w:rsid w:val="00274129"/>
    <w:rsid w:val="00274389"/>
    <w:rsid w:val="0027453F"/>
    <w:rsid w:val="0027482E"/>
    <w:rsid w:val="002748F9"/>
    <w:rsid w:val="00274B9D"/>
    <w:rsid w:val="00274CC1"/>
    <w:rsid w:val="00275172"/>
    <w:rsid w:val="00275199"/>
    <w:rsid w:val="00275236"/>
    <w:rsid w:val="002754F2"/>
    <w:rsid w:val="00275693"/>
    <w:rsid w:val="002756FE"/>
    <w:rsid w:val="002759D3"/>
    <w:rsid w:val="00275A84"/>
    <w:rsid w:val="00275A86"/>
    <w:rsid w:val="00275B8A"/>
    <w:rsid w:val="00275BF4"/>
    <w:rsid w:val="00275CBE"/>
    <w:rsid w:val="00275D1C"/>
    <w:rsid w:val="00275E3A"/>
    <w:rsid w:val="00275EBC"/>
    <w:rsid w:val="00275FB3"/>
    <w:rsid w:val="00275FEF"/>
    <w:rsid w:val="002760A2"/>
    <w:rsid w:val="002761DA"/>
    <w:rsid w:val="00276401"/>
    <w:rsid w:val="00276519"/>
    <w:rsid w:val="00276679"/>
    <w:rsid w:val="002766D5"/>
    <w:rsid w:val="00276787"/>
    <w:rsid w:val="00276AB5"/>
    <w:rsid w:val="00276B91"/>
    <w:rsid w:val="00276C21"/>
    <w:rsid w:val="00276C67"/>
    <w:rsid w:val="00276D9E"/>
    <w:rsid w:val="00276E25"/>
    <w:rsid w:val="00276F09"/>
    <w:rsid w:val="002770E4"/>
    <w:rsid w:val="00277228"/>
    <w:rsid w:val="002773F9"/>
    <w:rsid w:val="0027749D"/>
    <w:rsid w:val="00277523"/>
    <w:rsid w:val="00277534"/>
    <w:rsid w:val="0027771A"/>
    <w:rsid w:val="00277751"/>
    <w:rsid w:val="00277983"/>
    <w:rsid w:val="002779A8"/>
    <w:rsid w:val="00277A73"/>
    <w:rsid w:val="00277F3D"/>
    <w:rsid w:val="0028003C"/>
    <w:rsid w:val="00280297"/>
    <w:rsid w:val="00280358"/>
    <w:rsid w:val="002803F1"/>
    <w:rsid w:val="0028044C"/>
    <w:rsid w:val="0028045E"/>
    <w:rsid w:val="002805AB"/>
    <w:rsid w:val="002807AF"/>
    <w:rsid w:val="00280846"/>
    <w:rsid w:val="002809A3"/>
    <w:rsid w:val="00280F36"/>
    <w:rsid w:val="00280F44"/>
    <w:rsid w:val="00280F99"/>
    <w:rsid w:val="00281058"/>
    <w:rsid w:val="0028112E"/>
    <w:rsid w:val="00281187"/>
    <w:rsid w:val="002811BE"/>
    <w:rsid w:val="00281406"/>
    <w:rsid w:val="0028147E"/>
    <w:rsid w:val="00281509"/>
    <w:rsid w:val="00281657"/>
    <w:rsid w:val="002816D6"/>
    <w:rsid w:val="002816E4"/>
    <w:rsid w:val="002816FC"/>
    <w:rsid w:val="00281B83"/>
    <w:rsid w:val="00281CDD"/>
    <w:rsid w:val="00281D99"/>
    <w:rsid w:val="00281DC4"/>
    <w:rsid w:val="00281E2F"/>
    <w:rsid w:val="00281FFA"/>
    <w:rsid w:val="002820AD"/>
    <w:rsid w:val="002822FF"/>
    <w:rsid w:val="00282461"/>
    <w:rsid w:val="00282645"/>
    <w:rsid w:val="00282695"/>
    <w:rsid w:val="002826D9"/>
    <w:rsid w:val="00282882"/>
    <w:rsid w:val="00282A32"/>
    <w:rsid w:val="00282DD8"/>
    <w:rsid w:val="002830A7"/>
    <w:rsid w:val="002831CF"/>
    <w:rsid w:val="002832A9"/>
    <w:rsid w:val="00283363"/>
    <w:rsid w:val="002833D5"/>
    <w:rsid w:val="002835E9"/>
    <w:rsid w:val="00283907"/>
    <w:rsid w:val="00283A31"/>
    <w:rsid w:val="00283A3E"/>
    <w:rsid w:val="00283A46"/>
    <w:rsid w:val="00283B28"/>
    <w:rsid w:val="00283D74"/>
    <w:rsid w:val="00283E8B"/>
    <w:rsid w:val="00284054"/>
    <w:rsid w:val="0028417C"/>
    <w:rsid w:val="00284204"/>
    <w:rsid w:val="00284271"/>
    <w:rsid w:val="00284354"/>
    <w:rsid w:val="00284381"/>
    <w:rsid w:val="00284397"/>
    <w:rsid w:val="002843DA"/>
    <w:rsid w:val="00284465"/>
    <w:rsid w:val="00284791"/>
    <w:rsid w:val="002847AF"/>
    <w:rsid w:val="0028496C"/>
    <w:rsid w:val="00284979"/>
    <w:rsid w:val="00284AD4"/>
    <w:rsid w:val="00284E16"/>
    <w:rsid w:val="00285023"/>
    <w:rsid w:val="00285268"/>
    <w:rsid w:val="0028531A"/>
    <w:rsid w:val="00285456"/>
    <w:rsid w:val="00285566"/>
    <w:rsid w:val="002855F4"/>
    <w:rsid w:val="002858E0"/>
    <w:rsid w:val="002859A0"/>
    <w:rsid w:val="00285CDB"/>
    <w:rsid w:val="00285D1A"/>
    <w:rsid w:val="00285DD4"/>
    <w:rsid w:val="00285DEF"/>
    <w:rsid w:val="00285E44"/>
    <w:rsid w:val="00285E48"/>
    <w:rsid w:val="00285F9A"/>
    <w:rsid w:val="00285FD0"/>
    <w:rsid w:val="00286025"/>
    <w:rsid w:val="002860DE"/>
    <w:rsid w:val="002861D5"/>
    <w:rsid w:val="0028629E"/>
    <w:rsid w:val="00286318"/>
    <w:rsid w:val="0028635A"/>
    <w:rsid w:val="0028651F"/>
    <w:rsid w:val="00286593"/>
    <w:rsid w:val="002865F0"/>
    <w:rsid w:val="00286631"/>
    <w:rsid w:val="002866A3"/>
    <w:rsid w:val="00286B3C"/>
    <w:rsid w:val="00286B73"/>
    <w:rsid w:val="00286B8F"/>
    <w:rsid w:val="00286D4E"/>
    <w:rsid w:val="00286E4E"/>
    <w:rsid w:val="00286E76"/>
    <w:rsid w:val="00286EB2"/>
    <w:rsid w:val="00286FDF"/>
    <w:rsid w:val="00287071"/>
    <w:rsid w:val="002870D5"/>
    <w:rsid w:val="00287220"/>
    <w:rsid w:val="002873B7"/>
    <w:rsid w:val="002873D4"/>
    <w:rsid w:val="00287481"/>
    <w:rsid w:val="0028750A"/>
    <w:rsid w:val="00287531"/>
    <w:rsid w:val="00287554"/>
    <w:rsid w:val="002876CA"/>
    <w:rsid w:val="002877FA"/>
    <w:rsid w:val="00287883"/>
    <w:rsid w:val="00287914"/>
    <w:rsid w:val="00287937"/>
    <w:rsid w:val="00287A11"/>
    <w:rsid w:val="00287C69"/>
    <w:rsid w:val="00287E86"/>
    <w:rsid w:val="00287F76"/>
    <w:rsid w:val="00287FF3"/>
    <w:rsid w:val="00290140"/>
    <w:rsid w:val="00290196"/>
    <w:rsid w:val="00290201"/>
    <w:rsid w:val="002904BB"/>
    <w:rsid w:val="00290531"/>
    <w:rsid w:val="00290572"/>
    <w:rsid w:val="00290577"/>
    <w:rsid w:val="002905A4"/>
    <w:rsid w:val="0029066D"/>
    <w:rsid w:val="00290943"/>
    <w:rsid w:val="00290C59"/>
    <w:rsid w:val="00290D00"/>
    <w:rsid w:val="00290D06"/>
    <w:rsid w:val="00290DAA"/>
    <w:rsid w:val="0029130E"/>
    <w:rsid w:val="002914BC"/>
    <w:rsid w:val="0029158A"/>
    <w:rsid w:val="00291773"/>
    <w:rsid w:val="002917DD"/>
    <w:rsid w:val="0029186A"/>
    <w:rsid w:val="00291A0F"/>
    <w:rsid w:val="00291A4A"/>
    <w:rsid w:val="00291F18"/>
    <w:rsid w:val="00292070"/>
    <w:rsid w:val="002920BA"/>
    <w:rsid w:val="00292228"/>
    <w:rsid w:val="002923D3"/>
    <w:rsid w:val="0029250D"/>
    <w:rsid w:val="002926D0"/>
    <w:rsid w:val="002927D5"/>
    <w:rsid w:val="002927E6"/>
    <w:rsid w:val="00292875"/>
    <w:rsid w:val="00292975"/>
    <w:rsid w:val="00292A5A"/>
    <w:rsid w:val="00292A72"/>
    <w:rsid w:val="00292BA9"/>
    <w:rsid w:val="00292F72"/>
    <w:rsid w:val="0029305A"/>
    <w:rsid w:val="0029305D"/>
    <w:rsid w:val="00293061"/>
    <w:rsid w:val="00293258"/>
    <w:rsid w:val="00293391"/>
    <w:rsid w:val="002934F5"/>
    <w:rsid w:val="0029358C"/>
    <w:rsid w:val="002935AD"/>
    <w:rsid w:val="002935B9"/>
    <w:rsid w:val="00293603"/>
    <w:rsid w:val="0029360E"/>
    <w:rsid w:val="0029367E"/>
    <w:rsid w:val="00293699"/>
    <w:rsid w:val="00293B90"/>
    <w:rsid w:val="00293D95"/>
    <w:rsid w:val="00293F5E"/>
    <w:rsid w:val="00293FF6"/>
    <w:rsid w:val="002940C7"/>
    <w:rsid w:val="002940CB"/>
    <w:rsid w:val="002941D2"/>
    <w:rsid w:val="00294221"/>
    <w:rsid w:val="0029429E"/>
    <w:rsid w:val="0029434F"/>
    <w:rsid w:val="00294508"/>
    <w:rsid w:val="00294566"/>
    <w:rsid w:val="002948E9"/>
    <w:rsid w:val="00294908"/>
    <w:rsid w:val="00294AB5"/>
    <w:rsid w:val="00294AB7"/>
    <w:rsid w:val="00294AE5"/>
    <w:rsid w:val="00294BD2"/>
    <w:rsid w:val="00294D89"/>
    <w:rsid w:val="00294E76"/>
    <w:rsid w:val="00294E9C"/>
    <w:rsid w:val="00294EA0"/>
    <w:rsid w:val="00294EE6"/>
    <w:rsid w:val="00294F49"/>
    <w:rsid w:val="00295165"/>
    <w:rsid w:val="0029519C"/>
    <w:rsid w:val="002951BD"/>
    <w:rsid w:val="00295584"/>
    <w:rsid w:val="0029567C"/>
    <w:rsid w:val="00295763"/>
    <w:rsid w:val="00295887"/>
    <w:rsid w:val="002958A0"/>
    <w:rsid w:val="002958CA"/>
    <w:rsid w:val="00295A3A"/>
    <w:rsid w:val="00295B6F"/>
    <w:rsid w:val="00295C0B"/>
    <w:rsid w:val="00295CB9"/>
    <w:rsid w:val="00295D61"/>
    <w:rsid w:val="00295D86"/>
    <w:rsid w:val="00295DEC"/>
    <w:rsid w:val="00295EAB"/>
    <w:rsid w:val="002960C3"/>
    <w:rsid w:val="0029617B"/>
    <w:rsid w:val="002964F8"/>
    <w:rsid w:val="00296597"/>
    <w:rsid w:val="002966B2"/>
    <w:rsid w:val="00296731"/>
    <w:rsid w:val="00296A29"/>
    <w:rsid w:val="00296AB6"/>
    <w:rsid w:val="00296B85"/>
    <w:rsid w:val="00296C5A"/>
    <w:rsid w:val="00296EAC"/>
    <w:rsid w:val="00296F4B"/>
    <w:rsid w:val="002972FD"/>
    <w:rsid w:val="00297742"/>
    <w:rsid w:val="00297A47"/>
    <w:rsid w:val="00297AD2"/>
    <w:rsid w:val="00297AE3"/>
    <w:rsid w:val="00297AE7"/>
    <w:rsid w:val="00297BE7"/>
    <w:rsid w:val="00297C1F"/>
    <w:rsid w:val="00297C97"/>
    <w:rsid w:val="00297CB7"/>
    <w:rsid w:val="00297D47"/>
    <w:rsid w:val="00297D85"/>
    <w:rsid w:val="00297D9F"/>
    <w:rsid w:val="00297E59"/>
    <w:rsid w:val="00297F7B"/>
    <w:rsid w:val="00297FBE"/>
    <w:rsid w:val="002A00B7"/>
    <w:rsid w:val="002A02A3"/>
    <w:rsid w:val="002A044B"/>
    <w:rsid w:val="002A0475"/>
    <w:rsid w:val="002A0662"/>
    <w:rsid w:val="002A080C"/>
    <w:rsid w:val="002A0844"/>
    <w:rsid w:val="002A092B"/>
    <w:rsid w:val="002A0AA4"/>
    <w:rsid w:val="002A0AAC"/>
    <w:rsid w:val="002A0CB1"/>
    <w:rsid w:val="002A10ED"/>
    <w:rsid w:val="002A10F2"/>
    <w:rsid w:val="002A1139"/>
    <w:rsid w:val="002A1178"/>
    <w:rsid w:val="002A11F4"/>
    <w:rsid w:val="002A1229"/>
    <w:rsid w:val="002A145A"/>
    <w:rsid w:val="002A145C"/>
    <w:rsid w:val="002A15C7"/>
    <w:rsid w:val="002A168C"/>
    <w:rsid w:val="002A16AF"/>
    <w:rsid w:val="002A187E"/>
    <w:rsid w:val="002A19B2"/>
    <w:rsid w:val="002A1B58"/>
    <w:rsid w:val="002A1BA7"/>
    <w:rsid w:val="002A1CEF"/>
    <w:rsid w:val="002A1E99"/>
    <w:rsid w:val="002A1F22"/>
    <w:rsid w:val="002A1F99"/>
    <w:rsid w:val="002A20FD"/>
    <w:rsid w:val="002A215E"/>
    <w:rsid w:val="002A216C"/>
    <w:rsid w:val="002A21E0"/>
    <w:rsid w:val="002A220F"/>
    <w:rsid w:val="002A223E"/>
    <w:rsid w:val="002A2352"/>
    <w:rsid w:val="002A23BF"/>
    <w:rsid w:val="002A2453"/>
    <w:rsid w:val="002A2600"/>
    <w:rsid w:val="002A2704"/>
    <w:rsid w:val="002A2716"/>
    <w:rsid w:val="002A2A53"/>
    <w:rsid w:val="002A2C7D"/>
    <w:rsid w:val="002A2CB5"/>
    <w:rsid w:val="002A2D82"/>
    <w:rsid w:val="002A2DDC"/>
    <w:rsid w:val="002A2DEE"/>
    <w:rsid w:val="002A2E0B"/>
    <w:rsid w:val="002A2EA5"/>
    <w:rsid w:val="002A2EC4"/>
    <w:rsid w:val="002A2EDF"/>
    <w:rsid w:val="002A2F53"/>
    <w:rsid w:val="002A2F8F"/>
    <w:rsid w:val="002A2FA1"/>
    <w:rsid w:val="002A31B7"/>
    <w:rsid w:val="002A3249"/>
    <w:rsid w:val="002A3509"/>
    <w:rsid w:val="002A358C"/>
    <w:rsid w:val="002A37B2"/>
    <w:rsid w:val="002A381E"/>
    <w:rsid w:val="002A3856"/>
    <w:rsid w:val="002A38FD"/>
    <w:rsid w:val="002A3A7B"/>
    <w:rsid w:val="002A3C05"/>
    <w:rsid w:val="002A3D64"/>
    <w:rsid w:val="002A3DC7"/>
    <w:rsid w:val="002A3F49"/>
    <w:rsid w:val="002A41E7"/>
    <w:rsid w:val="002A4287"/>
    <w:rsid w:val="002A43C3"/>
    <w:rsid w:val="002A43F8"/>
    <w:rsid w:val="002A442E"/>
    <w:rsid w:val="002A44DB"/>
    <w:rsid w:val="002A4565"/>
    <w:rsid w:val="002A457E"/>
    <w:rsid w:val="002A4910"/>
    <w:rsid w:val="002A499E"/>
    <w:rsid w:val="002A49A4"/>
    <w:rsid w:val="002A49D8"/>
    <w:rsid w:val="002A4A30"/>
    <w:rsid w:val="002A4A75"/>
    <w:rsid w:val="002A4A88"/>
    <w:rsid w:val="002A4A96"/>
    <w:rsid w:val="002A4AAE"/>
    <w:rsid w:val="002A4B63"/>
    <w:rsid w:val="002A4C18"/>
    <w:rsid w:val="002A4C59"/>
    <w:rsid w:val="002A4D13"/>
    <w:rsid w:val="002A4E98"/>
    <w:rsid w:val="002A5025"/>
    <w:rsid w:val="002A5055"/>
    <w:rsid w:val="002A55BC"/>
    <w:rsid w:val="002A57A1"/>
    <w:rsid w:val="002A5869"/>
    <w:rsid w:val="002A59C2"/>
    <w:rsid w:val="002A5A7A"/>
    <w:rsid w:val="002A5AAE"/>
    <w:rsid w:val="002A5AD7"/>
    <w:rsid w:val="002A5B64"/>
    <w:rsid w:val="002A5CC2"/>
    <w:rsid w:val="002A5D0D"/>
    <w:rsid w:val="002A5DD5"/>
    <w:rsid w:val="002A5E8C"/>
    <w:rsid w:val="002A5F33"/>
    <w:rsid w:val="002A5FC0"/>
    <w:rsid w:val="002A5FC3"/>
    <w:rsid w:val="002A630B"/>
    <w:rsid w:val="002A63AC"/>
    <w:rsid w:val="002A63CB"/>
    <w:rsid w:val="002A65F0"/>
    <w:rsid w:val="002A65FF"/>
    <w:rsid w:val="002A6630"/>
    <w:rsid w:val="002A67AB"/>
    <w:rsid w:val="002A690B"/>
    <w:rsid w:val="002A6ABB"/>
    <w:rsid w:val="002A6AE5"/>
    <w:rsid w:val="002A6B5E"/>
    <w:rsid w:val="002A6B8D"/>
    <w:rsid w:val="002A6C56"/>
    <w:rsid w:val="002A6D04"/>
    <w:rsid w:val="002A6D81"/>
    <w:rsid w:val="002A6ED6"/>
    <w:rsid w:val="002A70EE"/>
    <w:rsid w:val="002A71A7"/>
    <w:rsid w:val="002A74F8"/>
    <w:rsid w:val="002A74FF"/>
    <w:rsid w:val="002A76D1"/>
    <w:rsid w:val="002A76DA"/>
    <w:rsid w:val="002A77B6"/>
    <w:rsid w:val="002A7874"/>
    <w:rsid w:val="002A7D0E"/>
    <w:rsid w:val="002A7D8A"/>
    <w:rsid w:val="002A7DB9"/>
    <w:rsid w:val="002A7E13"/>
    <w:rsid w:val="002A7E1D"/>
    <w:rsid w:val="002A7F35"/>
    <w:rsid w:val="002B002F"/>
    <w:rsid w:val="002B0071"/>
    <w:rsid w:val="002B032B"/>
    <w:rsid w:val="002B037C"/>
    <w:rsid w:val="002B053E"/>
    <w:rsid w:val="002B059C"/>
    <w:rsid w:val="002B05A9"/>
    <w:rsid w:val="002B05BA"/>
    <w:rsid w:val="002B075F"/>
    <w:rsid w:val="002B07B3"/>
    <w:rsid w:val="002B07EC"/>
    <w:rsid w:val="002B087C"/>
    <w:rsid w:val="002B08A1"/>
    <w:rsid w:val="002B0942"/>
    <w:rsid w:val="002B0A77"/>
    <w:rsid w:val="002B0C7C"/>
    <w:rsid w:val="002B0CF0"/>
    <w:rsid w:val="002B0E5B"/>
    <w:rsid w:val="002B0EC1"/>
    <w:rsid w:val="002B10E6"/>
    <w:rsid w:val="002B11A6"/>
    <w:rsid w:val="002B11C7"/>
    <w:rsid w:val="002B13FF"/>
    <w:rsid w:val="002B1411"/>
    <w:rsid w:val="002B1588"/>
    <w:rsid w:val="002B177B"/>
    <w:rsid w:val="002B17EE"/>
    <w:rsid w:val="002B1948"/>
    <w:rsid w:val="002B1A7D"/>
    <w:rsid w:val="002B1C94"/>
    <w:rsid w:val="002B1C9D"/>
    <w:rsid w:val="002B1CC9"/>
    <w:rsid w:val="002B1DF3"/>
    <w:rsid w:val="002B1DF9"/>
    <w:rsid w:val="002B1E6D"/>
    <w:rsid w:val="002B1E78"/>
    <w:rsid w:val="002B1FE1"/>
    <w:rsid w:val="002B213A"/>
    <w:rsid w:val="002B225D"/>
    <w:rsid w:val="002B22FF"/>
    <w:rsid w:val="002B238A"/>
    <w:rsid w:val="002B25A3"/>
    <w:rsid w:val="002B2754"/>
    <w:rsid w:val="002B295D"/>
    <w:rsid w:val="002B2B85"/>
    <w:rsid w:val="002B2BDF"/>
    <w:rsid w:val="002B2BF0"/>
    <w:rsid w:val="002B2E7E"/>
    <w:rsid w:val="002B3120"/>
    <w:rsid w:val="002B3186"/>
    <w:rsid w:val="002B33CA"/>
    <w:rsid w:val="002B3488"/>
    <w:rsid w:val="002B34DB"/>
    <w:rsid w:val="002B34E2"/>
    <w:rsid w:val="002B357B"/>
    <w:rsid w:val="002B35B1"/>
    <w:rsid w:val="002B3B9B"/>
    <w:rsid w:val="002B3C11"/>
    <w:rsid w:val="002B3C36"/>
    <w:rsid w:val="002B3D3B"/>
    <w:rsid w:val="002B3E99"/>
    <w:rsid w:val="002B3F00"/>
    <w:rsid w:val="002B4113"/>
    <w:rsid w:val="002B4182"/>
    <w:rsid w:val="002B42EA"/>
    <w:rsid w:val="002B431A"/>
    <w:rsid w:val="002B438A"/>
    <w:rsid w:val="002B4453"/>
    <w:rsid w:val="002B44C7"/>
    <w:rsid w:val="002B44F9"/>
    <w:rsid w:val="002B4734"/>
    <w:rsid w:val="002B4944"/>
    <w:rsid w:val="002B49E2"/>
    <w:rsid w:val="002B4BA1"/>
    <w:rsid w:val="002B4D87"/>
    <w:rsid w:val="002B4EC2"/>
    <w:rsid w:val="002B4F17"/>
    <w:rsid w:val="002B4FA7"/>
    <w:rsid w:val="002B4FB2"/>
    <w:rsid w:val="002B5371"/>
    <w:rsid w:val="002B561E"/>
    <w:rsid w:val="002B5699"/>
    <w:rsid w:val="002B577A"/>
    <w:rsid w:val="002B584F"/>
    <w:rsid w:val="002B5912"/>
    <w:rsid w:val="002B59C3"/>
    <w:rsid w:val="002B5A74"/>
    <w:rsid w:val="002B5CE8"/>
    <w:rsid w:val="002B5D8E"/>
    <w:rsid w:val="002B5E10"/>
    <w:rsid w:val="002B5EC4"/>
    <w:rsid w:val="002B5EF7"/>
    <w:rsid w:val="002B5FE2"/>
    <w:rsid w:val="002B605B"/>
    <w:rsid w:val="002B613F"/>
    <w:rsid w:val="002B62D5"/>
    <w:rsid w:val="002B635A"/>
    <w:rsid w:val="002B6474"/>
    <w:rsid w:val="002B6528"/>
    <w:rsid w:val="002B653C"/>
    <w:rsid w:val="002B6599"/>
    <w:rsid w:val="002B664D"/>
    <w:rsid w:val="002B6722"/>
    <w:rsid w:val="002B6723"/>
    <w:rsid w:val="002B67B4"/>
    <w:rsid w:val="002B68C3"/>
    <w:rsid w:val="002B68F3"/>
    <w:rsid w:val="002B6AF8"/>
    <w:rsid w:val="002B6B96"/>
    <w:rsid w:val="002B6BCF"/>
    <w:rsid w:val="002B6C09"/>
    <w:rsid w:val="002B6C0F"/>
    <w:rsid w:val="002B6C2D"/>
    <w:rsid w:val="002B6C32"/>
    <w:rsid w:val="002B6CC4"/>
    <w:rsid w:val="002B6D20"/>
    <w:rsid w:val="002B6D40"/>
    <w:rsid w:val="002B6D5B"/>
    <w:rsid w:val="002B6F4C"/>
    <w:rsid w:val="002B7138"/>
    <w:rsid w:val="002B714E"/>
    <w:rsid w:val="002B7222"/>
    <w:rsid w:val="002B7235"/>
    <w:rsid w:val="002B74A1"/>
    <w:rsid w:val="002B7567"/>
    <w:rsid w:val="002B7582"/>
    <w:rsid w:val="002B7628"/>
    <w:rsid w:val="002B76A9"/>
    <w:rsid w:val="002B770F"/>
    <w:rsid w:val="002B78CA"/>
    <w:rsid w:val="002B79B2"/>
    <w:rsid w:val="002B7A9E"/>
    <w:rsid w:val="002B7B00"/>
    <w:rsid w:val="002B7B3A"/>
    <w:rsid w:val="002B7BFF"/>
    <w:rsid w:val="002B7C44"/>
    <w:rsid w:val="002B7C45"/>
    <w:rsid w:val="002B7C86"/>
    <w:rsid w:val="002B7D2B"/>
    <w:rsid w:val="002C0025"/>
    <w:rsid w:val="002C006E"/>
    <w:rsid w:val="002C0166"/>
    <w:rsid w:val="002C02FF"/>
    <w:rsid w:val="002C0364"/>
    <w:rsid w:val="002C0388"/>
    <w:rsid w:val="002C03E2"/>
    <w:rsid w:val="002C0412"/>
    <w:rsid w:val="002C0491"/>
    <w:rsid w:val="002C05CE"/>
    <w:rsid w:val="002C0624"/>
    <w:rsid w:val="002C0862"/>
    <w:rsid w:val="002C08A3"/>
    <w:rsid w:val="002C08DB"/>
    <w:rsid w:val="002C0AD6"/>
    <w:rsid w:val="002C0B8A"/>
    <w:rsid w:val="002C0DCC"/>
    <w:rsid w:val="002C104A"/>
    <w:rsid w:val="002C11CA"/>
    <w:rsid w:val="002C1232"/>
    <w:rsid w:val="002C1239"/>
    <w:rsid w:val="002C12FE"/>
    <w:rsid w:val="002C141C"/>
    <w:rsid w:val="002C14C2"/>
    <w:rsid w:val="002C1503"/>
    <w:rsid w:val="002C1570"/>
    <w:rsid w:val="002C168D"/>
    <w:rsid w:val="002C1893"/>
    <w:rsid w:val="002C18BA"/>
    <w:rsid w:val="002C190E"/>
    <w:rsid w:val="002C1942"/>
    <w:rsid w:val="002C1B57"/>
    <w:rsid w:val="002C1DC4"/>
    <w:rsid w:val="002C1E53"/>
    <w:rsid w:val="002C1E9F"/>
    <w:rsid w:val="002C1F04"/>
    <w:rsid w:val="002C1FE9"/>
    <w:rsid w:val="002C222C"/>
    <w:rsid w:val="002C2258"/>
    <w:rsid w:val="002C2350"/>
    <w:rsid w:val="002C23DD"/>
    <w:rsid w:val="002C255D"/>
    <w:rsid w:val="002C25C2"/>
    <w:rsid w:val="002C2693"/>
    <w:rsid w:val="002C27C5"/>
    <w:rsid w:val="002C2942"/>
    <w:rsid w:val="002C2ABA"/>
    <w:rsid w:val="002C2B17"/>
    <w:rsid w:val="002C2B59"/>
    <w:rsid w:val="002C2C66"/>
    <w:rsid w:val="002C2CB2"/>
    <w:rsid w:val="002C2CE1"/>
    <w:rsid w:val="002C3068"/>
    <w:rsid w:val="002C30D0"/>
    <w:rsid w:val="002C3141"/>
    <w:rsid w:val="002C3198"/>
    <w:rsid w:val="002C323A"/>
    <w:rsid w:val="002C33E2"/>
    <w:rsid w:val="002C34F8"/>
    <w:rsid w:val="002C35C3"/>
    <w:rsid w:val="002C38C8"/>
    <w:rsid w:val="002C3C8D"/>
    <w:rsid w:val="002C4077"/>
    <w:rsid w:val="002C4092"/>
    <w:rsid w:val="002C41FE"/>
    <w:rsid w:val="002C42FB"/>
    <w:rsid w:val="002C4365"/>
    <w:rsid w:val="002C43AF"/>
    <w:rsid w:val="002C4427"/>
    <w:rsid w:val="002C4626"/>
    <w:rsid w:val="002C46A4"/>
    <w:rsid w:val="002C49C1"/>
    <w:rsid w:val="002C49CD"/>
    <w:rsid w:val="002C4ABE"/>
    <w:rsid w:val="002C4B0F"/>
    <w:rsid w:val="002C4C4F"/>
    <w:rsid w:val="002C4CC9"/>
    <w:rsid w:val="002C4D42"/>
    <w:rsid w:val="002C4F18"/>
    <w:rsid w:val="002C50CD"/>
    <w:rsid w:val="002C5159"/>
    <w:rsid w:val="002C51CC"/>
    <w:rsid w:val="002C528A"/>
    <w:rsid w:val="002C52B2"/>
    <w:rsid w:val="002C540F"/>
    <w:rsid w:val="002C556D"/>
    <w:rsid w:val="002C5614"/>
    <w:rsid w:val="002C561A"/>
    <w:rsid w:val="002C56AB"/>
    <w:rsid w:val="002C578C"/>
    <w:rsid w:val="002C5A8C"/>
    <w:rsid w:val="002C5B61"/>
    <w:rsid w:val="002C5C2B"/>
    <w:rsid w:val="002C5D27"/>
    <w:rsid w:val="002C5D5D"/>
    <w:rsid w:val="002C5E91"/>
    <w:rsid w:val="002C5EBA"/>
    <w:rsid w:val="002C603A"/>
    <w:rsid w:val="002C603D"/>
    <w:rsid w:val="002C60F6"/>
    <w:rsid w:val="002C62D6"/>
    <w:rsid w:val="002C6387"/>
    <w:rsid w:val="002C6677"/>
    <w:rsid w:val="002C6767"/>
    <w:rsid w:val="002C6CA6"/>
    <w:rsid w:val="002C6CFE"/>
    <w:rsid w:val="002C6DB2"/>
    <w:rsid w:val="002C6DF8"/>
    <w:rsid w:val="002C6E66"/>
    <w:rsid w:val="002C6EDF"/>
    <w:rsid w:val="002C7043"/>
    <w:rsid w:val="002C70E5"/>
    <w:rsid w:val="002C7115"/>
    <w:rsid w:val="002C71D5"/>
    <w:rsid w:val="002C7254"/>
    <w:rsid w:val="002C75AB"/>
    <w:rsid w:val="002C75E0"/>
    <w:rsid w:val="002C76DF"/>
    <w:rsid w:val="002C77EB"/>
    <w:rsid w:val="002C77EC"/>
    <w:rsid w:val="002C781E"/>
    <w:rsid w:val="002C7AB3"/>
    <w:rsid w:val="002C7D7B"/>
    <w:rsid w:val="002C7E2C"/>
    <w:rsid w:val="002D003F"/>
    <w:rsid w:val="002D0170"/>
    <w:rsid w:val="002D01AC"/>
    <w:rsid w:val="002D01B9"/>
    <w:rsid w:val="002D028F"/>
    <w:rsid w:val="002D03A5"/>
    <w:rsid w:val="002D0400"/>
    <w:rsid w:val="002D0539"/>
    <w:rsid w:val="002D063D"/>
    <w:rsid w:val="002D06B9"/>
    <w:rsid w:val="002D0765"/>
    <w:rsid w:val="002D0767"/>
    <w:rsid w:val="002D0971"/>
    <w:rsid w:val="002D09C1"/>
    <w:rsid w:val="002D0A3A"/>
    <w:rsid w:val="002D0A92"/>
    <w:rsid w:val="002D0CF0"/>
    <w:rsid w:val="002D0D83"/>
    <w:rsid w:val="002D0DD5"/>
    <w:rsid w:val="002D1053"/>
    <w:rsid w:val="002D1107"/>
    <w:rsid w:val="002D113E"/>
    <w:rsid w:val="002D138A"/>
    <w:rsid w:val="002D1446"/>
    <w:rsid w:val="002D1481"/>
    <w:rsid w:val="002D17EC"/>
    <w:rsid w:val="002D19CC"/>
    <w:rsid w:val="002D1A6D"/>
    <w:rsid w:val="002D1B78"/>
    <w:rsid w:val="002D1E01"/>
    <w:rsid w:val="002D1E50"/>
    <w:rsid w:val="002D1F70"/>
    <w:rsid w:val="002D2053"/>
    <w:rsid w:val="002D207F"/>
    <w:rsid w:val="002D221A"/>
    <w:rsid w:val="002D22A3"/>
    <w:rsid w:val="002D22B6"/>
    <w:rsid w:val="002D2330"/>
    <w:rsid w:val="002D244F"/>
    <w:rsid w:val="002D2573"/>
    <w:rsid w:val="002D263C"/>
    <w:rsid w:val="002D26C0"/>
    <w:rsid w:val="002D270E"/>
    <w:rsid w:val="002D293B"/>
    <w:rsid w:val="002D29C0"/>
    <w:rsid w:val="002D29CE"/>
    <w:rsid w:val="002D29FF"/>
    <w:rsid w:val="002D2A11"/>
    <w:rsid w:val="002D2A93"/>
    <w:rsid w:val="002D2B27"/>
    <w:rsid w:val="002D2B9A"/>
    <w:rsid w:val="002D2BCD"/>
    <w:rsid w:val="002D2C75"/>
    <w:rsid w:val="002D2CFF"/>
    <w:rsid w:val="002D2D0C"/>
    <w:rsid w:val="002D2D45"/>
    <w:rsid w:val="002D2D50"/>
    <w:rsid w:val="002D2E7D"/>
    <w:rsid w:val="002D2E91"/>
    <w:rsid w:val="002D2F30"/>
    <w:rsid w:val="002D30B7"/>
    <w:rsid w:val="002D30F8"/>
    <w:rsid w:val="002D312C"/>
    <w:rsid w:val="002D313D"/>
    <w:rsid w:val="002D3199"/>
    <w:rsid w:val="002D3223"/>
    <w:rsid w:val="002D32F9"/>
    <w:rsid w:val="002D3652"/>
    <w:rsid w:val="002D3796"/>
    <w:rsid w:val="002D3799"/>
    <w:rsid w:val="002D37C0"/>
    <w:rsid w:val="002D382E"/>
    <w:rsid w:val="002D391C"/>
    <w:rsid w:val="002D3971"/>
    <w:rsid w:val="002D3BA1"/>
    <w:rsid w:val="002D3C30"/>
    <w:rsid w:val="002D3CB5"/>
    <w:rsid w:val="002D3D71"/>
    <w:rsid w:val="002D3DD0"/>
    <w:rsid w:val="002D4216"/>
    <w:rsid w:val="002D4297"/>
    <w:rsid w:val="002D42E1"/>
    <w:rsid w:val="002D42E9"/>
    <w:rsid w:val="002D48A8"/>
    <w:rsid w:val="002D48ED"/>
    <w:rsid w:val="002D4902"/>
    <w:rsid w:val="002D496C"/>
    <w:rsid w:val="002D4B72"/>
    <w:rsid w:val="002D4C30"/>
    <w:rsid w:val="002D4E2D"/>
    <w:rsid w:val="002D4E57"/>
    <w:rsid w:val="002D522C"/>
    <w:rsid w:val="002D5281"/>
    <w:rsid w:val="002D52A8"/>
    <w:rsid w:val="002D5418"/>
    <w:rsid w:val="002D545A"/>
    <w:rsid w:val="002D546C"/>
    <w:rsid w:val="002D54AA"/>
    <w:rsid w:val="002D5572"/>
    <w:rsid w:val="002D55CC"/>
    <w:rsid w:val="002D55EC"/>
    <w:rsid w:val="002D577C"/>
    <w:rsid w:val="002D5A85"/>
    <w:rsid w:val="002D5B03"/>
    <w:rsid w:val="002D5B2C"/>
    <w:rsid w:val="002D5B9A"/>
    <w:rsid w:val="002D5CEB"/>
    <w:rsid w:val="002D5E2D"/>
    <w:rsid w:val="002D5E95"/>
    <w:rsid w:val="002D5EB5"/>
    <w:rsid w:val="002D5EE1"/>
    <w:rsid w:val="002D5EF4"/>
    <w:rsid w:val="002D5F3B"/>
    <w:rsid w:val="002D601D"/>
    <w:rsid w:val="002D637A"/>
    <w:rsid w:val="002D64EF"/>
    <w:rsid w:val="002D6543"/>
    <w:rsid w:val="002D65DC"/>
    <w:rsid w:val="002D6757"/>
    <w:rsid w:val="002D6762"/>
    <w:rsid w:val="002D6872"/>
    <w:rsid w:val="002D6C80"/>
    <w:rsid w:val="002D6CC7"/>
    <w:rsid w:val="002D6D83"/>
    <w:rsid w:val="002D6FF3"/>
    <w:rsid w:val="002D72F1"/>
    <w:rsid w:val="002D74BD"/>
    <w:rsid w:val="002D757E"/>
    <w:rsid w:val="002D75B7"/>
    <w:rsid w:val="002D75E1"/>
    <w:rsid w:val="002D76F5"/>
    <w:rsid w:val="002D76F8"/>
    <w:rsid w:val="002D776B"/>
    <w:rsid w:val="002D780D"/>
    <w:rsid w:val="002D7812"/>
    <w:rsid w:val="002D782B"/>
    <w:rsid w:val="002D79F8"/>
    <w:rsid w:val="002D7B85"/>
    <w:rsid w:val="002D7BC2"/>
    <w:rsid w:val="002D7D42"/>
    <w:rsid w:val="002D7DFC"/>
    <w:rsid w:val="002D7EBD"/>
    <w:rsid w:val="002D7FD3"/>
    <w:rsid w:val="002E0061"/>
    <w:rsid w:val="002E0090"/>
    <w:rsid w:val="002E00C7"/>
    <w:rsid w:val="002E0208"/>
    <w:rsid w:val="002E0249"/>
    <w:rsid w:val="002E0587"/>
    <w:rsid w:val="002E0616"/>
    <w:rsid w:val="002E0643"/>
    <w:rsid w:val="002E064B"/>
    <w:rsid w:val="002E06D2"/>
    <w:rsid w:val="002E0721"/>
    <w:rsid w:val="002E0725"/>
    <w:rsid w:val="002E07BB"/>
    <w:rsid w:val="002E0837"/>
    <w:rsid w:val="002E09D1"/>
    <w:rsid w:val="002E0A9B"/>
    <w:rsid w:val="002E0C77"/>
    <w:rsid w:val="002E0E3F"/>
    <w:rsid w:val="002E0FA0"/>
    <w:rsid w:val="002E1070"/>
    <w:rsid w:val="002E1341"/>
    <w:rsid w:val="002E14E0"/>
    <w:rsid w:val="002E15A5"/>
    <w:rsid w:val="002E15D5"/>
    <w:rsid w:val="002E1708"/>
    <w:rsid w:val="002E1740"/>
    <w:rsid w:val="002E175B"/>
    <w:rsid w:val="002E177A"/>
    <w:rsid w:val="002E1978"/>
    <w:rsid w:val="002E1A8B"/>
    <w:rsid w:val="002E1BFB"/>
    <w:rsid w:val="002E1C5E"/>
    <w:rsid w:val="002E1CE0"/>
    <w:rsid w:val="002E1D37"/>
    <w:rsid w:val="002E1E46"/>
    <w:rsid w:val="002E1F02"/>
    <w:rsid w:val="002E1F3A"/>
    <w:rsid w:val="002E2068"/>
    <w:rsid w:val="002E229A"/>
    <w:rsid w:val="002E2343"/>
    <w:rsid w:val="002E268C"/>
    <w:rsid w:val="002E26C2"/>
    <w:rsid w:val="002E298A"/>
    <w:rsid w:val="002E2A27"/>
    <w:rsid w:val="002E2B23"/>
    <w:rsid w:val="002E2BCD"/>
    <w:rsid w:val="002E2C8B"/>
    <w:rsid w:val="002E2D7F"/>
    <w:rsid w:val="002E2D87"/>
    <w:rsid w:val="002E30F6"/>
    <w:rsid w:val="002E3734"/>
    <w:rsid w:val="002E37C7"/>
    <w:rsid w:val="002E3A1C"/>
    <w:rsid w:val="002E3A93"/>
    <w:rsid w:val="002E3B06"/>
    <w:rsid w:val="002E3BB5"/>
    <w:rsid w:val="002E3C4C"/>
    <w:rsid w:val="002E3CA5"/>
    <w:rsid w:val="002E3D81"/>
    <w:rsid w:val="002E3EEC"/>
    <w:rsid w:val="002E3F4B"/>
    <w:rsid w:val="002E3FC8"/>
    <w:rsid w:val="002E4078"/>
    <w:rsid w:val="002E410A"/>
    <w:rsid w:val="002E4199"/>
    <w:rsid w:val="002E41C1"/>
    <w:rsid w:val="002E42E3"/>
    <w:rsid w:val="002E42F8"/>
    <w:rsid w:val="002E4667"/>
    <w:rsid w:val="002E46A1"/>
    <w:rsid w:val="002E49DE"/>
    <w:rsid w:val="002E49FB"/>
    <w:rsid w:val="002E4ADF"/>
    <w:rsid w:val="002E4B15"/>
    <w:rsid w:val="002E4CF3"/>
    <w:rsid w:val="002E4E2F"/>
    <w:rsid w:val="002E4EC4"/>
    <w:rsid w:val="002E5049"/>
    <w:rsid w:val="002E51A0"/>
    <w:rsid w:val="002E5363"/>
    <w:rsid w:val="002E55D2"/>
    <w:rsid w:val="002E5716"/>
    <w:rsid w:val="002E5DA5"/>
    <w:rsid w:val="002E5E51"/>
    <w:rsid w:val="002E5EED"/>
    <w:rsid w:val="002E6071"/>
    <w:rsid w:val="002E60A9"/>
    <w:rsid w:val="002E6125"/>
    <w:rsid w:val="002E6180"/>
    <w:rsid w:val="002E62B2"/>
    <w:rsid w:val="002E62B6"/>
    <w:rsid w:val="002E64EC"/>
    <w:rsid w:val="002E6541"/>
    <w:rsid w:val="002E6557"/>
    <w:rsid w:val="002E65DD"/>
    <w:rsid w:val="002E6649"/>
    <w:rsid w:val="002E6678"/>
    <w:rsid w:val="002E667D"/>
    <w:rsid w:val="002E679D"/>
    <w:rsid w:val="002E6954"/>
    <w:rsid w:val="002E697F"/>
    <w:rsid w:val="002E6990"/>
    <w:rsid w:val="002E6B1B"/>
    <w:rsid w:val="002E6C0A"/>
    <w:rsid w:val="002E6C8E"/>
    <w:rsid w:val="002E719C"/>
    <w:rsid w:val="002E7313"/>
    <w:rsid w:val="002E751D"/>
    <w:rsid w:val="002E757B"/>
    <w:rsid w:val="002E75F2"/>
    <w:rsid w:val="002E7607"/>
    <w:rsid w:val="002E765D"/>
    <w:rsid w:val="002E7739"/>
    <w:rsid w:val="002E77F1"/>
    <w:rsid w:val="002E795F"/>
    <w:rsid w:val="002E7981"/>
    <w:rsid w:val="002E7989"/>
    <w:rsid w:val="002E7B23"/>
    <w:rsid w:val="002E7B5B"/>
    <w:rsid w:val="002E7CF9"/>
    <w:rsid w:val="002E7D51"/>
    <w:rsid w:val="002E7E35"/>
    <w:rsid w:val="002E7FE2"/>
    <w:rsid w:val="002F037A"/>
    <w:rsid w:val="002F049F"/>
    <w:rsid w:val="002F05DD"/>
    <w:rsid w:val="002F06AC"/>
    <w:rsid w:val="002F0726"/>
    <w:rsid w:val="002F08B9"/>
    <w:rsid w:val="002F0992"/>
    <w:rsid w:val="002F0C60"/>
    <w:rsid w:val="002F0CC2"/>
    <w:rsid w:val="002F0CD4"/>
    <w:rsid w:val="002F0D69"/>
    <w:rsid w:val="002F0DB5"/>
    <w:rsid w:val="002F0DE4"/>
    <w:rsid w:val="002F0EB5"/>
    <w:rsid w:val="002F1028"/>
    <w:rsid w:val="002F11E5"/>
    <w:rsid w:val="002F138B"/>
    <w:rsid w:val="002F1536"/>
    <w:rsid w:val="002F1579"/>
    <w:rsid w:val="002F158D"/>
    <w:rsid w:val="002F15CA"/>
    <w:rsid w:val="002F15DC"/>
    <w:rsid w:val="002F1757"/>
    <w:rsid w:val="002F17BC"/>
    <w:rsid w:val="002F17E2"/>
    <w:rsid w:val="002F18A9"/>
    <w:rsid w:val="002F1937"/>
    <w:rsid w:val="002F1986"/>
    <w:rsid w:val="002F1A4A"/>
    <w:rsid w:val="002F1BCC"/>
    <w:rsid w:val="002F1C7A"/>
    <w:rsid w:val="002F1CE2"/>
    <w:rsid w:val="002F1CEE"/>
    <w:rsid w:val="002F1D89"/>
    <w:rsid w:val="002F1EC4"/>
    <w:rsid w:val="002F1EDC"/>
    <w:rsid w:val="002F1F1F"/>
    <w:rsid w:val="002F1FEA"/>
    <w:rsid w:val="002F206F"/>
    <w:rsid w:val="002F210A"/>
    <w:rsid w:val="002F21BB"/>
    <w:rsid w:val="002F2251"/>
    <w:rsid w:val="002F232F"/>
    <w:rsid w:val="002F241E"/>
    <w:rsid w:val="002F2603"/>
    <w:rsid w:val="002F2643"/>
    <w:rsid w:val="002F2BDB"/>
    <w:rsid w:val="002F2C39"/>
    <w:rsid w:val="002F2E99"/>
    <w:rsid w:val="002F2EF4"/>
    <w:rsid w:val="002F2F33"/>
    <w:rsid w:val="002F2FA0"/>
    <w:rsid w:val="002F3254"/>
    <w:rsid w:val="002F3273"/>
    <w:rsid w:val="002F33DF"/>
    <w:rsid w:val="002F3597"/>
    <w:rsid w:val="002F387A"/>
    <w:rsid w:val="002F387C"/>
    <w:rsid w:val="002F388D"/>
    <w:rsid w:val="002F3981"/>
    <w:rsid w:val="002F39E6"/>
    <w:rsid w:val="002F39ED"/>
    <w:rsid w:val="002F3A9A"/>
    <w:rsid w:val="002F3CDE"/>
    <w:rsid w:val="002F3D44"/>
    <w:rsid w:val="002F41CE"/>
    <w:rsid w:val="002F42A3"/>
    <w:rsid w:val="002F4365"/>
    <w:rsid w:val="002F45C2"/>
    <w:rsid w:val="002F4635"/>
    <w:rsid w:val="002F46D9"/>
    <w:rsid w:val="002F46FD"/>
    <w:rsid w:val="002F4786"/>
    <w:rsid w:val="002F493E"/>
    <w:rsid w:val="002F49BE"/>
    <w:rsid w:val="002F4A82"/>
    <w:rsid w:val="002F4AAA"/>
    <w:rsid w:val="002F4B7F"/>
    <w:rsid w:val="002F4C15"/>
    <w:rsid w:val="002F4D6E"/>
    <w:rsid w:val="002F4E88"/>
    <w:rsid w:val="002F518A"/>
    <w:rsid w:val="002F5287"/>
    <w:rsid w:val="002F55CD"/>
    <w:rsid w:val="002F57AA"/>
    <w:rsid w:val="002F5858"/>
    <w:rsid w:val="002F58AC"/>
    <w:rsid w:val="002F58D6"/>
    <w:rsid w:val="002F591B"/>
    <w:rsid w:val="002F5A86"/>
    <w:rsid w:val="002F5B03"/>
    <w:rsid w:val="002F5B93"/>
    <w:rsid w:val="002F5B9B"/>
    <w:rsid w:val="002F5BB3"/>
    <w:rsid w:val="002F5BD7"/>
    <w:rsid w:val="002F5BF2"/>
    <w:rsid w:val="002F5D3C"/>
    <w:rsid w:val="002F5D55"/>
    <w:rsid w:val="002F5DE0"/>
    <w:rsid w:val="002F5DFB"/>
    <w:rsid w:val="002F5F0F"/>
    <w:rsid w:val="002F5FF2"/>
    <w:rsid w:val="002F601F"/>
    <w:rsid w:val="002F623F"/>
    <w:rsid w:val="002F6339"/>
    <w:rsid w:val="002F63C6"/>
    <w:rsid w:val="002F63ED"/>
    <w:rsid w:val="002F6427"/>
    <w:rsid w:val="002F658A"/>
    <w:rsid w:val="002F6592"/>
    <w:rsid w:val="002F66F5"/>
    <w:rsid w:val="002F6A1C"/>
    <w:rsid w:val="002F6A2E"/>
    <w:rsid w:val="002F6A6E"/>
    <w:rsid w:val="002F6B30"/>
    <w:rsid w:val="002F6C79"/>
    <w:rsid w:val="002F6C98"/>
    <w:rsid w:val="002F6DD7"/>
    <w:rsid w:val="002F6E80"/>
    <w:rsid w:val="002F71BD"/>
    <w:rsid w:val="002F72AA"/>
    <w:rsid w:val="002F73B6"/>
    <w:rsid w:val="002F73C1"/>
    <w:rsid w:val="002F73E5"/>
    <w:rsid w:val="002F7416"/>
    <w:rsid w:val="002F7500"/>
    <w:rsid w:val="002F76EB"/>
    <w:rsid w:val="002F7874"/>
    <w:rsid w:val="002F78C5"/>
    <w:rsid w:val="002F7AB3"/>
    <w:rsid w:val="002F7AC5"/>
    <w:rsid w:val="002F7AC6"/>
    <w:rsid w:val="002F7AD8"/>
    <w:rsid w:val="002F7B00"/>
    <w:rsid w:val="002F7B0B"/>
    <w:rsid w:val="002F7C7A"/>
    <w:rsid w:val="002F7CA2"/>
    <w:rsid w:val="002F7D1E"/>
    <w:rsid w:val="002F7D82"/>
    <w:rsid w:val="002F7DBE"/>
    <w:rsid w:val="002F7F5B"/>
    <w:rsid w:val="002F7FB0"/>
    <w:rsid w:val="003000DB"/>
    <w:rsid w:val="00300194"/>
    <w:rsid w:val="00300197"/>
    <w:rsid w:val="00300211"/>
    <w:rsid w:val="00300268"/>
    <w:rsid w:val="00300272"/>
    <w:rsid w:val="0030038B"/>
    <w:rsid w:val="00300776"/>
    <w:rsid w:val="0030078D"/>
    <w:rsid w:val="003008B6"/>
    <w:rsid w:val="003009F4"/>
    <w:rsid w:val="00300A11"/>
    <w:rsid w:val="00300B76"/>
    <w:rsid w:val="00300D2F"/>
    <w:rsid w:val="00300D77"/>
    <w:rsid w:val="00300EEB"/>
    <w:rsid w:val="00301037"/>
    <w:rsid w:val="0030103B"/>
    <w:rsid w:val="0030111A"/>
    <w:rsid w:val="00301141"/>
    <w:rsid w:val="00301252"/>
    <w:rsid w:val="003012CD"/>
    <w:rsid w:val="00301301"/>
    <w:rsid w:val="00301314"/>
    <w:rsid w:val="0030141A"/>
    <w:rsid w:val="003016DA"/>
    <w:rsid w:val="003017E7"/>
    <w:rsid w:val="003018C1"/>
    <w:rsid w:val="003018C8"/>
    <w:rsid w:val="003018CC"/>
    <w:rsid w:val="00301964"/>
    <w:rsid w:val="00301978"/>
    <w:rsid w:val="00301A1D"/>
    <w:rsid w:val="00301BB1"/>
    <w:rsid w:val="00301C12"/>
    <w:rsid w:val="00301C57"/>
    <w:rsid w:val="00301CC7"/>
    <w:rsid w:val="00301D1E"/>
    <w:rsid w:val="00301DD9"/>
    <w:rsid w:val="00301DDA"/>
    <w:rsid w:val="00301F65"/>
    <w:rsid w:val="00302224"/>
    <w:rsid w:val="003023FD"/>
    <w:rsid w:val="003025AF"/>
    <w:rsid w:val="00302CC0"/>
    <w:rsid w:val="00302DDE"/>
    <w:rsid w:val="00302EBA"/>
    <w:rsid w:val="00303122"/>
    <w:rsid w:val="003032CC"/>
    <w:rsid w:val="0030332C"/>
    <w:rsid w:val="0030336D"/>
    <w:rsid w:val="0030337D"/>
    <w:rsid w:val="00303467"/>
    <w:rsid w:val="003034A2"/>
    <w:rsid w:val="00303568"/>
    <w:rsid w:val="0030381C"/>
    <w:rsid w:val="00303859"/>
    <w:rsid w:val="00303882"/>
    <w:rsid w:val="0030398C"/>
    <w:rsid w:val="003039B6"/>
    <w:rsid w:val="00303B17"/>
    <w:rsid w:val="00303B40"/>
    <w:rsid w:val="00303C43"/>
    <w:rsid w:val="00303CBC"/>
    <w:rsid w:val="00303E8E"/>
    <w:rsid w:val="00303F2B"/>
    <w:rsid w:val="00303F98"/>
    <w:rsid w:val="00304038"/>
    <w:rsid w:val="00304287"/>
    <w:rsid w:val="0030441C"/>
    <w:rsid w:val="0030442B"/>
    <w:rsid w:val="003044BE"/>
    <w:rsid w:val="003044F1"/>
    <w:rsid w:val="00304624"/>
    <w:rsid w:val="00304890"/>
    <w:rsid w:val="00304952"/>
    <w:rsid w:val="00304985"/>
    <w:rsid w:val="00304A3C"/>
    <w:rsid w:val="00304BC4"/>
    <w:rsid w:val="00304CF4"/>
    <w:rsid w:val="00304E19"/>
    <w:rsid w:val="00304E46"/>
    <w:rsid w:val="00304EC7"/>
    <w:rsid w:val="00304FD2"/>
    <w:rsid w:val="003050B0"/>
    <w:rsid w:val="00305101"/>
    <w:rsid w:val="00305104"/>
    <w:rsid w:val="003051C2"/>
    <w:rsid w:val="003051CA"/>
    <w:rsid w:val="00305200"/>
    <w:rsid w:val="003052C9"/>
    <w:rsid w:val="00305348"/>
    <w:rsid w:val="0030545B"/>
    <w:rsid w:val="0030548A"/>
    <w:rsid w:val="00305509"/>
    <w:rsid w:val="003055F4"/>
    <w:rsid w:val="00305665"/>
    <w:rsid w:val="0030571F"/>
    <w:rsid w:val="0030597D"/>
    <w:rsid w:val="00305A98"/>
    <w:rsid w:val="00305FC4"/>
    <w:rsid w:val="00306070"/>
    <w:rsid w:val="003060B2"/>
    <w:rsid w:val="003060B6"/>
    <w:rsid w:val="003061B6"/>
    <w:rsid w:val="0030629C"/>
    <w:rsid w:val="0030648A"/>
    <w:rsid w:val="00306601"/>
    <w:rsid w:val="0030661F"/>
    <w:rsid w:val="00306766"/>
    <w:rsid w:val="00306885"/>
    <w:rsid w:val="00306895"/>
    <w:rsid w:val="00306A95"/>
    <w:rsid w:val="00306BCA"/>
    <w:rsid w:val="00306D5C"/>
    <w:rsid w:val="00306E54"/>
    <w:rsid w:val="00306E63"/>
    <w:rsid w:val="00306F3B"/>
    <w:rsid w:val="00306F58"/>
    <w:rsid w:val="00307084"/>
    <w:rsid w:val="003070FF"/>
    <w:rsid w:val="00307283"/>
    <w:rsid w:val="003072B0"/>
    <w:rsid w:val="00307402"/>
    <w:rsid w:val="00307453"/>
    <w:rsid w:val="0030745B"/>
    <w:rsid w:val="003076DD"/>
    <w:rsid w:val="0030788F"/>
    <w:rsid w:val="00307AF6"/>
    <w:rsid w:val="00307C2A"/>
    <w:rsid w:val="00307F60"/>
    <w:rsid w:val="0031001A"/>
    <w:rsid w:val="00310166"/>
    <w:rsid w:val="003101C3"/>
    <w:rsid w:val="00310329"/>
    <w:rsid w:val="00310344"/>
    <w:rsid w:val="003103BD"/>
    <w:rsid w:val="0031053A"/>
    <w:rsid w:val="00310542"/>
    <w:rsid w:val="003106B0"/>
    <w:rsid w:val="003108E7"/>
    <w:rsid w:val="003109D5"/>
    <w:rsid w:val="00310B1C"/>
    <w:rsid w:val="00310D1C"/>
    <w:rsid w:val="00310E64"/>
    <w:rsid w:val="0031110E"/>
    <w:rsid w:val="0031116B"/>
    <w:rsid w:val="003111FD"/>
    <w:rsid w:val="003112ED"/>
    <w:rsid w:val="0031135E"/>
    <w:rsid w:val="00311446"/>
    <w:rsid w:val="00311530"/>
    <w:rsid w:val="003116B4"/>
    <w:rsid w:val="00311851"/>
    <w:rsid w:val="003119BA"/>
    <w:rsid w:val="00311A1C"/>
    <w:rsid w:val="00311ADC"/>
    <w:rsid w:val="00311AF3"/>
    <w:rsid w:val="00311BF2"/>
    <w:rsid w:val="00311CD8"/>
    <w:rsid w:val="00311D5E"/>
    <w:rsid w:val="0031212C"/>
    <w:rsid w:val="00312296"/>
    <w:rsid w:val="0031234D"/>
    <w:rsid w:val="003123D2"/>
    <w:rsid w:val="0031245E"/>
    <w:rsid w:val="00312546"/>
    <w:rsid w:val="00312630"/>
    <w:rsid w:val="00312719"/>
    <w:rsid w:val="0031271A"/>
    <w:rsid w:val="003128BA"/>
    <w:rsid w:val="00312941"/>
    <w:rsid w:val="00312B5E"/>
    <w:rsid w:val="00312B69"/>
    <w:rsid w:val="00312C48"/>
    <w:rsid w:val="00312CAF"/>
    <w:rsid w:val="00312D60"/>
    <w:rsid w:val="00312D67"/>
    <w:rsid w:val="00312DF8"/>
    <w:rsid w:val="00312E35"/>
    <w:rsid w:val="00312FAC"/>
    <w:rsid w:val="00313216"/>
    <w:rsid w:val="00313589"/>
    <w:rsid w:val="003135F4"/>
    <w:rsid w:val="00313767"/>
    <w:rsid w:val="003137BB"/>
    <w:rsid w:val="00313ADC"/>
    <w:rsid w:val="00313B12"/>
    <w:rsid w:val="00313B18"/>
    <w:rsid w:val="00313C04"/>
    <w:rsid w:val="00313CCA"/>
    <w:rsid w:val="00313F19"/>
    <w:rsid w:val="00313F26"/>
    <w:rsid w:val="0031410D"/>
    <w:rsid w:val="00314239"/>
    <w:rsid w:val="00314275"/>
    <w:rsid w:val="003142B9"/>
    <w:rsid w:val="00314482"/>
    <w:rsid w:val="00314569"/>
    <w:rsid w:val="003145ED"/>
    <w:rsid w:val="0031463C"/>
    <w:rsid w:val="00314720"/>
    <w:rsid w:val="0031473F"/>
    <w:rsid w:val="003147BD"/>
    <w:rsid w:val="00314964"/>
    <w:rsid w:val="003149B9"/>
    <w:rsid w:val="003149CD"/>
    <w:rsid w:val="00314A06"/>
    <w:rsid w:val="00314A70"/>
    <w:rsid w:val="00314A92"/>
    <w:rsid w:val="00314AB0"/>
    <w:rsid w:val="00314B9B"/>
    <w:rsid w:val="00314CA8"/>
    <w:rsid w:val="00314CC1"/>
    <w:rsid w:val="00314D20"/>
    <w:rsid w:val="00314F0E"/>
    <w:rsid w:val="0031501C"/>
    <w:rsid w:val="0031501F"/>
    <w:rsid w:val="0031531A"/>
    <w:rsid w:val="0031536A"/>
    <w:rsid w:val="003153EF"/>
    <w:rsid w:val="003155B3"/>
    <w:rsid w:val="00315622"/>
    <w:rsid w:val="0031563C"/>
    <w:rsid w:val="00315A6F"/>
    <w:rsid w:val="00315AEA"/>
    <w:rsid w:val="00315C1D"/>
    <w:rsid w:val="00315F0F"/>
    <w:rsid w:val="003162BB"/>
    <w:rsid w:val="003162C4"/>
    <w:rsid w:val="003162E6"/>
    <w:rsid w:val="0031630D"/>
    <w:rsid w:val="00316356"/>
    <w:rsid w:val="003163A4"/>
    <w:rsid w:val="00316405"/>
    <w:rsid w:val="00316753"/>
    <w:rsid w:val="003167BD"/>
    <w:rsid w:val="0031680C"/>
    <w:rsid w:val="0031685D"/>
    <w:rsid w:val="003168F3"/>
    <w:rsid w:val="00316996"/>
    <w:rsid w:val="00316A74"/>
    <w:rsid w:val="00316AC5"/>
    <w:rsid w:val="00316AE4"/>
    <w:rsid w:val="00316B32"/>
    <w:rsid w:val="00316C7D"/>
    <w:rsid w:val="00316D48"/>
    <w:rsid w:val="00317078"/>
    <w:rsid w:val="003170C4"/>
    <w:rsid w:val="0031727D"/>
    <w:rsid w:val="003174E6"/>
    <w:rsid w:val="0031759E"/>
    <w:rsid w:val="003175CA"/>
    <w:rsid w:val="00317673"/>
    <w:rsid w:val="003176AD"/>
    <w:rsid w:val="00317717"/>
    <w:rsid w:val="00317750"/>
    <w:rsid w:val="003178E0"/>
    <w:rsid w:val="00317AE3"/>
    <w:rsid w:val="00317B66"/>
    <w:rsid w:val="00317CB5"/>
    <w:rsid w:val="00317CF3"/>
    <w:rsid w:val="00317DA8"/>
    <w:rsid w:val="00317FBA"/>
    <w:rsid w:val="003200C9"/>
    <w:rsid w:val="00320155"/>
    <w:rsid w:val="003203CC"/>
    <w:rsid w:val="0032055A"/>
    <w:rsid w:val="00320584"/>
    <w:rsid w:val="003206E5"/>
    <w:rsid w:val="0032070A"/>
    <w:rsid w:val="0032072F"/>
    <w:rsid w:val="0032077C"/>
    <w:rsid w:val="00320867"/>
    <w:rsid w:val="00320962"/>
    <w:rsid w:val="00320A7E"/>
    <w:rsid w:val="00320AE6"/>
    <w:rsid w:val="00320AEF"/>
    <w:rsid w:val="00320BCA"/>
    <w:rsid w:val="00320F8B"/>
    <w:rsid w:val="00320FB0"/>
    <w:rsid w:val="003210F0"/>
    <w:rsid w:val="0032112F"/>
    <w:rsid w:val="0032116E"/>
    <w:rsid w:val="003211BE"/>
    <w:rsid w:val="003212AE"/>
    <w:rsid w:val="003213D6"/>
    <w:rsid w:val="003214A4"/>
    <w:rsid w:val="00321573"/>
    <w:rsid w:val="003215C1"/>
    <w:rsid w:val="00321746"/>
    <w:rsid w:val="003218AC"/>
    <w:rsid w:val="003218B5"/>
    <w:rsid w:val="003219EE"/>
    <w:rsid w:val="00321AEE"/>
    <w:rsid w:val="00321B41"/>
    <w:rsid w:val="00321D8E"/>
    <w:rsid w:val="00321EF8"/>
    <w:rsid w:val="00321F3E"/>
    <w:rsid w:val="00322000"/>
    <w:rsid w:val="0032205A"/>
    <w:rsid w:val="003220D1"/>
    <w:rsid w:val="003221D1"/>
    <w:rsid w:val="003221E6"/>
    <w:rsid w:val="003225F1"/>
    <w:rsid w:val="0032266E"/>
    <w:rsid w:val="00322779"/>
    <w:rsid w:val="003227C3"/>
    <w:rsid w:val="003227E6"/>
    <w:rsid w:val="0032283C"/>
    <w:rsid w:val="003229DB"/>
    <w:rsid w:val="00322A63"/>
    <w:rsid w:val="00322BC4"/>
    <w:rsid w:val="00322C0B"/>
    <w:rsid w:val="00322C4C"/>
    <w:rsid w:val="00322C93"/>
    <w:rsid w:val="00322D34"/>
    <w:rsid w:val="00322D3A"/>
    <w:rsid w:val="00322E18"/>
    <w:rsid w:val="0032308F"/>
    <w:rsid w:val="00323190"/>
    <w:rsid w:val="00323361"/>
    <w:rsid w:val="00323475"/>
    <w:rsid w:val="003234F1"/>
    <w:rsid w:val="003235AA"/>
    <w:rsid w:val="00323625"/>
    <w:rsid w:val="00323740"/>
    <w:rsid w:val="00323798"/>
    <w:rsid w:val="00323818"/>
    <w:rsid w:val="00323A51"/>
    <w:rsid w:val="00323AE6"/>
    <w:rsid w:val="00323B3E"/>
    <w:rsid w:val="00323CAF"/>
    <w:rsid w:val="00323FC8"/>
    <w:rsid w:val="00324094"/>
    <w:rsid w:val="00324164"/>
    <w:rsid w:val="00324187"/>
    <w:rsid w:val="003241C7"/>
    <w:rsid w:val="003242A5"/>
    <w:rsid w:val="003242BF"/>
    <w:rsid w:val="003242D9"/>
    <w:rsid w:val="00324330"/>
    <w:rsid w:val="00324359"/>
    <w:rsid w:val="00324390"/>
    <w:rsid w:val="003244D1"/>
    <w:rsid w:val="003245A8"/>
    <w:rsid w:val="0032460C"/>
    <w:rsid w:val="003246DA"/>
    <w:rsid w:val="003246F5"/>
    <w:rsid w:val="00324790"/>
    <w:rsid w:val="003247E7"/>
    <w:rsid w:val="003248EE"/>
    <w:rsid w:val="00324A0D"/>
    <w:rsid w:val="00324A48"/>
    <w:rsid w:val="00324A76"/>
    <w:rsid w:val="00324D29"/>
    <w:rsid w:val="00324D2E"/>
    <w:rsid w:val="00324DBA"/>
    <w:rsid w:val="00324E95"/>
    <w:rsid w:val="00324F28"/>
    <w:rsid w:val="003250D4"/>
    <w:rsid w:val="00325131"/>
    <w:rsid w:val="00325163"/>
    <w:rsid w:val="0032521B"/>
    <w:rsid w:val="003253BF"/>
    <w:rsid w:val="00325413"/>
    <w:rsid w:val="003254F2"/>
    <w:rsid w:val="0032553C"/>
    <w:rsid w:val="0032555D"/>
    <w:rsid w:val="00325799"/>
    <w:rsid w:val="00325928"/>
    <w:rsid w:val="00325955"/>
    <w:rsid w:val="00325A30"/>
    <w:rsid w:val="00325A73"/>
    <w:rsid w:val="00325A87"/>
    <w:rsid w:val="00325D0D"/>
    <w:rsid w:val="00325DD9"/>
    <w:rsid w:val="00326005"/>
    <w:rsid w:val="00326017"/>
    <w:rsid w:val="003260F6"/>
    <w:rsid w:val="003262D4"/>
    <w:rsid w:val="00326576"/>
    <w:rsid w:val="0032685D"/>
    <w:rsid w:val="00326963"/>
    <w:rsid w:val="00326B04"/>
    <w:rsid w:val="00326B26"/>
    <w:rsid w:val="00326B5B"/>
    <w:rsid w:val="00326B6B"/>
    <w:rsid w:val="00326BD5"/>
    <w:rsid w:val="00326C0F"/>
    <w:rsid w:val="00326D2B"/>
    <w:rsid w:val="00326DF4"/>
    <w:rsid w:val="00326E47"/>
    <w:rsid w:val="00326F30"/>
    <w:rsid w:val="00326FFE"/>
    <w:rsid w:val="00327149"/>
    <w:rsid w:val="0032748E"/>
    <w:rsid w:val="003274C1"/>
    <w:rsid w:val="0032759D"/>
    <w:rsid w:val="0032765C"/>
    <w:rsid w:val="00327817"/>
    <w:rsid w:val="003278C7"/>
    <w:rsid w:val="00327923"/>
    <w:rsid w:val="003279E5"/>
    <w:rsid w:val="00327EF4"/>
    <w:rsid w:val="003300A6"/>
    <w:rsid w:val="003300CC"/>
    <w:rsid w:val="00330271"/>
    <w:rsid w:val="00330814"/>
    <w:rsid w:val="003308AE"/>
    <w:rsid w:val="00330926"/>
    <w:rsid w:val="003309D0"/>
    <w:rsid w:val="00330E13"/>
    <w:rsid w:val="00330F4A"/>
    <w:rsid w:val="00331086"/>
    <w:rsid w:val="0033114A"/>
    <w:rsid w:val="0033126F"/>
    <w:rsid w:val="0033136A"/>
    <w:rsid w:val="003313B8"/>
    <w:rsid w:val="00331416"/>
    <w:rsid w:val="00331497"/>
    <w:rsid w:val="003314A5"/>
    <w:rsid w:val="00331608"/>
    <w:rsid w:val="0033171F"/>
    <w:rsid w:val="00331799"/>
    <w:rsid w:val="0033193F"/>
    <w:rsid w:val="00331953"/>
    <w:rsid w:val="00331EDA"/>
    <w:rsid w:val="00331FBA"/>
    <w:rsid w:val="00331FF0"/>
    <w:rsid w:val="003320DF"/>
    <w:rsid w:val="00332162"/>
    <w:rsid w:val="003322DE"/>
    <w:rsid w:val="00332385"/>
    <w:rsid w:val="003324CB"/>
    <w:rsid w:val="0033250E"/>
    <w:rsid w:val="00332515"/>
    <w:rsid w:val="00332721"/>
    <w:rsid w:val="0033281A"/>
    <w:rsid w:val="00332863"/>
    <w:rsid w:val="003329CA"/>
    <w:rsid w:val="00332B06"/>
    <w:rsid w:val="00332B36"/>
    <w:rsid w:val="00332B3D"/>
    <w:rsid w:val="00332C59"/>
    <w:rsid w:val="00332CE1"/>
    <w:rsid w:val="00332E0C"/>
    <w:rsid w:val="00332F5A"/>
    <w:rsid w:val="00333058"/>
    <w:rsid w:val="00333293"/>
    <w:rsid w:val="00333634"/>
    <w:rsid w:val="00333662"/>
    <w:rsid w:val="00333758"/>
    <w:rsid w:val="00333792"/>
    <w:rsid w:val="00333873"/>
    <w:rsid w:val="003338A4"/>
    <w:rsid w:val="003339FC"/>
    <w:rsid w:val="00333A07"/>
    <w:rsid w:val="00333B31"/>
    <w:rsid w:val="00333B79"/>
    <w:rsid w:val="00333C13"/>
    <w:rsid w:val="00333E72"/>
    <w:rsid w:val="00333F8D"/>
    <w:rsid w:val="00333FF0"/>
    <w:rsid w:val="00334024"/>
    <w:rsid w:val="0033409B"/>
    <w:rsid w:val="003340B4"/>
    <w:rsid w:val="0033411D"/>
    <w:rsid w:val="00334173"/>
    <w:rsid w:val="0033428C"/>
    <w:rsid w:val="00334394"/>
    <w:rsid w:val="003343DE"/>
    <w:rsid w:val="00334699"/>
    <w:rsid w:val="003346E5"/>
    <w:rsid w:val="003346E9"/>
    <w:rsid w:val="00334733"/>
    <w:rsid w:val="003349CB"/>
    <w:rsid w:val="003349FE"/>
    <w:rsid w:val="00334A50"/>
    <w:rsid w:val="00334A72"/>
    <w:rsid w:val="00334AAD"/>
    <w:rsid w:val="00334B19"/>
    <w:rsid w:val="00334BD8"/>
    <w:rsid w:val="00334C2A"/>
    <w:rsid w:val="00334C67"/>
    <w:rsid w:val="00334E41"/>
    <w:rsid w:val="00334E5E"/>
    <w:rsid w:val="00334ECD"/>
    <w:rsid w:val="00334F07"/>
    <w:rsid w:val="00334F87"/>
    <w:rsid w:val="0033500A"/>
    <w:rsid w:val="003351DA"/>
    <w:rsid w:val="00335236"/>
    <w:rsid w:val="00335324"/>
    <w:rsid w:val="003353BD"/>
    <w:rsid w:val="003353C6"/>
    <w:rsid w:val="003354C9"/>
    <w:rsid w:val="00335582"/>
    <w:rsid w:val="003355DF"/>
    <w:rsid w:val="003355E7"/>
    <w:rsid w:val="0033561E"/>
    <w:rsid w:val="0033582E"/>
    <w:rsid w:val="00335911"/>
    <w:rsid w:val="00335960"/>
    <w:rsid w:val="00335A16"/>
    <w:rsid w:val="00335B93"/>
    <w:rsid w:val="00335E3C"/>
    <w:rsid w:val="00335EAB"/>
    <w:rsid w:val="00335EB0"/>
    <w:rsid w:val="003360DC"/>
    <w:rsid w:val="00336142"/>
    <w:rsid w:val="00336155"/>
    <w:rsid w:val="00336327"/>
    <w:rsid w:val="0033635E"/>
    <w:rsid w:val="003363F6"/>
    <w:rsid w:val="00336478"/>
    <w:rsid w:val="00336481"/>
    <w:rsid w:val="003364C8"/>
    <w:rsid w:val="003367DB"/>
    <w:rsid w:val="00336801"/>
    <w:rsid w:val="00336842"/>
    <w:rsid w:val="0033684D"/>
    <w:rsid w:val="003368D2"/>
    <w:rsid w:val="00336A17"/>
    <w:rsid w:val="00336A20"/>
    <w:rsid w:val="00336B7B"/>
    <w:rsid w:val="00336C0F"/>
    <w:rsid w:val="00336C2A"/>
    <w:rsid w:val="00336FA7"/>
    <w:rsid w:val="00336FD1"/>
    <w:rsid w:val="0033702C"/>
    <w:rsid w:val="00337466"/>
    <w:rsid w:val="003374A1"/>
    <w:rsid w:val="0033757D"/>
    <w:rsid w:val="003377F7"/>
    <w:rsid w:val="00337810"/>
    <w:rsid w:val="00337B42"/>
    <w:rsid w:val="00337D9B"/>
    <w:rsid w:val="00337F52"/>
    <w:rsid w:val="0034020F"/>
    <w:rsid w:val="0034021C"/>
    <w:rsid w:val="00340259"/>
    <w:rsid w:val="003402B4"/>
    <w:rsid w:val="00340590"/>
    <w:rsid w:val="00340643"/>
    <w:rsid w:val="0034068C"/>
    <w:rsid w:val="003406B2"/>
    <w:rsid w:val="003406FB"/>
    <w:rsid w:val="00340851"/>
    <w:rsid w:val="00340862"/>
    <w:rsid w:val="0034091F"/>
    <w:rsid w:val="003409AA"/>
    <w:rsid w:val="00340C06"/>
    <w:rsid w:val="00340CAE"/>
    <w:rsid w:val="00340DA7"/>
    <w:rsid w:val="00340E29"/>
    <w:rsid w:val="00340E3B"/>
    <w:rsid w:val="00340F47"/>
    <w:rsid w:val="00340F69"/>
    <w:rsid w:val="00340FE7"/>
    <w:rsid w:val="003410F7"/>
    <w:rsid w:val="00341170"/>
    <w:rsid w:val="00341328"/>
    <w:rsid w:val="0034145E"/>
    <w:rsid w:val="003414E1"/>
    <w:rsid w:val="00341818"/>
    <w:rsid w:val="0034198A"/>
    <w:rsid w:val="00341B26"/>
    <w:rsid w:val="00341B42"/>
    <w:rsid w:val="00341BB3"/>
    <w:rsid w:val="00341C75"/>
    <w:rsid w:val="00341D57"/>
    <w:rsid w:val="00341D7B"/>
    <w:rsid w:val="00341F3A"/>
    <w:rsid w:val="0034208A"/>
    <w:rsid w:val="003421AB"/>
    <w:rsid w:val="00342292"/>
    <w:rsid w:val="003422BC"/>
    <w:rsid w:val="003424BB"/>
    <w:rsid w:val="003424F2"/>
    <w:rsid w:val="003425BF"/>
    <w:rsid w:val="00342724"/>
    <w:rsid w:val="003427BC"/>
    <w:rsid w:val="00342847"/>
    <w:rsid w:val="00342BF0"/>
    <w:rsid w:val="00342D41"/>
    <w:rsid w:val="00342DE1"/>
    <w:rsid w:val="00342E6E"/>
    <w:rsid w:val="00342E6F"/>
    <w:rsid w:val="00342EE2"/>
    <w:rsid w:val="00342F66"/>
    <w:rsid w:val="003430E3"/>
    <w:rsid w:val="003430F8"/>
    <w:rsid w:val="003430FB"/>
    <w:rsid w:val="00343200"/>
    <w:rsid w:val="00343209"/>
    <w:rsid w:val="0034321F"/>
    <w:rsid w:val="00343395"/>
    <w:rsid w:val="0034348F"/>
    <w:rsid w:val="0034362E"/>
    <w:rsid w:val="00343691"/>
    <w:rsid w:val="003436FB"/>
    <w:rsid w:val="00343742"/>
    <w:rsid w:val="0034381F"/>
    <w:rsid w:val="003438F5"/>
    <w:rsid w:val="0034390A"/>
    <w:rsid w:val="0034390E"/>
    <w:rsid w:val="003439E9"/>
    <w:rsid w:val="00343DA6"/>
    <w:rsid w:val="00343E14"/>
    <w:rsid w:val="00343EA6"/>
    <w:rsid w:val="00343FC4"/>
    <w:rsid w:val="0034411A"/>
    <w:rsid w:val="00344192"/>
    <w:rsid w:val="00344275"/>
    <w:rsid w:val="003442D6"/>
    <w:rsid w:val="003443AB"/>
    <w:rsid w:val="00344484"/>
    <w:rsid w:val="003444FF"/>
    <w:rsid w:val="003445D8"/>
    <w:rsid w:val="0034466B"/>
    <w:rsid w:val="00344767"/>
    <w:rsid w:val="00344877"/>
    <w:rsid w:val="003448E7"/>
    <w:rsid w:val="0034494F"/>
    <w:rsid w:val="003449BF"/>
    <w:rsid w:val="00344A9A"/>
    <w:rsid w:val="00344BAD"/>
    <w:rsid w:val="00344F34"/>
    <w:rsid w:val="00344F84"/>
    <w:rsid w:val="00344FE8"/>
    <w:rsid w:val="00344FF9"/>
    <w:rsid w:val="003451AF"/>
    <w:rsid w:val="003451FD"/>
    <w:rsid w:val="0034535B"/>
    <w:rsid w:val="003453C2"/>
    <w:rsid w:val="00345485"/>
    <w:rsid w:val="003454F6"/>
    <w:rsid w:val="003455FC"/>
    <w:rsid w:val="003456E0"/>
    <w:rsid w:val="00345AC2"/>
    <w:rsid w:val="00345BEB"/>
    <w:rsid w:val="00345C5F"/>
    <w:rsid w:val="00345C64"/>
    <w:rsid w:val="00345C6A"/>
    <w:rsid w:val="00345CC1"/>
    <w:rsid w:val="00345EFE"/>
    <w:rsid w:val="00345F7B"/>
    <w:rsid w:val="00345FF6"/>
    <w:rsid w:val="00346026"/>
    <w:rsid w:val="00346156"/>
    <w:rsid w:val="0034624E"/>
    <w:rsid w:val="0034649E"/>
    <w:rsid w:val="00346526"/>
    <w:rsid w:val="003467DF"/>
    <w:rsid w:val="0034680D"/>
    <w:rsid w:val="00346A45"/>
    <w:rsid w:val="00346B89"/>
    <w:rsid w:val="00346BA3"/>
    <w:rsid w:val="00346BE5"/>
    <w:rsid w:val="00346F68"/>
    <w:rsid w:val="0034701C"/>
    <w:rsid w:val="003470D7"/>
    <w:rsid w:val="00347198"/>
    <w:rsid w:val="0034723E"/>
    <w:rsid w:val="003472E9"/>
    <w:rsid w:val="003473C5"/>
    <w:rsid w:val="00347432"/>
    <w:rsid w:val="00347523"/>
    <w:rsid w:val="003475DD"/>
    <w:rsid w:val="00347707"/>
    <w:rsid w:val="00347810"/>
    <w:rsid w:val="00347855"/>
    <w:rsid w:val="00347AFA"/>
    <w:rsid w:val="00347B5E"/>
    <w:rsid w:val="00347B78"/>
    <w:rsid w:val="00347B92"/>
    <w:rsid w:val="00347D8F"/>
    <w:rsid w:val="00347FE5"/>
    <w:rsid w:val="00350003"/>
    <w:rsid w:val="00350010"/>
    <w:rsid w:val="003501FE"/>
    <w:rsid w:val="0035022F"/>
    <w:rsid w:val="003502CB"/>
    <w:rsid w:val="003502FC"/>
    <w:rsid w:val="003503F8"/>
    <w:rsid w:val="0035042E"/>
    <w:rsid w:val="00350502"/>
    <w:rsid w:val="00350527"/>
    <w:rsid w:val="0035052D"/>
    <w:rsid w:val="0035075A"/>
    <w:rsid w:val="00350800"/>
    <w:rsid w:val="00350851"/>
    <w:rsid w:val="0035086C"/>
    <w:rsid w:val="00350879"/>
    <w:rsid w:val="00350885"/>
    <w:rsid w:val="00350A41"/>
    <w:rsid w:val="00350C34"/>
    <w:rsid w:val="00350E15"/>
    <w:rsid w:val="00350EAF"/>
    <w:rsid w:val="00350F31"/>
    <w:rsid w:val="00351013"/>
    <w:rsid w:val="003510A6"/>
    <w:rsid w:val="00351266"/>
    <w:rsid w:val="00351283"/>
    <w:rsid w:val="00351305"/>
    <w:rsid w:val="003515B9"/>
    <w:rsid w:val="0035167A"/>
    <w:rsid w:val="003516A7"/>
    <w:rsid w:val="00351735"/>
    <w:rsid w:val="00351744"/>
    <w:rsid w:val="00351D07"/>
    <w:rsid w:val="00351D8A"/>
    <w:rsid w:val="00351E74"/>
    <w:rsid w:val="00351ED4"/>
    <w:rsid w:val="0035211F"/>
    <w:rsid w:val="003521C8"/>
    <w:rsid w:val="0035223B"/>
    <w:rsid w:val="00352274"/>
    <w:rsid w:val="00352519"/>
    <w:rsid w:val="0035264F"/>
    <w:rsid w:val="00352664"/>
    <w:rsid w:val="003526A3"/>
    <w:rsid w:val="003527B7"/>
    <w:rsid w:val="00352A73"/>
    <w:rsid w:val="00352A8D"/>
    <w:rsid w:val="00352C37"/>
    <w:rsid w:val="00352CAF"/>
    <w:rsid w:val="00352D0E"/>
    <w:rsid w:val="00352D83"/>
    <w:rsid w:val="00352DE1"/>
    <w:rsid w:val="00352F4C"/>
    <w:rsid w:val="003530DD"/>
    <w:rsid w:val="0035314A"/>
    <w:rsid w:val="0035315D"/>
    <w:rsid w:val="003531F3"/>
    <w:rsid w:val="0035330D"/>
    <w:rsid w:val="003535A9"/>
    <w:rsid w:val="003535AA"/>
    <w:rsid w:val="0035361E"/>
    <w:rsid w:val="00353622"/>
    <w:rsid w:val="00353681"/>
    <w:rsid w:val="0035376E"/>
    <w:rsid w:val="00353783"/>
    <w:rsid w:val="00353808"/>
    <w:rsid w:val="00353892"/>
    <w:rsid w:val="00353A4F"/>
    <w:rsid w:val="00353D43"/>
    <w:rsid w:val="00353F22"/>
    <w:rsid w:val="00353FCF"/>
    <w:rsid w:val="0035406F"/>
    <w:rsid w:val="00354084"/>
    <w:rsid w:val="00354468"/>
    <w:rsid w:val="003545E9"/>
    <w:rsid w:val="00354608"/>
    <w:rsid w:val="003547A6"/>
    <w:rsid w:val="003547F6"/>
    <w:rsid w:val="00354832"/>
    <w:rsid w:val="003548F3"/>
    <w:rsid w:val="00354907"/>
    <w:rsid w:val="00354ADE"/>
    <w:rsid w:val="00354F81"/>
    <w:rsid w:val="00355098"/>
    <w:rsid w:val="003551D1"/>
    <w:rsid w:val="00355507"/>
    <w:rsid w:val="003555BE"/>
    <w:rsid w:val="003556AC"/>
    <w:rsid w:val="003556EC"/>
    <w:rsid w:val="00355803"/>
    <w:rsid w:val="00355816"/>
    <w:rsid w:val="003559EF"/>
    <w:rsid w:val="00355A0C"/>
    <w:rsid w:val="00355BEE"/>
    <w:rsid w:val="00355CBC"/>
    <w:rsid w:val="00355CCD"/>
    <w:rsid w:val="00355D1A"/>
    <w:rsid w:val="00355E33"/>
    <w:rsid w:val="00355F17"/>
    <w:rsid w:val="00356027"/>
    <w:rsid w:val="0035603D"/>
    <w:rsid w:val="003560C1"/>
    <w:rsid w:val="003560CC"/>
    <w:rsid w:val="0035616A"/>
    <w:rsid w:val="003561EB"/>
    <w:rsid w:val="003561EC"/>
    <w:rsid w:val="003564B6"/>
    <w:rsid w:val="00356653"/>
    <w:rsid w:val="00356712"/>
    <w:rsid w:val="0035673E"/>
    <w:rsid w:val="003567B2"/>
    <w:rsid w:val="00356922"/>
    <w:rsid w:val="0035692E"/>
    <w:rsid w:val="0035694F"/>
    <w:rsid w:val="0035699C"/>
    <w:rsid w:val="00356A99"/>
    <w:rsid w:val="00356AD8"/>
    <w:rsid w:val="00356BED"/>
    <w:rsid w:val="00356CDA"/>
    <w:rsid w:val="00356DF0"/>
    <w:rsid w:val="00356E19"/>
    <w:rsid w:val="00357206"/>
    <w:rsid w:val="00357391"/>
    <w:rsid w:val="00357421"/>
    <w:rsid w:val="00357429"/>
    <w:rsid w:val="0035743F"/>
    <w:rsid w:val="00357522"/>
    <w:rsid w:val="00357692"/>
    <w:rsid w:val="003576A1"/>
    <w:rsid w:val="00357A15"/>
    <w:rsid w:val="00357B42"/>
    <w:rsid w:val="00357B6E"/>
    <w:rsid w:val="00357BE2"/>
    <w:rsid w:val="00357C01"/>
    <w:rsid w:val="00357C79"/>
    <w:rsid w:val="00357CAC"/>
    <w:rsid w:val="00357D57"/>
    <w:rsid w:val="00357EC9"/>
    <w:rsid w:val="00357ED3"/>
    <w:rsid w:val="00357F3A"/>
    <w:rsid w:val="00357FEE"/>
    <w:rsid w:val="00360067"/>
    <w:rsid w:val="003600E8"/>
    <w:rsid w:val="0036026A"/>
    <w:rsid w:val="00360316"/>
    <w:rsid w:val="0036032A"/>
    <w:rsid w:val="0036036F"/>
    <w:rsid w:val="003603D7"/>
    <w:rsid w:val="00360521"/>
    <w:rsid w:val="0036053E"/>
    <w:rsid w:val="003605BE"/>
    <w:rsid w:val="003605F6"/>
    <w:rsid w:val="00360646"/>
    <w:rsid w:val="003606E8"/>
    <w:rsid w:val="0036077C"/>
    <w:rsid w:val="00360912"/>
    <w:rsid w:val="00360953"/>
    <w:rsid w:val="00360C96"/>
    <w:rsid w:val="00360DF3"/>
    <w:rsid w:val="00360F00"/>
    <w:rsid w:val="00361035"/>
    <w:rsid w:val="00361075"/>
    <w:rsid w:val="003611C5"/>
    <w:rsid w:val="00361470"/>
    <w:rsid w:val="00361606"/>
    <w:rsid w:val="0036170C"/>
    <w:rsid w:val="003617B0"/>
    <w:rsid w:val="00361852"/>
    <w:rsid w:val="003618C3"/>
    <w:rsid w:val="00361972"/>
    <w:rsid w:val="00361994"/>
    <w:rsid w:val="003619CF"/>
    <w:rsid w:val="003619FB"/>
    <w:rsid w:val="00361B12"/>
    <w:rsid w:val="00361B48"/>
    <w:rsid w:val="00361BC7"/>
    <w:rsid w:val="00361BD9"/>
    <w:rsid w:val="00361C16"/>
    <w:rsid w:val="00361C27"/>
    <w:rsid w:val="00361CD1"/>
    <w:rsid w:val="00361DF2"/>
    <w:rsid w:val="00361E72"/>
    <w:rsid w:val="00361F38"/>
    <w:rsid w:val="00362321"/>
    <w:rsid w:val="00362353"/>
    <w:rsid w:val="00362401"/>
    <w:rsid w:val="003625F7"/>
    <w:rsid w:val="00362723"/>
    <w:rsid w:val="003628F5"/>
    <w:rsid w:val="00362BD2"/>
    <w:rsid w:val="00362CCB"/>
    <w:rsid w:val="00362D9E"/>
    <w:rsid w:val="00362F0A"/>
    <w:rsid w:val="0036323C"/>
    <w:rsid w:val="0036358C"/>
    <w:rsid w:val="003635CC"/>
    <w:rsid w:val="0036366C"/>
    <w:rsid w:val="0036376F"/>
    <w:rsid w:val="003638C2"/>
    <w:rsid w:val="00363ABF"/>
    <w:rsid w:val="00363BC5"/>
    <w:rsid w:val="00363C01"/>
    <w:rsid w:val="00363C2F"/>
    <w:rsid w:val="00363D2B"/>
    <w:rsid w:val="00363D7B"/>
    <w:rsid w:val="00363E76"/>
    <w:rsid w:val="00363F7A"/>
    <w:rsid w:val="00363F9A"/>
    <w:rsid w:val="003640C0"/>
    <w:rsid w:val="0036412B"/>
    <w:rsid w:val="00364522"/>
    <w:rsid w:val="0036452E"/>
    <w:rsid w:val="00364533"/>
    <w:rsid w:val="00364748"/>
    <w:rsid w:val="003647A9"/>
    <w:rsid w:val="0036483B"/>
    <w:rsid w:val="0036495C"/>
    <w:rsid w:val="003649E2"/>
    <w:rsid w:val="00364A87"/>
    <w:rsid w:val="00364B0D"/>
    <w:rsid w:val="00364B96"/>
    <w:rsid w:val="00364BB9"/>
    <w:rsid w:val="00364D4E"/>
    <w:rsid w:val="00364DA7"/>
    <w:rsid w:val="00364ECA"/>
    <w:rsid w:val="00365016"/>
    <w:rsid w:val="00365098"/>
    <w:rsid w:val="00365265"/>
    <w:rsid w:val="00365302"/>
    <w:rsid w:val="0036535F"/>
    <w:rsid w:val="00365360"/>
    <w:rsid w:val="003653A4"/>
    <w:rsid w:val="00365426"/>
    <w:rsid w:val="0036545A"/>
    <w:rsid w:val="0036578E"/>
    <w:rsid w:val="003657CC"/>
    <w:rsid w:val="00365987"/>
    <w:rsid w:val="00365B51"/>
    <w:rsid w:val="00365D7A"/>
    <w:rsid w:val="00365DC1"/>
    <w:rsid w:val="00366180"/>
    <w:rsid w:val="00366251"/>
    <w:rsid w:val="00366371"/>
    <w:rsid w:val="00366487"/>
    <w:rsid w:val="003664B7"/>
    <w:rsid w:val="003664E9"/>
    <w:rsid w:val="00366504"/>
    <w:rsid w:val="00366577"/>
    <w:rsid w:val="003665E9"/>
    <w:rsid w:val="003667D7"/>
    <w:rsid w:val="003668B1"/>
    <w:rsid w:val="00366A1F"/>
    <w:rsid w:val="00366A8C"/>
    <w:rsid w:val="00366AA9"/>
    <w:rsid w:val="00366C1F"/>
    <w:rsid w:val="00366DCB"/>
    <w:rsid w:val="00366E0F"/>
    <w:rsid w:val="00366F2B"/>
    <w:rsid w:val="00366FB3"/>
    <w:rsid w:val="0036701C"/>
    <w:rsid w:val="0036709A"/>
    <w:rsid w:val="003670ED"/>
    <w:rsid w:val="0036729D"/>
    <w:rsid w:val="00367573"/>
    <w:rsid w:val="003678A6"/>
    <w:rsid w:val="003678A8"/>
    <w:rsid w:val="00367912"/>
    <w:rsid w:val="00367A23"/>
    <w:rsid w:val="00367BB3"/>
    <w:rsid w:val="00367BD7"/>
    <w:rsid w:val="00367C7B"/>
    <w:rsid w:val="00367DDC"/>
    <w:rsid w:val="00370065"/>
    <w:rsid w:val="003701C3"/>
    <w:rsid w:val="003701D5"/>
    <w:rsid w:val="003701F6"/>
    <w:rsid w:val="003703FE"/>
    <w:rsid w:val="00370486"/>
    <w:rsid w:val="00370629"/>
    <w:rsid w:val="0037062D"/>
    <w:rsid w:val="00370704"/>
    <w:rsid w:val="00370803"/>
    <w:rsid w:val="00370811"/>
    <w:rsid w:val="00370863"/>
    <w:rsid w:val="0037089C"/>
    <w:rsid w:val="003709CE"/>
    <w:rsid w:val="00370B30"/>
    <w:rsid w:val="00370C42"/>
    <w:rsid w:val="00370C4C"/>
    <w:rsid w:val="00370E51"/>
    <w:rsid w:val="00370F0B"/>
    <w:rsid w:val="00370FF0"/>
    <w:rsid w:val="003710AC"/>
    <w:rsid w:val="003711A9"/>
    <w:rsid w:val="00371242"/>
    <w:rsid w:val="00371293"/>
    <w:rsid w:val="003713D2"/>
    <w:rsid w:val="00371552"/>
    <w:rsid w:val="0037156F"/>
    <w:rsid w:val="00371747"/>
    <w:rsid w:val="003719DA"/>
    <w:rsid w:val="00371A93"/>
    <w:rsid w:val="00371B14"/>
    <w:rsid w:val="00371CC9"/>
    <w:rsid w:val="00371D9E"/>
    <w:rsid w:val="00371EBA"/>
    <w:rsid w:val="00371EDA"/>
    <w:rsid w:val="00371F6F"/>
    <w:rsid w:val="00372112"/>
    <w:rsid w:val="00372224"/>
    <w:rsid w:val="003722E5"/>
    <w:rsid w:val="003725A3"/>
    <w:rsid w:val="00372635"/>
    <w:rsid w:val="003726B1"/>
    <w:rsid w:val="00372759"/>
    <w:rsid w:val="003728B4"/>
    <w:rsid w:val="00372972"/>
    <w:rsid w:val="003729C1"/>
    <w:rsid w:val="003729E8"/>
    <w:rsid w:val="00372AA3"/>
    <w:rsid w:val="00372AE2"/>
    <w:rsid w:val="00372B84"/>
    <w:rsid w:val="00372C7D"/>
    <w:rsid w:val="00372CC4"/>
    <w:rsid w:val="00372D41"/>
    <w:rsid w:val="00372D48"/>
    <w:rsid w:val="00372D9A"/>
    <w:rsid w:val="00372EC8"/>
    <w:rsid w:val="00372ECA"/>
    <w:rsid w:val="00372FBD"/>
    <w:rsid w:val="0037303E"/>
    <w:rsid w:val="00373054"/>
    <w:rsid w:val="00373117"/>
    <w:rsid w:val="0037312B"/>
    <w:rsid w:val="0037327F"/>
    <w:rsid w:val="003732BC"/>
    <w:rsid w:val="00373330"/>
    <w:rsid w:val="00373357"/>
    <w:rsid w:val="00373807"/>
    <w:rsid w:val="003738E8"/>
    <w:rsid w:val="00373A74"/>
    <w:rsid w:val="00373AD3"/>
    <w:rsid w:val="00373B50"/>
    <w:rsid w:val="00373B71"/>
    <w:rsid w:val="00373B88"/>
    <w:rsid w:val="00373C12"/>
    <w:rsid w:val="00373C53"/>
    <w:rsid w:val="00373C97"/>
    <w:rsid w:val="00373CD3"/>
    <w:rsid w:val="00373E19"/>
    <w:rsid w:val="00373E70"/>
    <w:rsid w:val="00373F80"/>
    <w:rsid w:val="00374227"/>
    <w:rsid w:val="0037429C"/>
    <w:rsid w:val="003743E5"/>
    <w:rsid w:val="003745F9"/>
    <w:rsid w:val="003746FA"/>
    <w:rsid w:val="00374B1F"/>
    <w:rsid w:val="00374B29"/>
    <w:rsid w:val="00374B8A"/>
    <w:rsid w:val="00374C45"/>
    <w:rsid w:val="00374CF4"/>
    <w:rsid w:val="00374D62"/>
    <w:rsid w:val="00374EEB"/>
    <w:rsid w:val="00374F4D"/>
    <w:rsid w:val="00374F99"/>
    <w:rsid w:val="0037505B"/>
    <w:rsid w:val="0037508B"/>
    <w:rsid w:val="003750B5"/>
    <w:rsid w:val="003750EE"/>
    <w:rsid w:val="0037530C"/>
    <w:rsid w:val="003753B8"/>
    <w:rsid w:val="00375424"/>
    <w:rsid w:val="0037596B"/>
    <w:rsid w:val="00375A84"/>
    <w:rsid w:val="00375A8B"/>
    <w:rsid w:val="00375AA0"/>
    <w:rsid w:val="00375AD6"/>
    <w:rsid w:val="00375BE4"/>
    <w:rsid w:val="00375CB2"/>
    <w:rsid w:val="00375CCE"/>
    <w:rsid w:val="00375EE0"/>
    <w:rsid w:val="00376024"/>
    <w:rsid w:val="00376085"/>
    <w:rsid w:val="00376222"/>
    <w:rsid w:val="00376231"/>
    <w:rsid w:val="00376238"/>
    <w:rsid w:val="0037660F"/>
    <w:rsid w:val="00376650"/>
    <w:rsid w:val="00376772"/>
    <w:rsid w:val="003769F4"/>
    <w:rsid w:val="00376A75"/>
    <w:rsid w:val="00376BC0"/>
    <w:rsid w:val="00376C30"/>
    <w:rsid w:val="00376ED6"/>
    <w:rsid w:val="00376F92"/>
    <w:rsid w:val="00377246"/>
    <w:rsid w:val="00377590"/>
    <w:rsid w:val="003777C7"/>
    <w:rsid w:val="003777D6"/>
    <w:rsid w:val="003778DB"/>
    <w:rsid w:val="003779C2"/>
    <w:rsid w:val="00377C63"/>
    <w:rsid w:val="00377FB7"/>
    <w:rsid w:val="0038035A"/>
    <w:rsid w:val="00380425"/>
    <w:rsid w:val="0038050D"/>
    <w:rsid w:val="00380642"/>
    <w:rsid w:val="00380745"/>
    <w:rsid w:val="003807B9"/>
    <w:rsid w:val="003808B6"/>
    <w:rsid w:val="0038090C"/>
    <w:rsid w:val="00380924"/>
    <w:rsid w:val="00380A36"/>
    <w:rsid w:val="00381039"/>
    <w:rsid w:val="00381111"/>
    <w:rsid w:val="0038128E"/>
    <w:rsid w:val="003812EC"/>
    <w:rsid w:val="00381324"/>
    <w:rsid w:val="0038133B"/>
    <w:rsid w:val="0038143E"/>
    <w:rsid w:val="003814A9"/>
    <w:rsid w:val="0038155D"/>
    <w:rsid w:val="00381566"/>
    <w:rsid w:val="00381575"/>
    <w:rsid w:val="00381705"/>
    <w:rsid w:val="00381781"/>
    <w:rsid w:val="003817B4"/>
    <w:rsid w:val="003818B9"/>
    <w:rsid w:val="003818E7"/>
    <w:rsid w:val="003819BB"/>
    <w:rsid w:val="003819D4"/>
    <w:rsid w:val="00381A08"/>
    <w:rsid w:val="00381A4C"/>
    <w:rsid w:val="00381A72"/>
    <w:rsid w:val="00381B55"/>
    <w:rsid w:val="00381C2B"/>
    <w:rsid w:val="00381DB5"/>
    <w:rsid w:val="00381DC4"/>
    <w:rsid w:val="00381E9B"/>
    <w:rsid w:val="00381F63"/>
    <w:rsid w:val="00381F84"/>
    <w:rsid w:val="00382019"/>
    <w:rsid w:val="00382029"/>
    <w:rsid w:val="003820D7"/>
    <w:rsid w:val="003820D8"/>
    <w:rsid w:val="003820DB"/>
    <w:rsid w:val="00382100"/>
    <w:rsid w:val="0038211D"/>
    <w:rsid w:val="00382231"/>
    <w:rsid w:val="0038246F"/>
    <w:rsid w:val="00382520"/>
    <w:rsid w:val="003825A7"/>
    <w:rsid w:val="003825D1"/>
    <w:rsid w:val="0038263A"/>
    <w:rsid w:val="00382765"/>
    <w:rsid w:val="00382878"/>
    <w:rsid w:val="003829AF"/>
    <w:rsid w:val="00382B48"/>
    <w:rsid w:val="00382B5C"/>
    <w:rsid w:val="00382B6A"/>
    <w:rsid w:val="00382EEC"/>
    <w:rsid w:val="00382F98"/>
    <w:rsid w:val="0038307E"/>
    <w:rsid w:val="003830BF"/>
    <w:rsid w:val="003830C0"/>
    <w:rsid w:val="00383211"/>
    <w:rsid w:val="003832A1"/>
    <w:rsid w:val="003832EF"/>
    <w:rsid w:val="003833FC"/>
    <w:rsid w:val="0038347A"/>
    <w:rsid w:val="00383486"/>
    <w:rsid w:val="0038366D"/>
    <w:rsid w:val="0038369A"/>
    <w:rsid w:val="003836BE"/>
    <w:rsid w:val="0038374D"/>
    <w:rsid w:val="00383856"/>
    <w:rsid w:val="003838EF"/>
    <w:rsid w:val="00383A4B"/>
    <w:rsid w:val="00383B24"/>
    <w:rsid w:val="00383BE8"/>
    <w:rsid w:val="00383EE4"/>
    <w:rsid w:val="00384016"/>
    <w:rsid w:val="00384020"/>
    <w:rsid w:val="003840E7"/>
    <w:rsid w:val="003840FF"/>
    <w:rsid w:val="0038423B"/>
    <w:rsid w:val="0038424F"/>
    <w:rsid w:val="00384489"/>
    <w:rsid w:val="00384510"/>
    <w:rsid w:val="00384676"/>
    <w:rsid w:val="0038474F"/>
    <w:rsid w:val="0038483D"/>
    <w:rsid w:val="00384882"/>
    <w:rsid w:val="00384AA2"/>
    <w:rsid w:val="00384C3A"/>
    <w:rsid w:val="00384D7D"/>
    <w:rsid w:val="00384E41"/>
    <w:rsid w:val="00384EAD"/>
    <w:rsid w:val="00384F4A"/>
    <w:rsid w:val="00385199"/>
    <w:rsid w:val="003851F8"/>
    <w:rsid w:val="003853B3"/>
    <w:rsid w:val="00385478"/>
    <w:rsid w:val="00385488"/>
    <w:rsid w:val="0038550A"/>
    <w:rsid w:val="00385635"/>
    <w:rsid w:val="003856D7"/>
    <w:rsid w:val="003856FD"/>
    <w:rsid w:val="00385707"/>
    <w:rsid w:val="003857C4"/>
    <w:rsid w:val="00385C42"/>
    <w:rsid w:val="00385EED"/>
    <w:rsid w:val="00386097"/>
    <w:rsid w:val="00386251"/>
    <w:rsid w:val="00386455"/>
    <w:rsid w:val="00386845"/>
    <w:rsid w:val="003868D8"/>
    <w:rsid w:val="003869A5"/>
    <w:rsid w:val="00386B00"/>
    <w:rsid w:val="00386B07"/>
    <w:rsid w:val="00386CCF"/>
    <w:rsid w:val="00386EB5"/>
    <w:rsid w:val="00386FB3"/>
    <w:rsid w:val="003870D3"/>
    <w:rsid w:val="00387117"/>
    <w:rsid w:val="00387144"/>
    <w:rsid w:val="003872C0"/>
    <w:rsid w:val="003874D6"/>
    <w:rsid w:val="003874FC"/>
    <w:rsid w:val="00387744"/>
    <w:rsid w:val="003877A0"/>
    <w:rsid w:val="0038787A"/>
    <w:rsid w:val="00387A69"/>
    <w:rsid w:val="00387BF2"/>
    <w:rsid w:val="00387CF8"/>
    <w:rsid w:val="00387D6B"/>
    <w:rsid w:val="00387E2D"/>
    <w:rsid w:val="00387EE6"/>
    <w:rsid w:val="00390189"/>
    <w:rsid w:val="0039021C"/>
    <w:rsid w:val="0039057B"/>
    <w:rsid w:val="003905AF"/>
    <w:rsid w:val="003906A2"/>
    <w:rsid w:val="003907B3"/>
    <w:rsid w:val="00390857"/>
    <w:rsid w:val="00390963"/>
    <w:rsid w:val="003909C9"/>
    <w:rsid w:val="00390B90"/>
    <w:rsid w:val="00390CBA"/>
    <w:rsid w:val="00390D78"/>
    <w:rsid w:val="00390D99"/>
    <w:rsid w:val="00390DA4"/>
    <w:rsid w:val="00390DF7"/>
    <w:rsid w:val="003912FA"/>
    <w:rsid w:val="003915E5"/>
    <w:rsid w:val="0039172B"/>
    <w:rsid w:val="003917BF"/>
    <w:rsid w:val="00391977"/>
    <w:rsid w:val="00391A86"/>
    <w:rsid w:val="00391A8A"/>
    <w:rsid w:val="00391AAB"/>
    <w:rsid w:val="00391B12"/>
    <w:rsid w:val="00391B52"/>
    <w:rsid w:val="00391C49"/>
    <w:rsid w:val="00391D39"/>
    <w:rsid w:val="00391D4E"/>
    <w:rsid w:val="00391EFC"/>
    <w:rsid w:val="0039217B"/>
    <w:rsid w:val="003921DE"/>
    <w:rsid w:val="00392269"/>
    <w:rsid w:val="0039228D"/>
    <w:rsid w:val="00392435"/>
    <w:rsid w:val="0039255F"/>
    <w:rsid w:val="003925EE"/>
    <w:rsid w:val="003926A2"/>
    <w:rsid w:val="003926CD"/>
    <w:rsid w:val="00392758"/>
    <w:rsid w:val="00392825"/>
    <w:rsid w:val="00392953"/>
    <w:rsid w:val="003929B6"/>
    <w:rsid w:val="003929E3"/>
    <w:rsid w:val="00392A1C"/>
    <w:rsid w:val="00392A77"/>
    <w:rsid w:val="00392AB1"/>
    <w:rsid w:val="00392B9B"/>
    <w:rsid w:val="00392BFD"/>
    <w:rsid w:val="00392C15"/>
    <w:rsid w:val="00392C8E"/>
    <w:rsid w:val="00392DEA"/>
    <w:rsid w:val="00392DF2"/>
    <w:rsid w:val="00392F4D"/>
    <w:rsid w:val="00393022"/>
    <w:rsid w:val="003930BC"/>
    <w:rsid w:val="003930C9"/>
    <w:rsid w:val="003933AF"/>
    <w:rsid w:val="0039381A"/>
    <w:rsid w:val="00393942"/>
    <w:rsid w:val="00393FD7"/>
    <w:rsid w:val="00394030"/>
    <w:rsid w:val="0039424D"/>
    <w:rsid w:val="00394299"/>
    <w:rsid w:val="003942B9"/>
    <w:rsid w:val="003942D0"/>
    <w:rsid w:val="00394463"/>
    <w:rsid w:val="00394480"/>
    <w:rsid w:val="003945CB"/>
    <w:rsid w:val="00394736"/>
    <w:rsid w:val="003949A2"/>
    <w:rsid w:val="00394A76"/>
    <w:rsid w:val="00394A96"/>
    <w:rsid w:val="00394AFD"/>
    <w:rsid w:val="00394B9A"/>
    <w:rsid w:val="00394CBF"/>
    <w:rsid w:val="00394D4F"/>
    <w:rsid w:val="00394E60"/>
    <w:rsid w:val="00394ED3"/>
    <w:rsid w:val="00394F14"/>
    <w:rsid w:val="00394FF4"/>
    <w:rsid w:val="0039504B"/>
    <w:rsid w:val="0039521A"/>
    <w:rsid w:val="00395236"/>
    <w:rsid w:val="003953CB"/>
    <w:rsid w:val="00395424"/>
    <w:rsid w:val="00395513"/>
    <w:rsid w:val="0039564E"/>
    <w:rsid w:val="0039567C"/>
    <w:rsid w:val="003956B9"/>
    <w:rsid w:val="00395748"/>
    <w:rsid w:val="003957EC"/>
    <w:rsid w:val="003958FC"/>
    <w:rsid w:val="00395DFC"/>
    <w:rsid w:val="00395F09"/>
    <w:rsid w:val="0039623A"/>
    <w:rsid w:val="00396462"/>
    <w:rsid w:val="003964AF"/>
    <w:rsid w:val="00396571"/>
    <w:rsid w:val="0039659A"/>
    <w:rsid w:val="003967D4"/>
    <w:rsid w:val="0039680E"/>
    <w:rsid w:val="00397039"/>
    <w:rsid w:val="0039708A"/>
    <w:rsid w:val="00397333"/>
    <w:rsid w:val="003974EA"/>
    <w:rsid w:val="0039758D"/>
    <w:rsid w:val="0039777E"/>
    <w:rsid w:val="003977B0"/>
    <w:rsid w:val="003977D6"/>
    <w:rsid w:val="00397929"/>
    <w:rsid w:val="00397B35"/>
    <w:rsid w:val="00397B9B"/>
    <w:rsid w:val="00397BA4"/>
    <w:rsid w:val="00397C97"/>
    <w:rsid w:val="00397CFA"/>
    <w:rsid w:val="00397D71"/>
    <w:rsid w:val="00397D9C"/>
    <w:rsid w:val="003A0087"/>
    <w:rsid w:val="003A0200"/>
    <w:rsid w:val="003A022A"/>
    <w:rsid w:val="003A03FE"/>
    <w:rsid w:val="003A0558"/>
    <w:rsid w:val="003A07B0"/>
    <w:rsid w:val="003A07B5"/>
    <w:rsid w:val="003A084B"/>
    <w:rsid w:val="003A08BB"/>
    <w:rsid w:val="003A08FF"/>
    <w:rsid w:val="003A096C"/>
    <w:rsid w:val="003A0AFA"/>
    <w:rsid w:val="003A0C47"/>
    <w:rsid w:val="003A0D6F"/>
    <w:rsid w:val="003A0EFF"/>
    <w:rsid w:val="003A0F2D"/>
    <w:rsid w:val="003A0F50"/>
    <w:rsid w:val="003A0F8B"/>
    <w:rsid w:val="003A1173"/>
    <w:rsid w:val="003A11DD"/>
    <w:rsid w:val="003A11F4"/>
    <w:rsid w:val="003A12B1"/>
    <w:rsid w:val="003A12CE"/>
    <w:rsid w:val="003A1339"/>
    <w:rsid w:val="003A13B9"/>
    <w:rsid w:val="003A13D4"/>
    <w:rsid w:val="003A143B"/>
    <w:rsid w:val="003A1467"/>
    <w:rsid w:val="003A1482"/>
    <w:rsid w:val="003A1519"/>
    <w:rsid w:val="003A1633"/>
    <w:rsid w:val="003A1639"/>
    <w:rsid w:val="003A1674"/>
    <w:rsid w:val="003A182B"/>
    <w:rsid w:val="003A1958"/>
    <w:rsid w:val="003A1A0F"/>
    <w:rsid w:val="003A2097"/>
    <w:rsid w:val="003A217B"/>
    <w:rsid w:val="003A218C"/>
    <w:rsid w:val="003A219D"/>
    <w:rsid w:val="003A2217"/>
    <w:rsid w:val="003A2298"/>
    <w:rsid w:val="003A25F9"/>
    <w:rsid w:val="003A273C"/>
    <w:rsid w:val="003A27D1"/>
    <w:rsid w:val="003A2A81"/>
    <w:rsid w:val="003A2B23"/>
    <w:rsid w:val="003A2D1A"/>
    <w:rsid w:val="003A2D6D"/>
    <w:rsid w:val="003A2DA1"/>
    <w:rsid w:val="003A2E55"/>
    <w:rsid w:val="003A2FBD"/>
    <w:rsid w:val="003A305E"/>
    <w:rsid w:val="003A30A7"/>
    <w:rsid w:val="003A30DF"/>
    <w:rsid w:val="003A322F"/>
    <w:rsid w:val="003A3269"/>
    <w:rsid w:val="003A32EE"/>
    <w:rsid w:val="003A3315"/>
    <w:rsid w:val="003A335D"/>
    <w:rsid w:val="003A3593"/>
    <w:rsid w:val="003A3660"/>
    <w:rsid w:val="003A3725"/>
    <w:rsid w:val="003A37DB"/>
    <w:rsid w:val="003A3857"/>
    <w:rsid w:val="003A3AF3"/>
    <w:rsid w:val="003A3D24"/>
    <w:rsid w:val="003A3D74"/>
    <w:rsid w:val="003A3DB3"/>
    <w:rsid w:val="003A3ED5"/>
    <w:rsid w:val="003A3F32"/>
    <w:rsid w:val="003A4004"/>
    <w:rsid w:val="003A4102"/>
    <w:rsid w:val="003A42E9"/>
    <w:rsid w:val="003A42F3"/>
    <w:rsid w:val="003A4312"/>
    <w:rsid w:val="003A4351"/>
    <w:rsid w:val="003A4378"/>
    <w:rsid w:val="003A43F3"/>
    <w:rsid w:val="003A47BC"/>
    <w:rsid w:val="003A4835"/>
    <w:rsid w:val="003A4850"/>
    <w:rsid w:val="003A48C7"/>
    <w:rsid w:val="003A48FB"/>
    <w:rsid w:val="003A4A1D"/>
    <w:rsid w:val="003A4B96"/>
    <w:rsid w:val="003A4BF3"/>
    <w:rsid w:val="003A4D50"/>
    <w:rsid w:val="003A4D7F"/>
    <w:rsid w:val="003A5052"/>
    <w:rsid w:val="003A5172"/>
    <w:rsid w:val="003A51D4"/>
    <w:rsid w:val="003A5289"/>
    <w:rsid w:val="003A5501"/>
    <w:rsid w:val="003A55D5"/>
    <w:rsid w:val="003A55DF"/>
    <w:rsid w:val="003A56D0"/>
    <w:rsid w:val="003A5769"/>
    <w:rsid w:val="003A5798"/>
    <w:rsid w:val="003A57E5"/>
    <w:rsid w:val="003A58CC"/>
    <w:rsid w:val="003A58F6"/>
    <w:rsid w:val="003A5AD3"/>
    <w:rsid w:val="003A5BCC"/>
    <w:rsid w:val="003A5BD1"/>
    <w:rsid w:val="003A5C0D"/>
    <w:rsid w:val="003A5C21"/>
    <w:rsid w:val="003A5CDD"/>
    <w:rsid w:val="003A5CE1"/>
    <w:rsid w:val="003A5D07"/>
    <w:rsid w:val="003A6116"/>
    <w:rsid w:val="003A6202"/>
    <w:rsid w:val="003A625A"/>
    <w:rsid w:val="003A6370"/>
    <w:rsid w:val="003A6526"/>
    <w:rsid w:val="003A6618"/>
    <w:rsid w:val="003A6653"/>
    <w:rsid w:val="003A677E"/>
    <w:rsid w:val="003A687F"/>
    <w:rsid w:val="003A68CD"/>
    <w:rsid w:val="003A696F"/>
    <w:rsid w:val="003A69A1"/>
    <w:rsid w:val="003A69EB"/>
    <w:rsid w:val="003A6A17"/>
    <w:rsid w:val="003A6D0A"/>
    <w:rsid w:val="003A6D92"/>
    <w:rsid w:val="003A6DF4"/>
    <w:rsid w:val="003A6E0D"/>
    <w:rsid w:val="003A6E0F"/>
    <w:rsid w:val="003A734F"/>
    <w:rsid w:val="003A73FF"/>
    <w:rsid w:val="003A7434"/>
    <w:rsid w:val="003A74EB"/>
    <w:rsid w:val="003A7512"/>
    <w:rsid w:val="003A75CF"/>
    <w:rsid w:val="003A7782"/>
    <w:rsid w:val="003A7F05"/>
    <w:rsid w:val="003B003E"/>
    <w:rsid w:val="003B0175"/>
    <w:rsid w:val="003B0357"/>
    <w:rsid w:val="003B039D"/>
    <w:rsid w:val="003B03CF"/>
    <w:rsid w:val="003B045C"/>
    <w:rsid w:val="003B0501"/>
    <w:rsid w:val="003B061B"/>
    <w:rsid w:val="003B0635"/>
    <w:rsid w:val="003B075A"/>
    <w:rsid w:val="003B088E"/>
    <w:rsid w:val="003B0A8A"/>
    <w:rsid w:val="003B0AB1"/>
    <w:rsid w:val="003B0C75"/>
    <w:rsid w:val="003B0CAE"/>
    <w:rsid w:val="003B0CDE"/>
    <w:rsid w:val="003B0CFB"/>
    <w:rsid w:val="003B0D94"/>
    <w:rsid w:val="003B1183"/>
    <w:rsid w:val="003B1223"/>
    <w:rsid w:val="003B1282"/>
    <w:rsid w:val="003B1320"/>
    <w:rsid w:val="003B1419"/>
    <w:rsid w:val="003B148B"/>
    <w:rsid w:val="003B14C5"/>
    <w:rsid w:val="003B151E"/>
    <w:rsid w:val="003B18AC"/>
    <w:rsid w:val="003B18E1"/>
    <w:rsid w:val="003B196E"/>
    <w:rsid w:val="003B1A73"/>
    <w:rsid w:val="003B1BC7"/>
    <w:rsid w:val="003B1D6B"/>
    <w:rsid w:val="003B1F2E"/>
    <w:rsid w:val="003B1FF2"/>
    <w:rsid w:val="003B2001"/>
    <w:rsid w:val="003B2021"/>
    <w:rsid w:val="003B206A"/>
    <w:rsid w:val="003B2083"/>
    <w:rsid w:val="003B222D"/>
    <w:rsid w:val="003B2384"/>
    <w:rsid w:val="003B23F0"/>
    <w:rsid w:val="003B24ED"/>
    <w:rsid w:val="003B25CF"/>
    <w:rsid w:val="003B2634"/>
    <w:rsid w:val="003B2667"/>
    <w:rsid w:val="003B26A3"/>
    <w:rsid w:val="003B274C"/>
    <w:rsid w:val="003B279F"/>
    <w:rsid w:val="003B27C2"/>
    <w:rsid w:val="003B27CB"/>
    <w:rsid w:val="003B2856"/>
    <w:rsid w:val="003B293A"/>
    <w:rsid w:val="003B2EEC"/>
    <w:rsid w:val="003B2F46"/>
    <w:rsid w:val="003B2FFC"/>
    <w:rsid w:val="003B310D"/>
    <w:rsid w:val="003B3121"/>
    <w:rsid w:val="003B3175"/>
    <w:rsid w:val="003B32A3"/>
    <w:rsid w:val="003B32BD"/>
    <w:rsid w:val="003B358A"/>
    <w:rsid w:val="003B377E"/>
    <w:rsid w:val="003B38A0"/>
    <w:rsid w:val="003B39FA"/>
    <w:rsid w:val="003B3A25"/>
    <w:rsid w:val="003B3A36"/>
    <w:rsid w:val="003B3BCD"/>
    <w:rsid w:val="003B3C80"/>
    <w:rsid w:val="003B3CA9"/>
    <w:rsid w:val="003B3D86"/>
    <w:rsid w:val="003B3DEB"/>
    <w:rsid w:val="003B3F1C"/>
    <w:rsid w:val="003B3F8E"/>
    <w:rsid w:val="003B3F98"/>
    <w:rsid w:val="003B40B0"/>
    <w:rsid w:val="003B415B"/>
    <w:rsid w:val="003B41BD"/>
    <w:rsid w:val="003B420D"/>
    <w:rsid w:val="003B4237"/>
    <w:rsid w:val="003B427B"/>
    <w:rsid w:val="003B4392"/>
    <w:rsid w:val="003B44C0"/>
    <w:rsid w:val="003B4590"/>
    <w:rsid w:val="003B4893"/>
    <w:rsid w:val="003B4901"/>
    <w:rsid w:val="003B49A0"/>
    <w:rsid w:val="003B4C9B"/>
    <w:rsid w:val="003B4E45"/>
    <w:rsid w:val="003B4EC2"/>
    <w:rsid w:val="003B5047"/>
    <w:rsid w:val="003B50FF"/>
    <w:rsid w:val="003B51AF"/>
    <w:rsid w:val="003B51CB"/>
    <w:rsid w:val="003B523D"/>
    <w:rsid w:val="003B5338"/>
    <w:rsid w:val="003B53AC"/>
    <w:rsid w:val="003B541D"/>
    <w:rsid w:val="003B5567"/>
    <w:rsid w:val="003B5790"/>
    <w:rsid w:val="003B58EE"/>
    <w:rsid w:val="003B59D2"/>
    <w:rsid w:val="003B5C3D"/>
    <w:rsid w:val="003B5F3A"/>
    <w:rsid w:val="003B5FF5"/>
    <w:rsid w:val="003B61CD"/>
    <w:rsid w:val="003B61E2"/>
    <w:rsid w:val="003B621C"/>
    <w:rsid w:val="003B6279"/>
    <w:rsid w:val="003B63AA"/>
    <w:rsid w:val="003B63F0"/>
    <w:rsid w:val="003B6447"/>
    <w:rsid w:val="003B668B"/>
    <w:rsid w:val="003B6999"/>
    <w:rsid w:val="003B69B3"/>
    <w:rsid w:val="003B69F3"/>
    <w:rsid w:val="003B6BB5"/>
    <w:rsid w:val="003B6C90"/>
    <w:rsid w:val="003B6E01"/>
    <w:rsid w:val="003B6FD8"/>
    <w:rsid w:val="003B7184"/>
    <w:rsid w:val="003B72E2"/>
    <w:rsid w:val="003B73E7"/>
    <w:rsid w:val="003B745A"/>
    <w:rsid w:val="003B7962"/>
    <w:rsid w:val="003B7B00"/>
    <w:rsid w:val="003B7B67"/>
    <w:rsid w:val="003B7BA2"/>
    <w:rsid w:val="003B7D78"/>
    <w:rsid w:val="003B7EFD"/>
    <w:rsid w:val="003C007A"/>
    <w:rsid w:val="003C034B"/>
    <w:rsid w:val="003C0438"/>
    <w:rsid w:val="003C045E"/>
    <w:rsid w:val="003C05AB"/>
    <w:rsid w:val="003C0658"/>
    <w:rsid w:val="003C06D9"/>
    <w:rsid w:val="003C075B"/>
    <w:rsid w:val="003C0807"/>
    <w:rsid w:val="003C09CA"/>
    <w:rsid w:val="003C0A4D"/>
    <w:rsid w:val="003C0B46"/>
    <w:rsid w:val="003C0B59"/>
    <w:rsid w:val="003C0CE6"/>
    <w:rsid w:val="003C0CEB"/>
    <w:rsid w:val="003C0D0A"/>
    <w:rsid w:val="003C0F49"/>
    <w:rsid w:val="003C0FC1"/>
    <w:rsid w:val="003C1147"/>
    <w:rsid w:val="003C1342"/>
    <w:rsid w:val="003C1450"/>
    <w:rsid w:val="003C1488"/>
    <w:rsid w:val="003C1499"/>
    <w:rsid w:val="003C1548"/>
    <w:rsid w:val="003C16E4"/>
    <w:rsid w:val="003C17F8"/>
    <w:rsid w:val="003C185E"/>
    <w:rsid w:val="003C194F"/>
    <w:rsid w:val="003C1A26"/>
    <w:rsid w:val="003C1B71"/>
    <w:rsid w:val="003C1C3E"/>
    <w:rsid w:val="003C1C53"/>
    <w:rsid w:val="003C1C62"/>
    <w:rsid w:val="003C1CCC"/>
    <w:rsid w:val="003C1D00"/>
    <w:rsid w:val="003C1F0F"/>
    <w:rsid w:val="003C1F4C"/>
    <w:rsid w:val="003C1FAD"/>
    <w:rsid w:val="003C1FF6"/>
    <w:rsid w:val="003C2053"/>
    <w:rsid w:val="003C22FA"/>
    <w:rsid w:val="003C236E"/>
    <w:rsid w:val="003C23E5"/>
    <w:rsid w:val="003C2735"/>
    <w:rsid w:val="003C2959"/>
    <w:rsid w:val="003C2A04"/>
    <w:rsid w:val="003C2AFB"/>
    <w:rsid w:val="003C2C71"/>
    <w:rsid w:val="003C2DD3"/>
    <w:rsid w:val="003C2F8D"/>
    <w:rsid w:val="003C30E3"/>
    <w:rsid w:val="003C329F"/>
    <w:rsid w:val="003C32EE"/>
    <w:rsid w:val="003C33F7"/>
    <w:rsid w:val="003C35A5"/>
    <w:rsid w:val="003C35B1"/>
    <w:rsid w:val="003C35EA"/>
    <w:rsid w:val="003C361F"/>
    <w:rsid w:val="003C3655"/>
    <w:rsid w:val="003C3692"/>
    <w:rsid w:val="003C36D5"/>
    <w:rsid w:val="003C384C"/>
    <w:rsid w:val="003C389E"/>
    <w:rsid w:val="003C3B79"/>
    <w:rsid w:val="003C3BA7"/>
    <w:rsid w:val="003C3C4C"/>
    <w:rsid w:val="003C3CE5"/>
    <w:rsid w:val="003C3DBC"/>
    <w:rsid w:val="003C3E90"/>
    <w:rsid w:val="003C3ED6"/>
    <w:rsid w:val="003C3F8E"/>
    <w:rsid w:val="003C400C"/>
    <w:rsid w:val="003C4048"/>
    <w:rsid w:val="003C41E6"/>
    <w:rsid w:val="003C41F7"/>
    <w:rsid w:val="003C4269"/>
    <w:rsid w:val="003C441E"/>
    <w:rsid w:val="003C4524"/>
    <w:rsid w:val="003C4612"/>
    <w:rsid w:val="003C4647"/>
    <w:rsid w:val="003C47A0"/>
    <w:rsid w:val="003C49BE"/>
    <w:rsid w:val="003C49F7"/>
    <w:rsid w:val="003C4A70"/>
    <w:rsid w:val="003C4AEE"/>
    <w:rsid w:val="003C4C5C"/>
    <w:rsid w:val="003C4DFB"/>
    <w:rsid w:val="003C4F67"/>
    <w:rsid w:val="003C51C9"/>
    <w:rsid w:val="003C5247"/>
    <w:rsid w:val="003C5285"/>
    <w:rsid w:val="003C534D"/>
    <w:rsid w:val="003C5453"/>
    <w:rsid w:val="003C54F3"/>
    <w:rsid w:val="003C55FF"/>
    <w:rsid w:val="003C56C2"/>
    <w:rsid w:val="003C5734"/>
    <w:rsid w:val="003C576F"/>
    <w:rsid w:val="003C5836"/>
    <w:rsid w:val="003C5896"/>
    <w:rsid w:val="003C5BC7"/>
    <w:rsid w:val="003C5BD4"/>
    <w:rsid w:val="003C5C92"/>
    <w:rsid w:val="003C5D0A"/>
    <w:rsid w:val="003C5D7D"/>
    <w:rsid w:val="003C5E99"/>
    <w:rsid w:val="003C5E9B"/>
    <w:rsid w:val="003C5EA2"/>
    <w:rsid w:val="003C6044"/>
    <w:rsid w:val="003C619C"/>
    <w:rsid w:val="003C6219"/>
    <w:rsid w:val="003C6240"/>
    <w:rsid w:val="003C6265"/>
    <w:rsid w:val="003C6311"/>
    <w:rsid w:val="003C63C6"/>
    <w:rsid w:val="003C63E2"/>
    <w:rsid w:val="003C66AB"/>
    <w:rsid w:val="003C6877"/>
    <w:rsid w:val="003C688A"/>
    <w:rsid w:val="003C6C16"/>
    <w:rsid w:val="003C6C26"/>
    <w:rsid w:val="003C6C4D"/>
    <w:rsid w:val="003C6D74"/>
    <w:rsid w:val="003C6DBE"/>
    <w:rsid w:val="003C6DE6"/>
    <w:rsid w:val="003C6F5E"/>
    <w:rsid w:val="003C6F72"/>
    <w:rsid w:val="003C701E"/>
    <w:rsid w:val="003C703F"/>
    <w:rsid w:val="003C715A"/>
    <w:rsid w:val="003C7337"/>
    <w:rsid w:val="003C7340"/>
    <w:rsid w:val="003C73AC"/>
    <w:rsid w:val="003C7472"/>
    <w:rsid w:val="003C7529"/>
    <w:rsid w:val="003C75A8"/>
    <w:rsid w:val="003C76CF"/>
    <w:rsid w:val="003C7702"/>
    <w:rsid w:val="003C7761"/>
    <w:rsid w:val="003C77E6"/>
    <w:rsid w:val="003C790A"/>
    <w:rsid w:val="003C79B9"/>
    <w:rsid w:val="003C7A1C"/>
    <w:rsid w:val="003C7A22"/>
    <w:rsid w:val="003C7A51"/>
    <w:rsid w:val="003C7B6C"/>
    <w:rsid w:val="003C7C53"/>
    <w:rsid w:val="003C7EA4"/>
    <w:rsid w:val="003C7EAD"/>
    <w:rsid w:val="003D00CE"/>
    <w:rsid w:val="003D0190"/>
    <w:rsid w:val="003D0212"/>
    <w:rsid w:val="003D03D6"/>
    <w:rsid w:val="003D04C4"/>
    <w:rsid w:val="003D04E2"/>
    <w:rsid w:val="003D053F"/>
    <w:rsid w:val="003D0544"/>
    <w:rsid w:val="003D0550"/>
    <w:rsid w:val="003D0553"/>
    <w:rsid w:val="003D05AB"/>
    <w:rsid w:val="003D065E"/>
    <w:rsid w:val="003D06C6"/>
    <w:rsid w:val="003D06CC"/>
    <w:rsid w:val="003D0733"/>
    <w:rsid w:val="003D083A"/>
    <w:rsid w:val="003D091F"/>
    <w:rsid w:val="003D096C"/>
    <w:rsid w:val="003D09C7"/>
    <w:rsid w:val="003D0A79"/>
    <w:rsid w:val="003D0C52"/>
    <w:rsid w:val="003D0CF2"/>
    <w:rsid w:val="003D0DB7"/>
    <w:rsid w:val="003D0E1A"/>
    <w:rsid w:val="003D0FE0"/>
    <w:rsid w:val="003D10BC"/>
    <w:rsid w:val="003D115B"/>
    <w:rsid w:val="003D1464"/>
    <w:rsid w:val="003D15E2"/>
    <w:rsid w:val="003D1601"/>
    <w:rsid w:val="003D1695"/>
    <w:rsid w:val="003D18DD"/>
    <w:rsid w:val="003D1A23"/>
    <w:rsid w:val="003D1C50"/>
    <w:rsid w:val="003D1C6F"/>
    <w:rsid w:val="003D1C8D"/>
    <w:rsid w:val="003D1D3B"/>
    <w:rsid w:val="003D1DD5"/>
    <w:rsid w:val="003D1EE1"/>
    <w:rsid w:val="003D1FA5"/>
    <w:rsid w:val="003D2097"/>
    <w:rsid w:val="003D2173"/>
    <w:rsid w:val="003D21EE"/>
    <w:rsid w:val="003D2210"/>
    <w:rsid w:val="003D22CD"/>
    <w:rsid w:val="003D23AC"/>
    <w:rsid w:val="003D23AD"/>
    <w:rsid w:val="003D2405"/>
    <w:rsid w:val="003D2589"/>
    <w:rsid w:val="003D2663"/>
    <w:rsid w:val="003D2725"/>
    <w:rsid w:val="003D27EE"/>
    <w:rsid w:val="003D27EF"/>
    <w:rsid w:val="003D2B0A"/>
    <w:rsid w:val="003D2D78"/>
    <w:rsid w:val="003D2D95"/>
    <w:rsid w:val="003D312E"/>
    <w:rsid w:val="003D3278"/>
    <w:rsid w:val="003D3401"/>
    <w:rsid w:val="003D34C2"/>
    <w:rsid w:val="003D35CE"/>
    <w:rsid w:val="003D3712"/>
    <w:rsid w:val="003D3769"/>
    <w:rsid w:val="003D3922"/>
    <w:rsid w:val="003D3924"/>
    <w:rsid w:val="003D399D"/>
    <w:rsid w:val="003D3A62"/>
    <w:rsid w:val="003D3B9A"/>
    <w:rsid w:val="003D3C39"/>
    <w:rsid w:val="003D3D6A"/>
    <w:rsid w:val="003D3D87"/>
    <w:rsid w:val="003D3DD1"/>
    <w:rsid w:val="003D3E2B"/>
    <w:rsid w:val="003D3E41"/>
    <w:rsid w:val="003D3F4B"/>
    <w:rsid w:val="003D4026"/>
    <w:rsid w:val="003D4108"/>
    <w:rsid w:val="003D412A"/>
    <w:rsid w:val="003D41D9"/>
    <w:rsid w:val="003D4251"/>
    <w:rsid w:val="003D44C9"/>
    <w:rsid w:val="003D44E4"/>
    <w:rsid w:val="003D4552"/>
    <w:rsid w:val="003D4554"/>
    <w:rsid w:val="003D45EA"/>
    <w:rsid w:val="003D466F"/>
    <w:rsid w:val="003D46AE"/>
    <w:rsid w:val="003D4735"/>
    <w:rsid w:val="003D4AC1"/>
    <w:rsid w:val="003D4B44"/>
    <w:rsid w:val="003D4D08"/>
    <w:rsid w:val="003D4DDC"/>
    <w:rsid w:val="003D4E79"/>
    <w:rsid w:val="003D4F45"/>
    <w:rsid w:val="003D500E"/>
    <w:rsid w:val="003D5030"/>
    <w:rsid w:val="003D50AD"/>
    <w:rsid w:val="003D5111"/>
    <w:rsid w:val="003D53AC"/>
    <w:rsid w:val="003D5401"/>
    <w:rsid w:val="003D54B3"/>
    <w:rsid w:val="003D54FB"/>
    <w:rsid w:val="003D555E"/>
    <w:rsid w:val="003D557C"/>
    <w:rsid w:val="003D55A6"/>
    <w:rsid w:val="003D566F"/>
    <w:rsid w:val="003D5674"/>
    <w:rsid w:val="003D5750"/>
    <w:rsid w:val="003D57DA"/>
    <w:rsid w:val="003D59D0"/>
    <w:rsid w:val="003D5C6B"/>
    <w:rsid w:val="003D5DAB"/>
    <w:rsid w:val="003D5EE0"/>
    <w:rsid w:val="003D5FD3"/>
    <w:rsid w:val="003D6044"/>
    <w:rsid w:val="003D6059"/>
    <w:rsid w:val="003D6079"/>
    <w:rsid w:val="003D60B5"/>
    <w:rsid w:val="003D60EE"/>
    <w:rsid w:val="003D6105"/>
    <w:rsid w:val="003D6222"/>
    <w:rsid w:val="003D6240"/>
    <w:rsid w:val="003D624B"/>
    <w:rsid w:val="003D62AE"/>
    <w:rsid w:val="003D6594"/>
    <w:rsid w:val="003D6625"/>
    <w:rsid w:val="003D66D4"/>
    <w:rsid w:val="003D6734"/>
    <w:rsid w:val="003D6778"/>
    <w:rsid w:val="003D68CB"/>
    <w:rsid w:val="003D6912"/>
    <w:rsid w:val="003D69FE"/>
    <w:rsid w:val="003D6AC7"/>
    <w:rsid w:val="003D6BEE"/>
    <w:rsid w:val="003D6C16"/>
    <w:rsid w:val="003D6E15"/>
    <w:rsid w:val="003D6EC0"/>
    <w:rsid w:val="003D6F2E"/>
    <w:rsid w:val="003D6F8B"/>
    <w:rsid w:val="003D7056"/>
    <w:rsid w:val="003D706E"/>
    <w:rsid w:val="003D728C"/>
    <w:rsid w:val="003D7522"/>
    <w:rsid w:val="003D7756"/>
    <w:rsid w:val="003D789B"/>
    <w:rsid w:val="003D794D"/>
    <w:rsid w:val="003D796A"/>
    <w:rsid w:val="003D7B22"/>
    <w:rsid w:val="003D7B49"/>
    <w:rsid w:val="003D7B4B"/>
    <w:rsid w:val="003D7B54"/>
    <w:rsid w:val="003D7BA2"/>
    <w:rsid w:val="003D7C5A"/>
    <w:rsid w:val="003D7D3D"/>
    <w:rsid w:val="003D7D48"/>
    <w:rsid w:val="003D7D72"/>
    <w:rsid w:val="003D7EBB"/>
    <w:rsid w:val="003E002E"/>
    <w:rsid w:val="003E01E5"/>
    <w:rsid w:val="003E0349"/>
    <w:rsid w:val="003E04BC"/>
    <w:rsid w:val="003E059D"/>
    <w:rsid w:val="003E05E4"/>
    <w:rsid w:val="003E073A"/>
    <w:rsid w:val="003E09BD"/>
    <w:rsid w:val="003E0A02"/>
    <w:rsid w:val="003E0A54"/>
    <w:rsid w:val="003E0B53"/>
    <w:rsid w:val="003E0C66"/>
    <w:rsid w:val="003E1004"/>
    <w:rsid w:val="003E10C1"/>
    <w:rsid w:val="003E127E"/>
    <w:rsid w:val="003E1280"/>
    <w:rsid w:val="003E1324"/>
    <w:rsid w:val="003E14DE"/>
    <w:rsid w:val="003E15D5"/>
    <w:rsid w:val="003E15F8"/>
    <w:rsid w:val="003E17D9"/>
    <w:rsid w:val="003E1868"/>
    <w:rsid w:val="003E193D"/>
    <w:rsid w:val="003E19C4"/>
    <w:rsid w:val="003E1AC2"/>
    <w:rsid w:val="003E1CA0"/>
    <w:rsid w:val="003E1E74"/>
    <w:rsid w:val="003E1E76"/>
    <w:rsid w:val="003E1F29"/>
    <w:rsid w:val="003E209C"/>
    <w:rsid w:val="003E2352"/>
    <w:rsid w:val="003E245E"/>
    <w:rsid w:val="003E25DC"/>
    <w:rsid w:val="003E27AF"/>
    <w:rsid w:val="003E28D6"/>
    <w:rsid w:val="003E299C"/>
    <w:rsid w:val="003E2BD4"/>
    <w:rsid w:val="003E2C1B"/>
    <w:rsid w:val="003E2C84"/>
    <w:rsid w:val="003E2CDF"/>
    <w:rsid w:val="003E2D87"/>
    <w:rsid w:val="003E2E2D"/>
    <w:rsid w:val="003E3004"/>
    <w:rsid w:val="003E3011"/>
    <w:rsid w:val="003E3058"/>
    <w:rsid w:val="003E3278"/>
    <w:rsid w:val="003E32BB"/>
    <w:rsid w:val="003E33B0"/>
    <w:rsid w:val="003E341D"/>
    <w:rsid w:val="003E3485"/>
    <w:rsid w:val="003E34B0"/>
    <w:rsid w:val="003E34DD"/>
    <w:rsid w:val="003E3546"/>
    <w:rsid w:val="003E3620"/>
    <w:rsid w:val="003E37F5"/>
    <w:rsid w:val="003E38C2"/>
    <w:rsid w:val="003E39B9"/>
    <w:rsid w:val="003E3A76"/>
    <w:rsid w:val="003E3BD4"/>
    <w:rsid w:val="003E3D74"/>
    <w:rsid w:val="003E3E45"/>
    <w:rsid w:val="003E3E53"/>
    <w:rsid w:val="003E402C"/>
    <w:rsid w:val="003E42D2"/>
    <w:rsid w:val="003E445D"/>
    <w:rsid w:val="003E4586"/>
    <w:rsid w:val="003E4711"/>
    <w:rsid w:val="003E478B"/>
    <w:rsid w:val="003E47EF"/>
    <w:rsid w:val="003E496D"/>
    <w:rsid w:val="003E49BA"/>
    <w:rsid w:val="003E4AAB"/>
    <w:rsid w:val="003E4B8F"/>
    <w:rsid w:val="003E4C77"/>
    <w:rsid w:val="003E4CC6"/>
    <w:rsid w:val="003E4DED"/>
    <w:rsid w:val="003E4E87"/>
    <w:rsid w:val="003E4FB4"/>
    <w:rsid w:val="003E51B7"/>
    <w:rsid w:val="003E523D"/>
    <w:rsid w:val="003E5267"/>
    <w:rsid w:val="003E53B1"/>
    <w:rsid w:val="003E5474"/>
    <w:rsid w:val="003E54A0"/>
    <w:rsid w:val="003E59CB"/>
    <w:rsid w:val="003E5B34"/>
    <w:rsid w:val="003E5E6D"/>
    <w:rsid w:val="003E60C6"/>
    <w:rsid w:val="003E6182"/>
    <w:rsid w:val="003E624D"/>
    <w:rsid w:val="003E6366"/>
    <w:rsid w:val="003E6393"/>
    <w:rsid w:val="003E63BB"/>
    <w:rsid w:val="003E680C"/>
    <w:rsid w:val="003E681A"/>
    <w:rsid w:val="003E6831"/>
    <w:rsid w:val="003E693B"/>
    <w:rsid w:val="003E6B92"/>
    <w:rsid w:val="003E6BCA"/>
    <w:rsid w:val="003E6EC5"/>
    <w:rsid w:val="003E6F48"/>
    <w:rsid w:val="003E6FC9"/>
    <w:rsid w:val="003E716B"/>
    <w:rsid w:val="003E72B5"/>
    <w:rsid w:val="003E72E4"/>
    <w:rsid w:val="003E736C"/>
    <w:rsid w:val="003E741E"/>
    <w:rsid w:val="003E7486"/>
    <w:rsid w:val="003E76A9"/>
    <w:rsid w:val="003E7730"/>
    <w:rsid w:val="003E78FD"/>
    <w:rsid w:val="003E7AC0"/>
    <w:rsid w:val="003E7C12"/>
    <w:rsid w:val="003E7CF1"/>
    <w:rsid w:val="003E7E3C"/>
    <w:rsid w:val="003F0015"/>
    <w:rsid w:val="003F0328"/>
    <w:rsid w:val="003F056B"/>
    <w:rsid w:val="003F07A1"/>
    <w:rsid w:val="003F0809"/>
    <w:rsid w:val="003F0826"/>
    <w:rsid w:val="003F08CD"/>
    <w:rsid w:val="003F0B04"/>
    <w:rsid w:val="003F0B12"/>
    <w:rsid w:val="003F0B67"/>
    <w:rsid w:val="003F0CAE"/>
    <w:rsid w:val="003F0D97"/>
    <w:rsid w:val="003F10FE"/>
    <w:rsid w:val="003F1162"/>
    <w:rsid w:val="003F1285"/>
    <w:rsid w:val="003F12A1"/>
    <w:rsid w:val="003F12DE"/>
    <w:rsid w:val="003F14A0"/>
    <w:rsid w:val="003F169D"/>
    <w:rsid w:val="003F16BD"/>
    <w:rsid w:val="003F17B6"/>
    <w:rsid w:val="003F1833"/>
    <w:rsid w:val="003F1877"/>
    <w:rsid w:val="003F18AE"/>
    <w:rsid w:val="003F1954"/>
    <w:rsid w:val="003F19AD"/>
    <w:rsid w:val="003F1CA0"/>
    <w:rsid w:val="003F1CCD"/>
    <w:rsid w:val="003F1D81"/>
    <w:rsid w:val="003F1DDC"/>
    <w:rsid w:val="003F1E19"/>
    <w:rsid w:val="003F1F2A"/>
    <w:rsid w:val="003F1FE2"/>
    <w:rsid w:val="003F2073"/>
    <w:rsid w:val="003F20AF"/>
    <w:rsid w:val="003F22CB"/>
    <w:rsid w:val="003F2393"/>
    <w:rsid w:val="003F23A8"/>
    <w:rsid w:val="003F23B6"/>
    <w:rsid w:val="003F23BD"/>
    <w:rsid w:val="003F2404"/>
    <w:rsid w:val="003F2429"/>
    <w:rsid w:val="003F2662"/>
    <w:rsid w:val="003F2814"/>
    <w:rsid w:val="003F287C"/>
    <w:rsid w:val="003F28D3"/>
    <w:rsid w:val="003F2983"/>
    <w:rsid w:val="003F29E4"/>
    <w:rsid w:val="003F2A44"/>
    <w:rsid w:val="003F2A9D"/>
    <w:rsid w:val="003F2ACD"/>
    <w:rsid w:val="003F2AF7"/>
    <w:rsid w:val="003F2AFF"/>
    <w:rsid w:val="003F2C11"/>
    <w:rsid w:val="003F2D07"/>
    <w:rsid w:val="003F2D09"/>
    <w:rsid w:val="003F3010"/>
    <w:rsid w:val="003F30C8"/>
    <w:rsid w:val="003F312F"/>
    <w:rsid w:val="003F327C"/>
    <w:rsid w:val="003F3358"/>
    <w:rsid w:val="003F33B0"/>
    <w:rsid w:val="003F3B30"/>
    <w:rsid w:val="003F3B94"/>
    <w:rsid w:val="003F3BF6"/>
    <w:rsid w:val="003F3C25"/>
    <w:rsid w:val="003F3DCC"/>
    <w:rsid w:val="003F3DF9"/>
    <w:rsid w:val="003F3E23"/>
    <w:rsid w:val="003F3E85"/>
    <w:rsid w:val="003F3EAC"/>
    <w:rsid w:val="003F3FC6"/>
    <w:rsid w:val="003F3FE8"/>
    <w:rsid w:val="003F41C1"/>
    <w:rsid w:val="003F4327"/>
    <w:rsid w:val="003F4378"/>
    <w:rsid w:val="003F446F"/>
    <w:rsid w:val="003F4491"/>
    <w:rsid w:val="003F45D3"/>
    <w:rsid w:val="003F4700"/>
    <w:rsid w:val="003F490C"/>
    <w:rsid w:val="003F49D9"/>
    <w:rsid w:val="003F4A6F"/>
    <w:rsid w:val="003F4AA4"/>
    <w:rsid w:val="003F4E0C"/>
    <w:rsid w:val="003F4F11"/>
    <w:rsid w:val="003F4FC4"/>
    <w:rsid w:val="003F504B"/>
    <w:rsid w:val="003F5076"/>
    <w:rsid w:val="003F523E"/>
    <w:rsid w:val="003F52BD"/>
    <w:rsid w:val="003F52EC"/>
    <w:rsid w:val="003F5423"/>
    <w:rsid w:val="003F557E"/>
    <w:rsid w:val="003F5708"/>
    <w:rsid w:val="003F5802"/>
    <w:rsid w:val="003F58D2"/>
    <w:rsid w:val="003F5900"/>
    <w:rsid w:val="003F59AD"/>
    <w:rsid w:val="003F59DA"/>
    <w:rsid w:val="003F59E1"/>
    <w:rsid w:val="003F5BF1"/>
    <w:rsid w:val="003F5D4F"/>
    <w:rsid w:val="003F5E9B"/>
    <w:rsid w:val="003F5F84"/>
    <w:rsid w:val="003F6198"/>
    <w:rsid w:val="003F626E"/>
    <w:rsid w:val="003F62E5"/>
    <w:rsid w:val="003F6362"/>
    <w:rsid w:val="003F65E3"/>
    <w:rsid w:val="003F6647"/>
    <w:rsid w:val="003F66D6"/>
    <w:rsid w:val="003F6877"/>
    <w:rsid w:val="003F68F2"/>
    <w:rsid w:val="003F6985"/>
    <w:rsid w:val="003F6A8C"/>
    <w:rsid w:val="003F6B9E"/>
    <w:rsid w:val="003F6BBC"/>
    <w:rsid w:val="003F6CFE"/>
    <w:rsid w:val="003F6E37"/>
    <w:rsid w:val="003F6E89"/>
    <w:rsid w:val="003F7160"/>
    <w:rsid w:val="003F7165"/>
    <w:rsid w:val="003F718D"/>
    <w:rsid w:val="003F726D"/>
    <w:rsid w:val="003F72BC"/>
    <w:rsid w:val="003F73E1"/>
    <w:rsid w:val="003F7438"/>
    <w:rsid w:val="003F749C"/>
    <w:rsid w:val="003F7530"/>
    <w:rsid w:val="003F755C"/>
    <w:rsid w:val="003F75ED"/>
    <w:rsid w:val="003F7853"/>
    <w:rsid w:val="003F7A0F"/>
    <w:rsid w:val="003F7ABA"/>
    <w:rsid w:val="003F7E9C"/>
    <w:rsid w:val="003F7EB3"/>
    <w:rsid w:val="003F7ECA"/>
    <w:rsid w:val="003F7F2D"/>
    <w:rsid w:val="00400112"/>
    <w:rsid w:val="0040031A"/>
    <w:rsid w:val="00400365"/>
    <w:rsid w:val="0040042F"/>
    <w:rsid w:val="00400495"/>
    <w:rsid w:val="00400652"/>
    <w:rsid w:val="0040068B"/>
    <w:rsid w:val="004006B3"/>
    <w:rsid w:val="004006DA"/>
    <w:rsid w:val="00400826"/>
    <w:rsid w:val="00400849"/>
    <w:rsid w:val="0040084A"/>
    <w:rsid w:val="004008CF"/>
    <w:rsid w:val="004009C5"/>
    <w:rsid w:val="00400A78"/>
    <w:rsid w:val="00400C8A"/>
    <w:rsid w:val="00400DEA"/>
    <w:rsid w:val="00400F15"/>
    <w:rsid w:val="00400FC9"/>
    <w:rsid w:val="004011FE"/>
    <w:rsid w:val="00401207"/>
    <w:rsid w:val="00401380"/>
    <w:rsid w:val="004015D9"/>
    <w:rsid w:val="0040184A"/>
    <w:rsid w:val="004018A0"/>
    <w:rsid w:val="004019D8"/>
    <w:rsid w:val="004019FD"/>
    <w:rsid w:val="00401A40"/>
    <w:rsid w:val="00401AD7"/>
    <w:rsid w:val="00401AE1"/>
    <w:rsid w:val="00401B31"/>
    <w:rsid w:val="00401C73"/>
    <w:rsid w:val="00401CF3"/>
    <w:rsid w:val="00401DD5"/>
    <w:rsid w:val="00401E14"/>
    <w:rsid w:val="00401F10"/>
    <w:rsid w:val="00401F34"/>
    <w:rsid w:val="00401FE7"/>
    <w:rsid w:val="00402212"/>
    <w:rsid w:val="00402449"/>
    <w:rsid w:val="00402C04"/>
    <w:rsid w:val="00402C0E"/>
    <w:rsid w:val="004030F8"/>
    <w:rsid w:val="00403363"/>
    <w:rsid w:val="004034E8"/>
    <w:rsid w:val="0040353F"/>
    <w:rsid w:val="004035F1"/>
    <w:rsid w:val="00403693"/>
    <w:rsid w:val="004037A7"/>
    <w:rsid w:val="00403939"/>
    <w:rsid w:val="00403AFD"/>
    <w:rsid w:val="00403BC6"/>
    <w:rsid w:val="00403CBE"/>
    <w:rsid w:val="00403E62"/>
    <w:rsid w:val="00403E6A"/>
    <w:rsid w:val="00403EE3"/>
    <w:rsid w:val="00403F40"/>
    <w:rsid w:val="00403FB7"/>
    <w:rsid w:val="004042AA"/>
    <w:rsid w:val="00404457"/>
    <w:rsid w:val="00404534"/>
    <w:rsid w:val="00404601"/>
    <w:rsid w:val="00404640"/>
    <w:rsid w:val="004047E6"/>
    <w:rsid w:val="0040490B"/>
    <w:rsid w:val="00404935"/>
    <w:rsid w:val="00404B90"/>
    <w:rsid w:val="00404C69"/>
    <w:rsid w:val="00404ED4"/>
    <w:rsid w:val="00404F8D"/>
    <w:rsid w:val="00405184"/>
    <w:rsid w:val="004052A6"/>
    <w:rsid w:val="004052E4"/>
    <w:rsid w:val="00405425"/>
    <w:rsid w:val="0040565E"/>
    <w:rsid w:val="00405667"/>
    <w:rsid w:val="004056C7"/>
    <w:rsid w:val="004056EF"/>
    <w:rsid w:val="004057E6"/>
    <w:rsid w:val="00405815"/>
    <w:rsid w:val="00405942"/>
    <w:rsid w:val="00405A52"/>
    <w:rsid w:val="00405ADF"/>
    <w:rsid w:val="00405D06"/>
    <w:rsid w:val="00405E5B"/>
    <w:rsid w:val="0040609D"/>
    <w:rsid w:val="004060A6"/>
    <w:rsid w:val="00406197"/>
    <w:rsid w:val="004062F4"/>
    <w:rsid w:val="004062FB"/>
    <w:rsid w:val="004063D0"/>
    <w:rsid w:val="0040644C"/>
    <w:rsid w:val="004065C5"/>
    <w:rsid w:val="00406740"/>
    <w:rsid w:val="00406989"/>
    <w:rsid w:val="00406A08"/>
    <w:rsid w:val="00406A2A"/>
    <w:rsid w:val="00406AC8"/>
    <w:rsid w:val="00406B8C"/>
    <w:rsid w:val="00406D06"/>
    <w:rsid w:val="00406F01"/>
    <w:rsid w:val="00406F5E"/>
    <w:rsid w:val="0040705D"/>
    <w:rsid w:val="00407134"/>
    <w:rsid w:val="0040725C"/>
    <w:rsid w:val="004073CC"/>
    <w:rsid w:val="0040740D"/>
    <w:rsid w:val="0040752C"/>
    <w:rsid w:val="00407548"/>
    <w:rsid w:val="00407587"/>
    <w:rsid w:val="004075C9"/>
    <w:rsid w:val="0040771A"/>
    <w:rsid w:val="00407800"/>
    <w:rsid w:val="00407A98"/>
    <w:rsid w:val="00407B17"/>
    <w:rsid w:val="00407BBF"/>
    <w:rsid w:val="00407BCF"/>
    <w:rsid w:val="00407C78"/>
    <w:rsid w:val="00407D04"/>
    <w:rsid w:val="00407D3A"/>
    <w:rsid w:val="00407D7B"/>
    <w:rsid w:val="00407EC7"/>
    <w:rsid w:val="00407EC9"/>
    <w:rsid w:val="00407F12"/>
    <w:rsid w:val="00407F41"/>
    <w:rsid w:val="00407F9B"/>
    <w:rsid w:val="00410320"/>
    <w:rsid w:val="004104AC"/>
    <w:rsid w:val="004104AF"/>
    <w:rsid w:val="004105C7"/>
    <w:rsid w:val="004106D9"/>
    <w:rsid w:val="00410A40"/>
    <w:rsid w:val="00410A87"/>
    <w:rsid w:val="00410A9C"/>
    <w:rsid w:val="00410AD0"/>
    <w:rsid w:val="00410AE6"/>
    <w:rsid w:val="00410B0D"/>
    <w:rsid w:val="00410BC6"/>
    <w:rsid w:val="00410D53"/>
    <w:rsid w:val="00410DF3"/>
    <w:rsid w:val="00410E59"/>
    <w:rsid w:val="00410F00"/>
    <w:rsid w:val="00410F1A"/>
    <w:rsid w:val="00410F88"/>
    <w:rsid w:val="00410FBC"/>
    <w:rsid w:val="004111EE"/>
    <w:rsid w:val="00411298"/>
    <w:rsid w:val="004112BE"/>
    <w:rsid w:val="0041141F"/>
    <w:rsid w:val="004114D3"/>
    <w:rsid w:val="0041153A"/>
    <w:rsid w:val="00411629"/>
    <w:rsid w:val="004118B6"/>
    <w:rsid w:val="0041197F"/>
    <w:rsid w:val="00411A55"/>
    <w:rsid w:val="00411B0E"/>
    <w:rsid w:val="00411BF0"/>
    <w:rsid w:val="00411CB4"/>
    <w:rsid w:val="00411DDA"/>
    <w:rsid w:val="00411DEF"/>
    <w:rsid w:val="00411DFF"/>
    <w:rsid w:val="00411E82"/>
    <w:rsid w:val="00411E93"/>
    <w:rsid w:val="00411EBE"/>
    <w:rsid w:val="00411F37"/>
    <w:rsid w:val="0041202F"/>
    <w:rsid w:val="004120CD"/>
    <w:rsid w:val="004122C5"/>
    <w:rsid w:val="004123EB"/>
    <w:rsid w:val="0041242F"/>
    <w:rsid w:val="004125CF"/>
    <w:rsid w:val="004125D0"/>
    <w:rsid w:val="00412666"/>
    <w:rsid w:val="0041268F"/>
    <w:rsid w:val="004127CA"/>
    <w:rsid w:val="00412924"/>
    <w:rsid w:val="00412927"/>
    <w:rsid w:val="00412A11"/>
    <w:rsid w:val="00412B12"/>
    <w:rsid w:val="00412CB6"/>
    <w:rsid w:val="00412CCA"/>
    <w:rsid w:val="00412D3D"/>
    <w:rsid w:val="00412D46"/>
    <w:rsid w:val="00412D59"/>
    <w:rsid w:val="00412D9C"/>
    <w:rsid w:val="00412E9A"/>
    <w:rsid w:val="00412F3C"/>
    <w:rsid w:val="00413016"/>
    <w:rsid w:val="0041312E"/>
    <w:rsid w:val="004131C4"/>
    <w:rsid w:val="00413209"/>
    <w:rsid w:val="0041320F"/>
    <w:rsid w:val="00413347"/>
    <w:rsid w:val="00413350"/>
    <w:rsid w:val="004133EC"/>
    <w:rsid w:val="00413478"/>
    <w:rsid w:val="004136E9"/>
    <w:rsid w:val="004138BD"/>
    <w:rsid w:val="004138E3"/>
    <w:rsid w:val="0041396B"/>
    <w:rsid w:val="00413A44"/>
    <w:rsid w:val="00413B75"/>
    <w:rsid w:val="00413C2A"/>
    <w:rsid w:val="00413C56"/>
    <w:rsid w:val="00413D41"/>
    <w:rsid w:val="00413D59"/>
    <w:rsid w:val="00413E76"/>
    <w:rsid w:val="0041413D"/>
    <w:rsid w:val="00414204"/>
    <w:rsid w:val="0041444A"/>
    <w:rsid w:val="00414541"/>
    <w:rsid w:val="00414563"/>
    <w:rsid w:val="0041456A"/>
    <w:rsid w:val="004145C0"/>
    <w:rsid w:val="00414762"/>
    <w:rsid w:val="0041477A"/>
    <w:rsid w:val="0041485F"/>
    <w:rsid w:val="0041497B"/>
    <w:rsid w:val="004149C5"/>
    <w:rsid w:val="004149C6"/>
    <w:rsid w:val="00414A1D"/>
    <w:rsid w:val="00414BBF"/>
    <w:rsid w:val="00414C0C"/>
    <w:rsid w:val="00414CB5"/>
    <w:rsid w:val="00414DCD"/>
    <w:rsid w:val="00414E65"/>
    <w:rsid w:val="00414F9D"/>
    <w:rsid w:val="00414FE9"/>
    <w:rsid w:val="004150C0"/>
    <w:rsid w:val="004150DD"/>
    <w:rsid w:val="00415329"/>
    <w:rsid w:val="0041546E"/>
    <w:rsid w:val="0041561C"/>
    <w:rsid w:val="00415626"/>
    <w:rsid w:val="004156BF"/>
    <w:rsid w:val="004156F6"/>
    <w:rsid w:val="004157BE"/>
    <w:rsid w:val="00415855"/>
    <w:rsid w:val="004158F7"/>
    <w:rsid w:val="004159B9"/>
    <w:rsid w:val="004159E5"/>
    <w:rsid w:val="00415CA1"/>
    <w:rsid w:val="00415CF9"/>
    <w:rsid w:val="00415CFA"/>
    <w:rsid w:val="00415E00"/>
    <w:rsid w:val="00415E16"/>
    <w:rsid w:val="00415EBC"/>
    <w:rsid w:val="00415FAE"/>
    <w:rsid w:val="0041627F"/>
    <w:rsid w:val="004163CC"/>
    <w:rsid w:val="00416415"/>
    <w:rsid w:val="00416433"/>
    <w:rsid w:val="0041645A"/>
    <w:rsid w:val="004165FC"/>
    <w:rsid w:val="0041668C"/>
    <w:rsid w:val="0041672E"/>
    <w:rsid w:val="00416873"/>
    <w:rsid w:val="00416ADF"/>
    <w:rsid w:val="00416B0F"/>
    <w:rsid w:val="00416BF9"/>
    <w:rsid w:val="00416C52"/>
    <w:rsid w:val="00416D50"/>
    <w:rsid w:val="00416FC5"/>
    <w:rsid w:val="00416FD5"/>
    <w:rsid w:val="0041712D"/>
    <w:rsid w:val="004171AE"/>
    <w:rsid w:val="00417393"/>
    <w:rsid w:val="004173D9"/>
    <w:rsid w:val="0041743B"/>
    <w:rsid w:val="004174D4"/>
    <w:rsid w:val="00417543"/>
    <w:rsid w:val="00417772"/>
    <w:rsid w:val="004178DC"/>
    <w:rsid w:val="00417B0B"/>
    <w:rsid w:val="00417B2D"/>
    <w:rsid w:val="00417B7C"/>
    <w:rsid w:val="00417B8C"/>
    <w:rsid w:val="00417BD7"/>
    <w:rsid w:val="00417CDA"/>
    <w:rsid w:val="004201F5"/>
    <w:rsid w:val="00420207"/>
    <w:rsid w:val="00420391"/>
    <w:rsid w:val="00420398"/>
    <w:rsid w:val="00420631"/>
    <w:rsid w:val="0042071C"/>
    <w:rsid w:val="004207EA"/>
    <w:rsid w:val="00420805"/>
    <w:rsid w:val="00420857"/>
    <w:rsid w:val="004208A7"/>
    <w:rsid w:val="004209D2"/>
    <w:rsid w:val="00420CF2"/>
    <w:rsid w:val="00420E6A"/>
    <w:rsid w:val="00420F43"/>
    <w:rsid w:val="00421117"/>
    <w:rsid w:val="004211F1"/>
    <w:rsid w:val="00421289"/>
    <w:rsid w:val="0042130D"/>
    <w:rsid w:val="004216A4"/>
    <w:rsid w:val="004217BB"/>
    <w:rsid w:val="00421868"/>
    <w:rsid w:val="004218EB"/>
    <w:rsid w:val="004219DF"/>
    <w:rsid w:val="00421A5A"/>
    <w:rsid w:val="00421A93"/>
    <w:rsid w:val="00421D82"/>
    <w:rsid w:val="00421E0F"/>
    <w:rsid w:val="00421F73"/>
    <w:rsid w:val="00422071"/>
    <w:rsid w:val="00422159"/>
    <w:rsid w:val="004221C3"/>
    <w:rsid w:val="00422308"/>
    <w:rsid w:val="00422378"/>
    <w:rsid w:val="004224F4"/>
    <w:rsid w:val="004224FD"/>
    <w:rsid w:val="00422550"/>
    <w:rsid w:val="00422622"/>
    <w:rsid w:val="00422650"/>
    <w:rsid w:val="004226B0"/>
    <w:rsid w:val="00422880"/>
    <w:rsid w:val="00422931"/>
    <w:rsid w:val="00422997"/>
    <w:rsid w:val="0042299D"/>
    <w:rsid w:val="004229F8"/>
    <w:rsid w:val="00422A5C"/>
    <w:rsid w:val="00422C29"/>
    <w:rsid w:val="00422DCD"/>
    <w:rsid w:val="00422DDE"/>
    <w:rsid w:val="00422E11"/>
    <w:rsid w:val="00422EC6"/>
    <w:rsid w:val="00422F34"/>
    <w:rsid w:val="0042306C"/>
    <w:rsid w:val="0042306F"/>
    <w:rsid w:val="004230F5"/>
    <w:rsid w:val="00423250"/>
    <w:rsid w:val="004232E8"/>
    <w:rsid w:val="00423391"/>
    <w:rsid w:val="004233EB"/>
    <w:rsid w:val="00423555"/>
    <w:rsid w:val="004235F2"/>
    <w:rsid w:val="00423724"/>
    <w:rsid w:val="00423812"/>
    <w:rsid w:val="004239C0"/>
    <w:rsid w:val="00423AB5"/>
    <w:rsid w:val="004240F2"/>
    <w:rsid w:val="0042419A"/>
    <w:rsid w:val="004243E6"/>
    <w:rsid w:val="00424446"/>
    <w:rsid w:val="00424603"/>
    <w:rsid w:val="0042479A"/>
    <w:rsid w:val="004247DB"/>
    <w:rsid w:val="00424B31"/>
    <w:rsid w:val="00424B41"/>
    <w:rsid w:val="00425035"/>
    <w:rsid w:val="0042512E"/>
    <w:rsid w:val="0042533F"/>
    <w:rsid w:val="004254A4"/>
    <w:rsid w:val="004255DD"/>
    <w:rsid w:val="0042572A"/>
    <w:rsid w:val="0042578A"/>
    <w:rsid w:val="00425857"/>
    <w:rsid w:val="00425984"/>
    <w:rsid w:val="00425A9E"/>
    <w:rsid w:val="00425B98"/>
    <w:rsid w:val="00425C7D"/>
    <w:rsid w:val="00425DC7"/>
    <w:rsid w:val="00426481"/>
    <w:rsid w:val="0042656A"/>
    <w:rsid w:val="0042688E"/>
    <w:rsid w:val="00426A68"/>
    <w:rsid w:val="00426AC1"/>
    <w:rsid w:val="00426ACD"/>
    <w:rsid w:val="00426B08"/>
    <w:rsid w:val="00426B44"/>
    <w:rsid w:val="00426BB8"/>
    <w:rsid w:val="00426C67"/>
    <w:rsid w:val="00426D6B"/>
    <w:rsid w:val="00426D92"/>
    <w:rsid w:val="00426E51"/>
    <w:rsid w:val="00426E5D"/>
    <w:rsid w:val="004270DF"/>
    <w:rsid w:val="00427106"/>
    <w:rsid w:val="0042741F"/>
    <w:rsid w:val="004276F4"/>
    <w:rsid w:val="004277D4"/>
    <w:rsid w:val="00427803"/>
    <w:rsid w:val="00427964"/>
    <w:rsid w:val="00427C63"/>
    <w:rsid w:val="00427C8F"/>
    <w:rsid w:val="00427E02"/>
    <w:rsid w:val="00427E9B"/>
    <w:rsid w:val="00427ED1"/>
    <w:rsid w:val="00427F94"/>
    <w:rsid w:val="004302ED"/>
    <w:rsid w:val="0043032E"/>
    <w:rsid w:val="00430349"/>
    <w:rsid w:val="004303D5"/>
    <w:rsid w:val="004303DA"/>
    <w:rsid w:val="00430516"/>
    <w:rsid w:val="0043052F"/>
    <w:rsid w:val="004305DA"/>
    <w:rsid w:val="00430695"/>
    <w:rsid w:val="00430719"/>
    <w:rsid w:val="00430721"/>
    <w:rsid w:val="0043076B"/>
    <w:rsid w:val="0043098A"/>
    <w:rsid w:val="004309D9"/>
    <w:rsid w:val="004309E5"/>
    <w:rsid w:val="00430D26"/>
    <w:rsid w:val="00430E96"/>
    <w:rsid w:val="00430EF3"/>
    <w:rsid w:val="00430F33"/>
    <w:rsid w:val="00430F83"/>
    <w:rsid w:val="00431077"/>
    <w:rsid w:val="00431177"/>
    <w:rsid w:val="004311DA"/>
    <w:rsid w:val="00431332"/>
    <w:rsid w:val="00431439"/>
    <w:rsid w:val="00431523"/>
    <w:rsid w:val="0043153C"/>
    <w:rsid w:val="00431559"/>
    <w:rsid w:val="00431931"/>
    <w:rsid w:val="0043195E"/>
    <w:rsid w:val="00431993"/>
    <w:rsid w:val="00431A08"/>
    <w:rsid w:val="00431C29"/>
    <w:rsid w:val="00431D35"/>
    <w:rsid w:val="00431E1A"/>
    <w:rsid w:val="00431E6C"/>
    <w:rsid w:val="00431F66"/>
    <w:rsid w:val="00431F7E"/>
    <w:rsid w:val="00431FDB"/>
    <w:rsid w:val="00431FEF"/>
    <w:rsid w:val="00432058"/>
    <w:rsid w:val="004320F2"/>
    <w:rsid w:val="004325A1"/>
    <w:rsid w:val="00432894"/>
    <w:rsid w:val="00432A25"/>
    <w:rsid w:val="00432AA7"/>
    <w:rsid w:val="00432AE6"/>
    <w:rsid w:val="00432BBE"/>
    <w:rsid w:val="00432DE3"/>
    <w:rsid w:val="00432EA4"/>
    <w:rsid w:val="00432F85"/>
    <w:rsid w:val="00432FDA"/>
    <w:rsid w:val="00432FFD"/>
    <w:rsid w:val="00433007"/>
    <w:rsid w:val="0043310B"/>
    <w:rsid w:val="00433156"/>
    <w:rsid w:val="0043342C"/>
    <w:rsid w:val="00433540"/>
    <w:rsid w:val="00433593"/>
    <w:rsid w:val="0043359C"/>
    <w:rsid w:val="00433681"/>
    <w:rsid w:val="004336A4"/>
    <w:rsid w:val="004337D6"/>
    <w:rsid w:val="004337F4"/>
    <w:rsid w:val="00433981"/>
    <w:rsid w:val="00433B27"/>
    <w:rsid w:val="00433C81"/>
    <w:rsid w:val="00433C96"/>
    <w:rsid w:val="00433CE7"/>
    <w:rsid w:val="00433D44"/>
    <w:rsid w:val="00433E59"/>
    <w:rsid w:val="00433FB8"/>
    <w:rsid w:val="00433FDE"/>
    <w:rsid w:val="00434057"/>
    <w:rsid w:val="00434109"/>
    <w:rsid w:val="00434247"/>
    <w:rsid w:val="004344DF"/>
    <w:rsid w:val="004345DB"/>
    <w:rsid w:val="004346E6"/>
    <w:rsid w:val="004347AF"/>
    <w:rsid w:val="00434845"/>
    <w:rsid w:val="0043490E"/>
    <w:rsid w:val="0043495B"/>
    <w:rsid w:val="00434B92"/>
    <w:rsid w:val="00434C46"/>
    <w:rsid w:val="00434DA2"/>
    <w:rsid w:val="00434E6F"/>
    <w:rsid w:val="00434F1C"/>
    <w:rsid w:val="0043503D"/>
    <w:rsid w:val="0043511C"/>
    <w:rsid w:val="00435133"/>
    <w:rsid w:val="00435138"/>
    <w:rsid w:val="00435236"/>
    <w:rsid w:val="004352C6"/>
    <w:rsid w:val="004352F7"/>
    <w:rsid w:val="0043532F"/>
    <w:rsid w:val="0043543A"/>
    <w:rsid w:val="00435488"/>
    <w:rsid w:val="004355BA"/>
    <w:rsid w:val="004356E6"/>
    <w:rsid w:val="00435795"/>
    <w:rsid w:val="004358CD"/>
    <w:rsid w:val="00435927"/>
    <w:rsid w:val="0043599C"/>
    <w:rsid w:val="004359B1"/>
    <w:rsid w:val="004359E8"/>
    <w:rsid w:val="00435A9D"/>
    <w:rsid w:val="00435B3C"/>
    <w:rsid w:val="00435BBF"/>
    <w:rsid w:val="00435BF5"/>
    <w:rsid w:val="00435C4B"/>
    <w:rsid w:val="00435C64"/>
    <w:rsid w:val="00436061"/>
    <w:rsid w:val="004361DA"/>
    <w:rsid w:val="00436298"/>
    <w:rsid w:val="00436299"/>
    <w:rsid w:val="004362A7"/>
    <w:rsid w:val="004367B6"/>
    <w:rsid w:val="00436857"/>
    <w:rsid w:val="00436A70"/>
    <w:rsid w:val="00436B87"/>
    <w:rsid w:val="00436B9C"/>
    <w:rsid w:val="00436C15"/>
    <w:rsid w:val="00436C1E"/>
    <w:rsid w:val="00436E15"/>
    <w:rsid w:val="00436E82"/>
    <w:rsid w:val="00436EA1"/>
    <w:rsid w:val="00436FB2"/>
    <w:rsid w:val="0043704B"/>
    <w:rsid w:val="0043710F"/>
    <w:rsid w:val="004372C5"/>
    <w:rsid w:val="00437304"/>
    <w:rsid w:val="0043731E"/>
    <w:rsid w:val="004373E9"/>
    <w:rsid w:val="004376DC"/>
    <w:rsid w:val="00437755"/>
    <w:rsid w:val="00437B55"/>
    <w:rsid w:val="00437D96"/>
    <w:rsid w:val="00437E91"/>
    <w:rsid w:val="00437EE6"/>
    <w:rsid w:val="00440149"/>
    <w:rsid w:val="00440276"/>
    <w:rsid w:val="00440283"/>
    <w:rsid w:val="0044034D"/>
    <w:rsid w:val="004403D5"/>
    <w:rsid w:val="00440948"/>
    <w:rsid w:val="00440B75"/>
    <w:rsid w:val="00440B9F"/>
    <w:rsid w:val="00440BE8"/>
    <w:rsid w:val="00440C23"/>
    <w:rsid w:val="00440D49"/>
    <w:rsid w:val="00440D64"/>
    <w:rsid w:val="00440D78"/>
    <w:rsid w:val="00441010"/>
    <w:rsid w:val="00441071"/>
    <w:rsid w:val="004410CB"/>
    <w:rsid w:val="00441179"/>
    <w:rsid w:val="004411BF"/>
    <w:rsid w:val="0044123E"/>
    <w:rsid w:val="0044136C"/>
    <w:rsid w:val="004413B7"/>
    <w:rsid w:val="0044143E"/>
    <w:rsid w:val="00441488"/>
    <w:rsid w:val="00441591"/>
    <w:rsid w:val="00441662"/>
    <w:rsid w:val="00441776"/>
    <w:rsid w:val="004418B2"/>
    <w:rsid w:val="00441921"/>
    <w:rsid w:val="00441ABF"/>
    <w:rsid w:val="00441C1C"/>
    <w:rsid w:val="00441DB0"/>
    <w:rsid w:val="00441F3C"/>
    <w:rsid w:val="00441F62"/>
    <w:rsid w:val="00441F6C"/>
    <w:rsid w:val="00441FA9"/>
    <w:rsid w:val="004420FD"/>
    <w:rsid w:val="00442177"/>
    <w:rsid w:val="00442348"/>
    <w:rsid w:val="004423D2"/>
    <w:rsid w:val="00442606"/>
    <w:rsid w:val="00442861"/>
    <w:rsid w:val="004428A0"/>
    <w:rsid w:val="004429D1"/>
    <w:rsid w:val="00442AB0"/>
    <w:rsid w:val="00442B24"/>
    <w:rsid w:val="00442C30"/>
    <w:rsid w:val="00442EDD"/>
    <w:rsid w:val="00443303"/>
    <w:rsid w:val="00443414"/>
    <w:rsid w:val="004434DE"/>
    <w:rsid w:val="00443634"/>
    <w:rsid w:val="00443699"/>
    <w:rsid w:val="004437D8"/>
    <w:rsid w:val="0044381E"/>
    <w:rsid w:val="004439AB"/>
    <w:rsid w:val="00443ADA"/>
    <w:rsid w:val="00443AFE"/>
    <w:rsid w:val="00443E55"/>
    <w:rsid w:val="00443FEA"/>
    <w:rsid w:val="004440CB"/>
    <w:rsid w:val="0044424B"/>
    <w:rsid w:val="0044435B"/>
    <w:rsid w:val="00444526"/>
    <w:rsid w:val="004445B1"/>
    <w:rsid w:val="00444817"/>
    <w:rsid w:val="0044495E"/>
    <w:rsid w:val="00444986"/>
    <w:rsid w:val="004449AC"/>
    <w:rsid w:val="00444B00"/>
    <w:rsid w:val="00444B57"/>
    <w:rsid w:val="00444C89"/>
    <w:rsid w:val="00444D87"/>
    <w:rsid w:val="00444E77"/>
    <w:rsid w:val="00444EBB"/>
    <w:rsid w:val="00444EC0"/>
    <w:rsid w:val="00444F88"/>
    <w:rsid w:val="004451BF"/>
    <w:rsid w:val="0044523E"/>
    <w:rsid w:val="00445351"/>
    <w:rsid w:val="00445714"/>
    <w:rsid w:val="0044580D"/>
    <w:rsid w:val="00445868"/>
    <w:rsid w:val="004458CC"/>
    <w:rsid w:val="00445903"/>
    <w:rsid w:val="00445AB3"/>
    <w:rsid w:val="00445C09"/>
    <w:rsid w:val="00445CF2"/>
    <w:rsid w:val="00445D43"/>
    <w:rsid w:val="00445EAE"/>
    <w:rsid w:val="004461DB"/>
    <w:rsid w:val="00446497"/>
    <w:rsid w:val="00446499"/>
    <w:rsid w:val="004464F1"/>
    <w:rsid w:val="00446586"/>
    <w:rsid w:val="004467E5"/>
    <w:rsid w:val="0044697F"/>
    <w:rsid w:val="00446A3B"/>
    <w:rsid w:val="00446B4E"/>
    <w:rsid w:val="00446B7F"/>
    <w:rsid w:val="00446BF4"/>
    <w:rsid w:val="00446C35"/>
    <w:rsid w:val="00446E25"/>
    <w:rsid w:val="00446EEE"/>
    <w:rsid w:val="00446F26"/>
    <w:rsid w:val="00446F7C"/>
    <w:rsid w:val="00446F82"/>
    <w:rsid w:val="00446FA4"/>
    <w:rsid w:val="00447074"/>
    <w:rsid w:val="004470B7"/>
    <w:rsid w:val="00447137"/>
    <w:rsid w:val="00447203"/>
    <w:rsid w:val="0044749B"/>
    <w:rsid w:val="004476C0"/>
    <w:rsid w:val="00447761"/>
    <w:rsid w:val="0044776B"/>
    <w:rsid w:val="004477A0"/>
    <w:rsid w:val="004477E0"/>
    <w:rsid w:val="00447B83"/>
    <w:rsid w:val="00447B86"/>
    <w:rsid w:val="00447C19"/>
    <w:rsid w:val="00447E2B"/>
    <w:rsid w:val="00447F89"/>
    <w:rsid w:val="0045007D"/>
    <w:rsid w:val="00450091"/>
    <w:rsid w:val="00450177"/>
    <w:rsid w:val="0045018A"/>
    <w:rsid w:val="00450252"/>
    <w:rsid w:val="004502E1"/>
    <w:rsid w:val="00450374"/>
    <w:rsid w:val="00450378"/>
    <w:rsid w:val="004505C8"/>
    <w:rsid w:val="00450647"/>
    <w:rsid w:val="004506CC"/>
    <w:rsid w:val="004506FE"/>
    <w:rsid w:val="004507FC"/>
    <w:rsid w:val="00450855"/>
    <w:rsid w:val="00450C6E"/>
    <w:rsid w:val="00450D5A"/>
    <w:rsid w:val="00450DA2"/>
    <w:rsid w:val="00450E07"/>
    <w:rsid w:val="00450F7E"/>
    <w:rsid w:val="00451011"/>
    <w:rsid w:val="00451249"/>
    <w:rsid w:val="0045127D"/>
    <w:rsid w:val="0045150E"/>
    <w:rsid w:val="0045156D"/>
    <w:rsid w:val="0045189A"/>
    <w:rsid w:val="00451B62"/>
    <w:rsid w:val="00451BC4"/>
    <w:rsid w:val="00451C9D"/>
    <w:rsid w:val="00451E1C"/>
    <w:rsid w:val="00451EBB"/>
    <w:rsid w:val="00451F61"/>
    <w:rsid w:val="00452171"/>
    <w:rsid w:val="004523F4"/>
    <w:rsid w:val="00452411"/>
    <w:rsid w:val="004526A7"/>
    <w:rsid w:val="00452738"/>
    <w:rsid w:val="00452745"/>
    <w:rsid w:val="004527E5"/>
    <w:rsid w:val="004527FB"/>
    <w:rsid w:val="00452962"/>
    <w:rsid w:val="00452A1B"/>
    <w:rsid w:val="00452A57"/>
    <w:rsid w:val="00452A66"/>
    <w:rsid w:val="00452A69"/>
    <w:rsid w:val="00452A80"/>
    <w:rsid w:val="00452BE0"/>
    <w:rsid w:val="00452DA6"/>
    <w:rsid w:val="00452E93"/>
    <w:rsid w:val="00452F56"/>
    <w:rsid w:val="004530A1"/>
    <w:rsid w:val="004530EA"/>
    <w:rsid w:val="00453125"/>
    <w:rsid w:val="004531A2"/>
    <w:rsid w:val="004532DD"/>
    <w:rsid w:val="00453323"/>
    <w:rsid w:val="0045332B"/>
    <w:rsid w:val="00453384"/>
    <w:rsid w:val="004535F4"/>
    <w:rsid w:val="00453718"/>
    <w:rsid w:val="00453798"/>
    <w:rsid w:val="0045379A"/>
    <w:rsid w:val="00453832"/>
    <w:rsid w:val="00453862"/>
    <w:rsid w:val="00453898"/>
    <w:rsid w:val="004538EF"/>
    <w:rsid w:val="00453931"/>
    <w:rsid w:val="00453D74"/>
    <w:rsid w:val="00453E98"/>
    <w:rsid w:val="00453EB5"/>
    <w:rsid w:val="00454031"/>
    <w:rsid w:val="00454199"/>
    <w:rsid w:val="004545C6"/>
    <w:rsid w:val="00454626"/>
    <w:rsid w:val="0045462C"/>
    <w:rsid w:val="00454785"/>
    <w:rsid w:val="0045478D"/>
    <w:rsid w:val="0045479A"/>
    <w:rsid w:val="00454992"/>
    <w:rsid w:val="004549B4"/>
    <w:rsid w:val="00454B06"/>
    <w:rsid w:val="00454F63"/>
    <w:rsid w:val="00455006"/>
    <w:rsid w:val="00455016"/>
    <w:rsid w:val="00455296"/>
    <w:rsid w:val="004552F2"/>
    <w:rsid w:val="00455472"/>
    <w:rsid w:val="004554C1"/>
    <w:rsid w:val="00455628"/>
    <w:rsid w:val="0045575F"/>
    <w:rsid w:val="00455809"/>
    <w:rsid w:val="004559B7"/>
    <w:rsid w:val="004559D9"/>
    <w:rsid w:val="00455A32"/>
    <w:rsid w:val="00455AF0"/>
    <w:rsid w:val="00455B1F"/>
    <w:rsid w:val="00455C0C"/>
    <w:rsid w:val="00455F48"/>
    <w:rsid w:val="00455F8C"/>
    <w:rsid w:val="00456048"/>
    <w:rsid w:val="00456091"/>
    <w:rsid w:val="004560C8"/>
    <w:rsid w:val="004560D2"/>
    <w:rsid w:val="00456103"/>
    <w:rsid w:val="0045610B"/>
    <w:rsid w:val="0045615A"/>
    <w:rsid w:val="00456190"/>
    <w:rsid w:val="0045627B"/>
    <w:rsid w:val="00456282"/>
    <w:rsid w:val="004562A1"/>
    <w:rsid w:val="00456513"/>
    <w:rsid w:val="00456534"/>
    <w:rsid w:val="004565E5"/>
    <w:rsid w:val="004565FB"/>
    <w:rsid w:val="004567A6"/>
    <w:rsid w:val="004568A5"/>
    <w:rsid w:val="004569F7"/>
    <w:rsid w:val="00456A3E"/>
    <w:rsid w:val="00456AD9"/>
    <w:rsid w:val="00456FD5"/>
    <w:rsid w:val="00457088"/>
    <w:rsid w:val="004570F5"/>
    <w:rsid w:val="00457432"/>
    <w:rsid w:val="004574E3"/>
    <w:rsid w:val="00457533"/>
    <w:rsid w:val="00457553"/>
    <w:rsid w:val="004577CE"/>
    <w:rsid w:val="0045784E"/>
    <w:rsid w:val="004578FA"/>
    <w:rsid w:val="00457AA1"/>
    <w:rsid w:val="00457AEB"/>
    <w:rsid w:val="00457BE1"/>
    <w:rsid w:val="00457C99"/>
    <w:rsid w:val="00457CB9"/>
    <w:rsid w:val="00457D7E"/>
    <w:rsid w:val="00457F46"/>
    <w:rsid w:val="00460035"/>
    <w:rsid w:val="004601FC"/>
    <w:rsid w:val="00460247"/>
    <w:rsid w:val="00460316"/>
    <w:rsid w:val="0046047D"/>
    <w:rsid w:val="004604E9"/>
    <w:rsid w:val="004605DF"/>
    <w:rsid w:val="004607A2"/>
    <w:rsid w:val="0046086F"/>
    <w:rsid w:val="00460A31"/>
    <w:rsid w:val="00460A39"/>
    <w:rsid w:val="00460A4B"/>
    <w:rsid w:val="00460B60"/>
    <w:rsid w:val="00460B6A"/>
    <w:rsid w:val="00460CF2"/>
    <w:rsid w:val="00460E1A"/>
    <w:rsid w:val="00460E44"/>
    <w:rsid w:val="00460E4E"/>
    <w:rsid w:val="00460E4F"/>
    <w:rsid w:val="00461024"/>
    <w:rsid w:val="00461055"/>
    <w:rsid w:val="00461107"/>
    <w:rsid w:val="004611A0"/>
    <w:rsid w:val="00461366"/>
    <w:rsid w:val="0046143D"/>
    <w:rsid w:val="0046157B"/>
    <w:rsid w:val="00461621"/>
    <w:rsid w:val="004616CD"/>
    <w:rsid w:val="0046192A"/>
    <w:rsid w:val="004619B5"/>
    <w:rsid w:val="00461ABF"/>
    <w:rsid w:val="00461AD2"/>
    <w:rsid w:val="00461B6D"/>
    <w:rsid w:val="00461D6F"/>
    <w:rsid w:val="00461DD4"/>
    <w:rsid w:val="00462212"/>
    <w:rsid w:val="00462218"/>
    <w:rsid w:val="004622EE"/>
    <w:rsid w:val="00462401"/>
    <w:rsid w:val="00462564"/>
    <w:rsid w:val="004625A2"/>
    <w:rsid w:val="0046284B"/>
    <w:rsid w:val="0046290E"/>
    <w:rsid w:val="00462B20"/>
    <w:rsid w:val="00462B2F"/>
    <w:rsid w:val="00462BB1"/>
    <w:rsid w:val="00462C35"/>
    <w:rsid w:val="00462C38"/>
    <w:rsid w:val="00462F92"/>
    <w:rsid w:val="00462FBF"/>
    <w:rsid w:val="004630B2"/>
    <w:rsid w:val="004630DC"/>
    <w:rsid w:val="00463382"/>
    <w:rsid w:val="004633A3"/>
    <w:rsid w:val="00463495"/>
    <w:rsid w:val="004634F3"/>
    <w:rsid w:val="004638D0"/>
    <w:rsid w:val="0046391F"/>
    <w:rsid w:val="004639F8"/>
    <w:rsid w:val="00463A29"/>
    <w:rsid w:val="00463CC6"/>
    <w:rsid w:val="00463FFE"/>
    <w:rsid w:val="00464048"/>
    <w:rsid w:val="00464268"/>
    <w:rsid w:val="004642CD"/>
    <w:rsid w:val="00464362"/>
    <w:rsid w:val="00464392"/>
    <w:rsid w:val="0046440B"/>
    <w:rsid w:val="00464471"/>
    <w:rsid w:val="0046462F"/>
    <w:rsid w:val="00464A41"/>
    <w:rsid w:val="00464A84"/>
    <w:rsid w:val="00464A95"/>
    <w:rsid w:val="00464BCE"/>
    <w:rsid w:val="00464BE0"/>
    <w:rsid w:val="00464BF7"/>
    <w:rsid w:val="00464C0E"/>
    <w:rsid w:val="00464C99"/>
    <w:rsid w:val="00464D4B"/>
    <w:rsid w:val="00464D6C"/>
    <w:rsid w:val="00464E73"/>
    <w:rsid w:val="00464FA0"/>
    <w:rsid w:val="0046515C"/>
    <w:rsid w:val="004651FF"/>
    <w:rsid w:val="00465218"/>
    <w:rsid w:val="0046527F"/>
    <w:rsid w:val="0046544D"/>
    <w:rsid w:val="004656B8"/>
    <w:rsid w:val="00465A28"/>
    <w:rsid w:val="00465A65"/>
    <w:rsid w:val="00465ACF"/>
    <w:rsid w:val="00465B60"/>
    <w:rsid w:val="00465E10"/>
    <w:rsid w:val="00465E47"/>
    <w:rsid w:val="00466321"/>
    <w:rsid w:val="004663DB"/>
    <w:rsid w:val="00466416"/>
    <w:rsid w:val="0046658A"/>
    <w:rsid w:val="00466604"/>
    <w:rsid w:val="0046672C"/>
    <w:rsid w:val="0046679A"/>
    <w:rsid w:val="004668F2"/>
    <w:rsid w:val="0046698F"/>
    <w:rsid w:val="004669DB"/>
    <w:rsid w:val="00466BD5"/>
    <w:rsid w:val="00466BF0"/>
    <w:rsid w:val="00466C86"/>
    <w:rsid w:val="00466CA9"/>
    <w:rsid w:val="00466D00"/>
    <w:rsid w:val="00466D05"/>
    <w:rsid w:val="00466DE6"/>
    <w:rsid w:val="00466EE6"/>
    <w:rsid w:val="00466FCE"/>
    <w:rsid w:val="00466FDE"/>
    <w:rsid w:val="00467089"/>
    <w:rsid w:val="00467149"/>
    <w:rsid w:val="004671D0"/>
    <w:rsid w:val="0046728B"/>
    <w:rsid w:val="004672CD"/>
    <w:rsid w:val="00467382"/>
    <w:rsid w:val="004673CB"/>
    <w:rsid w:val="004674DA"/>
    <w:rsid w:val="00467502"/>
    <w:rsid w:val="0046750B"/>
    <w:rsid w:val="004678E1"/>
    <w:rsid w:val="004679F0"/>
    <w:rsid w:val="00467A59"/>
    <w:rsid w:val="00467AF7"/>
    <w:rsid w:val="00467BC1"/>
    <w:rsid w:val="00467C5C"/>
    <w:rsid w:val="00467CA4"/>
    <w:rsid w:val="00467E1C"/>
    <w:rsid w:val="00470015"/>
    <w:rsid w:val="00470264"/>
    <w:rsid w:val="00470274"/>
    <w:rsid w:val="00470395"/>
    <w:rsid w:val="004703C2"/>
    <w:rsid w:val="0047051A"/>
    <w:rsid w:val="004708AE"/>
    <w:rsid w:val="004708BA"/>
    <w:rsid w:val="00470940"/>
    <w:rsid w:val="00470998"/>
    <w:rsid w:val="00470A90"/>
    <w:rsid w:val="00470C83"/>
    <w:rsid w:val="00470D1E"/>
    <w:rsid w:val="00470EEC"/>
    <w:rsid w:val="00470F50"/>
    <w:rsid w:val="00471009"/>
    <w:rsid w:val="00471085"/>
    <w:rsid w:val="004712BE"/>
    <w:rsid w:val="0047155F"/>
    <w:rsid w:val="0047164A"/>
    <w:rsid w:val="004716CF"/>
    <w:rsid w:val="004716D8"/>
    <w:rsid w:val="004717E5"/>
    <w:rsid w:val="00471802"/>
    <w:rsid w:val="0047180A"/>
    <w:rsid w:val="00471991"/>
    <w:rsid w:val="004719FE"/>
    <w:rsid w:val="00471B3A"/>
    <w:rsid w:val="00471C70"/>
    <w:rsid w:val="00471C89"/>
    <w:rsid w:val="00471D07"/>
    <w:rsid w:val="00471E7B"/>
    <w:rsid w:val="00471E83"/>
    <w:rsid w:val="00471ECF"/>
    <w:rsid w:val="00471F1E"/>
    <w:rsid w:val="00472010"/>
    <w:rsid w:val="0047206D"/>
    <w:rsid w:val="00472148"/>
    <w:rsid w:val="0047214D"/>
    <w:rsid w:val="00472214"/>
    <w:rsid w:val="0047223C"/>
    <w:rsid w:val="0047224F"/>
    <w:rsid w:val="004723A2"/>
    <w:rsid w:val="004725A1"/>
    <w:rsid w:val="0047260C"/>
    <w:rsid w:val="00472803"/>
    <w:rsid w:val="004728D2"/>
    <w:rsid w:val="004728E8"/>
    <w:rsid w:val="004729FE"/>
    <w:rsid w:val="00472AB7"/>
    <w:rsid w:val="00472BE2"/>
    <w:rsid w:val="00472C9A"/>
    <w:rsid w:val="00472D31"/>
    <w:rsid w:val="00472DB9"/>
    <w:rsid w:val="00472DBF"/>
    <w:rsid w:val="00472DD0"/>
    <w:rsid w:val="00473136"/>
    <w:rsid w:val="004733BB"/>
    <w:rsid w:val="0047360B"/>
    <w:rsid w:val="00473704"/>
    <w:rsid w:val="00473709"/>
    <w:rsid w:val="0047379C"/>
    <w:rsid w:val="00473947"/>
    <w:rsid w:val="004739FE"/>
    <w:rsid w:val="00473A46"/>
    <w:rsid w:val="00473B22"/>
    <w:rsid w:val="00473BAA"/>
    <w:rsid w:val="00473D6E"/>
    <w:rsid w:val="00473DBD"/>
    <w:rsid w:val="00473E54"/>
    <w:rsid w:val="004742A6"/>
    <w:rsid w:val="004746A3"/>
    <w:rsid w:val="00474834"/>
    <w:rsid w:val="004749D9"/>
    <w:rsid w:val="00474A2C"/>
    <w:rsid w:val="00474AE7"/>
    <w:rsid w:val="00474B7F"/>
    <w:rsid w:val="00474D35"/>
    <w:rsid w:val="00474D4B"/>
    <w:rsid w:val="00474DEB"/>
    <w:rsid w:val="00474E2D"/>
    <w:rsid w:val="00474F5B"/>
    <w:rsid w:val="00474FE4"/>
    <w:rsid w:val="0047507E"/>
    <w:rsid w:val="0047508B"/>
    <w:rsid w:val="004751ED"/>
    <w:rsid w:val="00475223"/>
    <w:rsid w:val="00475319"/>
    <w:rsid w:val="0047547A"/>
    <w:rsid w:val="00475755"/>
    <w:rsid w:val="004757B8"/>
    <w:rsid w:val="00475830"/>
    <w:rsid w:val="0047587F"/>
    <w:rsid w:val="00475CBE"/>
    <w:rsid w:val="00475D79"/>
    <w:rsid w:val="00475EBF"/>
    <w:rsid w:val="00475FAE"/>
    <w:rsid w:val="004760D4"/>
    <w:rsid w:val="00476143"/>
    <w:rsid w:val="004761AC"/>
    <w:rsid w:val="00476248"/>
    <w:rsid w:val="0047625D"/>
    <w:rsid w:val="0047631B"/>
    <w:rsid w:val="0047644E"/>
    <w:rsid w:val="004764C4"/>
    <w:rsid w:val="0047678B"/>
    <w:rsid w:val="004767F2"/>
    <w:rsid w:val="00476995"/>
    <w:rsid w:val="00476C02"/>
    <w:rsid w:val="00476C10"/>
    <w:rsid w:val="00476C28"/>
    <w:rsid w:val="00476D0E"/>
    <w:rsid w:val="00476D1C"/>
    <w:rsid w:val="00476D2A"/>
    <w:rsid w:val="00476D42"/>
    <w:rsid w:val="00476F2F"/>
    <w:rsid w:val="00476F69"/>
    <w:rsid w:val="0047702A"/>
    <w:rsid w:val="00477112"/>
    <w:rsid w:val="0047713D"/>
    <w:rsid w:val="004773B6"/>
    <w:rsid w:val="00477435"/>
    <w:rsid w:val="0047746D"/>
    <w:rsid w:val="004774FA"/>
    <w:rsid w:val="00477691"/>
    <w:rsid w:val="00477784"/>
    <w:rsid w:val="004777FE"/>
    <w:rsid w:val="004778B4"/>
    <w:rsid w:val="00477AC1"/>
    <w:rsid w:val="00477AC6"/>
    <w:rsid w:val="00477CF6"/>
    <w:rsid w:val="0048001F"/>
    <w:rsid w:val="00480276"/>
    <w:rsid w:val="004802AB"/>
    <w:rsid w:val="004802D9"/>
    <w:rsid w:val="0048033B"/>
    <w:rsid w:val="004804CB"/>
    <w:rsid w:val="004804E5"/>
    <w:rsid w:val="004805EC"/>
    <w:rsid w:val="00480664"/>
    <w:rsid w:val="00480901"/>
    <w:rsid w:val="00480A3D"/>
    <w:rsid w:val="00480B66"/>
    <w:rsid w:val="00480CA5"/>
    <w:rsid w:val="00480D7E"/>
    <w:rsid w:val="00480D94"/>
    <w:rsid w:val="00480DFD"/>
    <w:rsid w:val="00480E69"/>
    <w:rsid w:val="00480EF5"/>
    <w:rsid w:val="00480F44"/>
    <w:rsid w:val="00481023"/>
    <w:rsid w:val="004810F9"/>
    <w:rsid w:val="0048116E"/>
    <w:rsid w:val="004814CD"/>
    <w:rsid w:val="00481539"/>
    <w:rsid w:val="004816C8"/>
    <w:rsid w:val="00481730"/>
    <w:rsid w:val="00481AE9"/>
    <w:rsid w:val="00481C34"/>
    <w:rsid w:val="00481DB8"/>
    <w:rsid w:val="00481EC1"/>
    <w:rsid w:val="00481FE4"/>
    <w:rsid w:val="004824A3"/>
    <w:rsid w:val="004824FD"/>
    <w:rsid w:val="0048264C"/>
    <w:rsid w:val="00482650"/>
    <w:rsid w:val="00482852"/>
    <w:rsid w:val="00482B07"/>
    <w:rsid w:val="00482B5E"/>
    <w:rsid w:val="00482BEC"/>
    <w:rsid w:val="00482BF9"/>
    <w:rsid w:val="00482CC7"/>
    <w:rsid w:val="00482D79"/>
    <w:rsid w:val="00482DD8"/>
    <w:rsid w:val="00482E6C"/>
    <w:rsid w:val="00482F1E"/>
    <w:rsid w:val="00482F27"/>
    <w:rsid w:val="0048314D"/>
    <w:rsid w:val="004831D2"/>
    <w:rsid w:val="00483224"/>
    <w:rsid w:val="00483294"/>
    <w:rsid w:val="0048329F"/>
    <w:rsid w:val="004833E6"/>
    <w:rsid w:val="004833ED"/>
    <w:rsid w:val="00483484"/>
    <w:rsid w:val="0048354D"/>
    <w:rsid w:val="00483636"/>
    <w:rsid w:val="00483702"/>
    <w:rsid w:val="0048371D"/>
    <w:rsid w:val="00483744"/>
    <w:rsid w:val="0048376F"/>
    <w:rsid w:val="00483872"/>
    <w:rsid w:val="00483986"/>
    <w:rsid w:val="00483AFE"/>
    <w:rsid w:val="00483DCB"/>
    <w:rsid w:val="00483F96"/>
    <w:rsid w:val="00483FAC"/>
    <w:rsid w:val="0048402D"/>
    <w:rsid w:val="0048404B"/>
    <w:rsid w:val="00484075"/>
    <w:rsid w:val="00484129"/>
    <w:rsid w:val="00484350"/>
    <w:rsid w:val="0048436D"/>
    <w:rsid w:val="004843BB"/>
    <w:rsid w:val="00484594"/>
    <w:rsid w:val="004846A8"/>
    <w:rsid w:val="004846B1"/>
    <w:rsid w:val="0048475A"/>
    <w:rsid w:val="004847C3"/>
    <w:rsid w:val="0048488B"/>
    <w:rsid w:val="004848EE"/>
    <w:rsid w:val="0048492E"/>
    <w:rsid w:val="0048496E"/>
    <w:rsid w:val="00484A5A"/>
    <w:rsid w:val="00484B9B"/>
    <w:rsid w:val="00484BAD"/>
    <w:rsid w:val="00484BD2"/>
    <w:rsid w:val="00484D05"/>
    <w:rsid w:val="00484D75"/>
    <w:rsid w:val="00484EB9"/>
    <w:rsid w:val="00485071"/>
    <w:rsid w:val="004850CD"/>
    <w:rsid w:val="004850D4"/>
    <w:rsid w:val="0048512C"/>
    <w:rsid w:val="0048516B"/>
    <w:rsid w:val="004851A0"/>
    <w:rsid w:val="004851FB"/>
    <w:rsid w:val="00485217"/>
    <w:rsid w:val="0048525F"/>
    <w:rsid w:val="00485441"/>
    <w:rsid w:val="004855F6"/>
    <w:rsid w:val="00485701"/>
    <w:rsid w:val="0048585D"/>
    <w:rsid w:val="0048598F"/>
    <w:rsid w:val="0048599B"/>
    <w:rsid w:val="004859A0"/>
    <w:rsid w:val="00485AB5"/>
    <w:rsid w:val="00485B45"/>
    <w:rsid w:val="00485C24"/>
    <w:rsid w:val="00485C90"/>
    <w:rsid w:val="00485D04"/>
    <w:rsid w:val="00485F2E"/>
    <w:rsid w:val="00485F4C"/>
    <w:rsid w:val="00485F63"/>
    <w:rsid w:val="00485F6D"/>
    <w:rsid w:val="00485FC1"/>
    <w:rsid w:val="0048606F"/>
    <w:rsid w:val="00486117"/>
    <w:rsid w:val="0048614A"/>
    <w:rsid w:val="004861CD"/>
    <w:rsid w:val="004862C4"/>
    <w:rsid w:val="00486528"/>
    <w:rsid w:val="00486596"/>
    <w:rsid w:val="0048661E"/>
    <w:rsid w:val="00486649"/>
    <w:rsid w:val="004866BE"/>
    <w:rsid w:val="0048681B"/>
    <w:rsid w:val="00486988"/>
    <w:rsid w:val="004869D9"/>
    <w:rsid w:val="00486A7C"/>
    <w:rsid w:val="00486CA8"/>
    <w:rsid w:val="00486CE8"/>
    <w:rsid w:val="00486DB8"/>
    <w:rsid w:val="004871B8"/>
    <w:rsid w:val="00487249"/>
    <w:rsid w:val="004873A4"/>
    <w:rsid w:val="00487495"/>
    <w:rsid w:val="004874DC"/>
    <w:rsid w:val="0048752D"/>
    <w:rsid w:val="00487649"/>
    <w:rsid w:val="00487674"/>
    <w:rsid w:val="004877B6"/>
    <w:rsid w:val="00487A50"/>
    <w:rsid w:val="00487A72"/>
    <w:rsid w:val="00487A94"/>
    <w:rsid w:val="00487E36"/>
    <w:rsid w:val="00487F96"/>
    <w:rsid w:val="00487FED"/>
    <w:rsid w:val="004901F1"/>
    <w:rsid w:val="00490216"/>
    <w:rsid w:val="0049021A"/>
    <w:rsid w:val="00490261"/>
    <w:rsid w:val="004902B1"/>
    <w:rsid w:val="004902E9"/>
    <w:rsid w:val="00490341"/>
    <w:rsid w:val="0049040B"/>
    <w:rsid w:val="00490627"/>
    <w:rsid w:val="00490692"/>
    <w:rsid w:val="004907FD"/>
    <w:rsid w:val="00490945"/>
    <w:rsid w:val="004909FE"/>
    <w:rsid w:val="00490ADF"/>
    <w:rsid w:val="00490B92"/>
    <w:rsid w:val="00490DA4"/>
    <w:rsid w:val="004910A7"/>
    <w:rsid w:val="0049123A"/>
    <w:rsid w:val="004912BE"/>
    <w:rsid w:val="004912ED"/>
    <w:rsid w:val="0049132C"/>
    <w:rsid w:val="0049144A"/>
    <w:rsid w:val="00491490"/>
    <w:rsid w:val="004914FE"/>
    <w:rsid w:val="004915CE"/>
    <w:rsid w:val="0049189D"/>
    <w:rsid w:val="004918E8"/>
    <w:rsid w:val="004918F7"/>
    <w:rsid w:val="004918FA"/>
    <w:rsid w:val="004919A6"/>
    <w:rsid w:val="004919F8"/>
    <w:rsid w:val="00491A85"/>
    <w:rsid w:val="00491B15"/>
    <w:rsid w:val="00491B1B"/>
    <w:rsid w:val="00491B4C"/>
    <w:rsid w:val="00491B63"/>
    <w:rsid w:val="00491B82"/>
    <w:rsid w:val="00491C7C"/>
    <w:rsid w:val="00491E57"/>
    <w:rsid w:val="00491E5C"/>
    <w:rsid w:val="00491F09"/>
    <w:rsid w:val="0049221D"/>
    <w:rsid w:val="004923B1"/>
    <w:rsid w:val="0049264A"/>
    <w:rsid w:val="004926D1"/>
    <w:rsid w:val="0049272D"/>
    <w:rsid w:val="00492914"/>
    <w:rsid w:val="0049293A"/>
    <w:rsid w:val="00492967"/>
    <w:rsid w:val="00492A0F"/>
    <w:rsid w:val="00492BB5"/>
    <w:rsid w:val="00492BC9"/>
    <w:rsid w:val="00492BDE"/>
    <w:rsid w:val="00492BF8"/>
    <w:rsid w:val="00492C11"/>
    <w:rsid w:val="00492C84"/>
    <w:rsid w:val="00492DBB"/>
    <w:rsid w:val="00492FAB"/>
    <w:rsid w:val="00493118"/>
    <w:rsid w:val="0049334D"/>
    <w:rsid w:val="0049338F"/>
    <w:rsid w:val="00493440"/>
    <w:rsid w:val="004934B2"/>
    <w:rsid w:val="00493642"/>
    <w:rsid w:val="004936BA"/>
    <w:rsid w:val="00493901"/>
    <w:rsid w:val="00493A26"/>
    <w:rsid w:val="00493B00"/>
    <w:rsid w:val="00493B10"/>
    <w:rsid w:val="00493B93"/>
    <w:rsid w:val="00493B99"/>
    <w:rsid w:val="00493C76"/>
    <w:rsid w:val="00493C94"/>
    <w:rsid w:val="00493DB9"/>
    <w:rsid w:val="00493DF8"/>
    <w:rsid w:val="00493F4F"/>
    <w:rsid w:val="00493F84"/>
    <w:rsid w:val="00493FD7"/>
    <w:rsid w:val="00494109"/>
    <w:rsid w:val="00494234"/>
    <w:rsid w:val="0049430C"/>
    <w:rsid w:val="00494311"/>
    <w:rsid w:val="004943A3"/>
    <w:rsid w:val="00494412"/>
    <w:rsid w:val="004944A5"/>
    <w:rsid w:val="004944BE"/>
    <w:rsid w:val="00494670"/>
    <w:rsid w:val="00494788"/>
    <w:rsid w:val="004947A9"/>
    <w:rsid w:val="00494A38"/>
    <w:rsid w:val="00494A98"/>
    <w:rsid w:val="00494B19"/>
    <w:rsid w:val="00494C4A"/>
    <w:rsid w:val="00495068"/>
    <w:rsid w:val="004951E6"/>
    <w:rsid w:val="004952C7"/>
    <w:rsid w:val="00495341"/>
    <w:rsid w:val="004954BA"/>
    <w:rsid w:val="004954FE"/>
    <w:rsid w:val="00495505"/>
    <w:rsid w:val="004955AF"/>
    <w:rsid w:val="004956CA"/>
    <w:rsid w:val="0049570F"/>
    <w:rsid w:val="004958D7"/>
    <w:rsid w:val="00495C54"/>
    <w:rsid w:val="00495DD0"/>
    <w:rsid w:val="0049603B"/>
    <w:rsid w:val="004962E4"/>
    <w:rsid w:val="0049640F"/>
    <w:rsid w:val="004964BD"/>
    <w:rsid w:val="0049655D"/>
    <w:rsid w:val="00496748"/>
    <w:rsid w:val="0049678B"/>
    <w:rsid w:val="004969B3"/>
    <w:rsid w:val="00496A1B"/>
    <w:rsid w:val="00496AFA"/>
    <w:rsid w:val="00496B02"/>
    <w:rsid w:val="00496C74"/>
    <w:rsid w:val="00496CA9"/>
    <w:rsid w:val="00496D2A"/>
    <w:rsid w:val="00496EEE"/>
    <w:rsid w:val="00496F78"/>
    <w:rsid w:val="00496F99"/>
    <w:rsid w:val="004970A2"/>
    <w:rsid w:val="0049734C"/>
    <w:rsid w:val="00497513"/>
    <w:rsid w:val="00497599"/>
    <w:rsid w:val="00497692"/>
    <w:rsid w:val="004976D6"/>
    <w:rsid w:val="00497766"/>
    <w:rsid w:val="004977D7"/>
    <w:rsid w:val="00497816"/>
    <w:rsid w:val="0049781C"/>
    <w:rsid w:val="004978A6"/>
    <w:rsid w:val="00497B46"/>
    <w:rsid w:val="00497B98"/>
    <w:rsid w:val="00497D5B"/>
    <w:rsid w:val="00497DA8"/>
    <w:rsid w:val="00497E8A"/>
    <w:rsid w:val="00497F0E"/>
    <w:rsid w:val="00497F39"/>
    <w:rsid w:val="00497FB4"/>
    <w:rsid w:val="00497FBA"/>
    <w:rsid w:val="004A013E"/>
    <w:rsid w:val="004A0221"/>
    <w:rsid w:val="004A0483"/>
    <w:rsid w:val="004A04A9"/>
    <w:rsid w:val="004A04F2"/>
    <w:rsid w:val="004A0718"/>
    <w:rsid w:val="004A0870"/>
    <w:rsid w:val="004A09DB"/>
    <w:rsid w:val="004A0ACD"/>
    <w:rsid w:val="004A0B3C"/>
    <w:rsid w:val="004A0BCF"/>
    <w:rsid w:val="004A0BDF"/>
    <w:rsid w:val="004A0C7F"/>
    <w:rsid w:val="004A0CDC"/>
    <w:rsid w:val="004A0E07"/>
    <w:rsid w:val="004A0EDC"/>
    <w:rsid w:val="004A1370"/>
    <w:rsid w:val="004A1432"/>
    <w:rsid w:val="004A14E0"/>
    <w:rsid w:val="004A1529"/>
    <w:rsid w:val="004A177F"/>
    <w:rsid w:val="004A17C9"/>
    <w:rsid w:val="004A17EA"/>
    <w:rsid w:val="004A1832"/>
    <w:rsid w:val="004A1916"/>
    <w:rsid w:val="004A1C5B"/>
    <w:rsid w:val="004A1CB5"/>
    <w:rsid w:val="004A1E8C"/>
    <w:rsid w:val="004A1ED4"/>
    <w:rsid w:val="004A204C"/>
    <w:rsid w:val="004A20CD"/>
    <w:rsid w:val="004A2257"/>
    <w:rsid w:val="004A2891"/>
    <w:rsid w:val="004A2A58"/>
    <w:rsid w:val="004A2C2D"/>
    <w:rsid w:val="004A2DF8"/>
    <w:rsid w:val="004A2E7A"/>
    <w:rsid w:val="004A2EF8"/>
    <w:rsid w:val="004A2EFE"/>
    <w:rsid w:val="004A2F4D"/>
    <w:rsid w:val="004A2F81"/>
    <w:rsid w:val="004A3026"/>
    <w:rsid w:val="004A3118"/>
    <w:rsid w:val="004A322F"/>
    <w:rsid w:val="004A323B"/>
    <w:rsid w:val="004A32B9"/>
    <w:rsid w:val="004A34EE"/>
    <w:rsid w:val="004A37DF"/>
    <w:rsid w:val="004A380F"/>
    <w:rsid w:val="004A3823"/>
    <w:rsid w:val="004A38DE"/>
    <w:rsid w:val="004A3914"/>
    <w:rsid w:val="004A3941"/>
    <w:rsid w:val="004A397E"/>
    <w:rsid w:val="004A3A2A"/>
    <w:rsid w:val="004A3A56"/>
    <w:rsid w:val="004A3A79"/>
    <w:rsid w:val="004A3B18"/>
    <w:rsid w:val="004A3B5E"/>
    <w:rsid w:val="004A3D26"/>
    <w:rsid w:val="004A3DD8"/>
    <w:rsid w:val="004A3DE7"/>
    <w:rsid w:val="004A3F65"/>
    <w:rsid w:val="004A3F70"/>
    <w:rsid w:val="004A40C4"/>
    <w:rsid w:val="004A4277"/>
    <w:rsid w:val="004A4380"/>
    <w:rsid w:val="004A45FB"/>
    <w:rsid w:val="004A46F9"/>
    <w:rsid w:val="004A4783"/>
    <w:rsid w:val="004A47E4"/>
    <w:rsid w:val="004A4887"/>
    <w:rsid w:val="004A4930"/>
    <w:rsid w:val="004A4998"/>
    <w:rsid w:val="004A4A26"/>
    <w:rsid w:val="004A4CFC"/>
    <w:rsid w:val="004A4F60"/>
    <w:rsid w:val="004A502C"/>
    <w:rsid w:val="004A50D7"/>
    <w:rsid w:val="004A549A"/>
    <w:rsid w:val="004A5547"/>
    <w:rsid w:val="004A557F"/>
    <w:rsid w:val="004A5733"/>
    <w:rsid w:val="004A5991"/>
    <w:rsid w:val="004A5C67"/>
    <w:rsid w:val="004A5D29"/>
    <w:rsid w:val="004A5D9C"/>
    <w:rsid w:val="004A5E8A"/>
    <w:rsid w:val="004A6055"/>
    <w:rsid w:val="004A60CA"/>
    <w:rsid w:val="004A60F7"/>
    <w:rsid w:val="004A6160"/>
    <w:rsid w:val="004A632B"/>
    <w:rsid w:val="004A6399"/>
    <w:rsid w:val="004A6443"/>
    <w:rsid w:val="004A646D"/>
    <w:rsid w:val="004A65D1"/>
    <w:rsid w:val="004A6698"/>
    <w:rsid w:val="004A677C"/>
    <w:rsid w:val="004A67DF"/>
    <w:rsid w:val="004A6949"/>
    <w:rsid w:val="004A6A41"/>
    <w:rsid w:val="004A6AA1"/>
    <w:rsid w:val="004A6BD5"/>
    <w:rsid w:val="004A6E21"/>
    <w:rsid w:val="004A6E3F"/>
    <w:rsid w:val="004A70EE"/>
    <w:rsid w:val="004A7250"/>
    <w:rsid w:val="004A7272"/>
    <w:rsid w:val="004A728A"/>
    <w:rsid w:val="004A733A"/>
    <w:rsid w:val="004A7558"/>
    <w:rsid w:val="004A76B8"/>
    <w:rsid w:val="004A76CB"/>
    <w:rsid w:val="004A7787"/>
    <w:rsid w:val="004A7927"/>
    <w:rsid w:val="004A7E36"/>
    <w:rsid w:val="004A7EBD"/>
    <w:rsid w:val="004A7EDC"/>
    <w:rsid w:val="004A7F23"/>
    <w:rsid w:val="004A7F76"/>
    <w:rsid w:val="004B0171"/>
    <w:rsid w:val="004B0270"/>
    <w:rsid w:val="004B0325"/>
    <w:rsid w:val="004B04FE"/>
    <w:rsid w:val="004B06E5"/>
    <w:rsid w:val="004B079A"/>
    <w:rsid w:val="004B08EE"/>
    <w:rsid w:val="004B09AB"/>
    <w:rsid w:val="004B0C47"/>
    <w:rsid w:val="004B0CF5"/>
    <w:rsid w:val="004B0D18"/>
    <w:rsid w:val="004B0DE8"/>
    <w:rsid w:val="004B12D1"/>
    <w:rsid w:val="004B1391"/>
    <w:rsid w:val="004B147E"/>
    <w:rsid w:val="004B167E"/>
    <w:rsid w:val="004B16E1"/>
    <w:rsid w:val="004B16F9"/>
    <w:rsid w:val="004B1702"/>
    <w:rsid w:val="004B182B"/>
    <w:rsid w:val="004B185F"/>
    <w:rsid w:val="004B1866"/>
    <w:rsid w:val="004B192F"/>
    <w:rsid w:val="004B19C8"/>
    <w:rsid w:val="004B1AE1"/>
    <w:rsid w:val="004B1DA0"/>
    <w:rsid w:val="004B1E0D"/>
    <w:rsid w:val="004B1E66"/>
    <w:rsid w:val="004B1E94"/>
    <w:rsid w:val="004B1FD3"/>
    <w:rsid w:val="004B20F0"/>
    <w:rsid w:val="004B21C2"/>
    <w:rsid w:val="004B21C8"/>
    <w:rsid w:val="004B22A9"/>
    <w:rsid w:val="004B241A"/>
    <w:rsid w:val="004B244F"/>
    <w:rsid w:val="004B246D"/>
    <w:rsid w:val="004B2615"/>
    <w:rsid w:val="004B263D"/>
    <w:rsid w:val="004B2781"/>
    <w:rsid w:val="004B27B2"/>
    <w:rsid w:val="004B293C"/>
    <w:rsid w:val="004B294D"/>
    <w:rsid w:val="004B2AAB"/>
    <w:rsid w:val="004B2ADC"/>
    <w:rsid w:val="004B2B63"/>
    <w:rsid w:val="004B2F38"/>
    <w:rsid w:val="004B2FEE"/>
    <w:rsid w:val="004B31D9"/>
    <w:rsid w:val="004B38D4"/>
    <w:rsid w:val="004B3DA3"/>
    <w:rsid w:val="004B3E23"/>
    <w:rsid w:val="004B413A"/>
    <w:rsid w:val="004B415A"/>
    <w:rsid w:val="004B4178"/>
    <w:rsid w:val="004B4297"/>
    <w:rsid w:val="004B4488"/>
    <w:rsid w:val="004B44BA"/>
    <w:rsid w:val="004B46B8"/>
    <w:rsid w:val="004B47AD"/>
    <w:rsid w:val="004B491B"/>
    <w:rsid w:val="004B4A87"/>
    <w:rsid w:val="004B4A8F"/>
    <w:rsid w:val="004B4C0C"/>
    <w:rsid w:val="004B4D58"/>
    <w:rsid w:val="004B50E9"/>
    <w:rsid w:val="004B5148"/>
    <w:rsid w:val="004B529B"/>
    <w:rsid w:val="004B5390"/>
    <w:rsid w:val="004B53EA"/>
    <w:rsid w:val="004B55EE"/>
    <w:rsid w:val="004B5754"/>
    <w:rsid w:val="004B5792"/>
    <w:rsid w:val="004B57F8"/>
    <w:rsid w:val="004B58D6"/>
    <w:rsid w:val="004B5B2E"/>
    <w:rsid w:val="004B5DB4"/>
    <w:rsid w:val="004B5EFC"/>
    <w:rsid w:val="004B5F19"/>
    <w:rsid w:val="004B60EE"/>
    <w:rsid w:val="004B6154"/>
    <w:rsid w:val="004B62ED"/>
    <w:rsid w:val="004B63E7"/>
    <w:rsid w:val="004B650E"/>
    <w:rsid w:val="004B6608"/>
    <w:rsid w:val="004B661D"/>
    <w:rsid w:val="004B6648"/>
    <w:rsid w:val="004B66CC"/>
    <w:rsid w:val="004B67E0"/>
    <w:rsid w:val="004B6814"/>
    <w:rsid w:val="004B692B"/>
    <w:rsid w:val="004B699A"/>
    <w:rsid w:val="004B6D45"/>
    <w:rsid w:val="004B6D89"/>
    <w:rsid w:val="004B6D95"/>
    <w:rsid w:val="004B720C"/>
    <w:rsid w:val="004B7335"/>
    <w:rsid w:val="004B73C7"/>
    <w:rsid w:val="004B73DD"/>
    <w:rsid w:val="004B74AA"/>
    <w:rsid w:val="004B75E5"/>
    <w:rsid w:val="004B769B"/>
    <w:rsid w:val="004B782C"/>
    <w:rsid w:val="004B79F4"/>
    <w:rsid w:val="004B7A59"/>
    <w:rsid w:val="004B7A60"/>
    <w:rsid w:val="004B7B33"/>
    <w:rsid w:val="004B7B75"/>
    <w:rsid w:val="004B7B9E"/>
    <w:rsid w:val="004B7C30"/>
    <w:rsid w:val="004B7C55"/>
    <w:rsid w:val="004B7D26"/>
    <w:rsid w:val="004C00AD"/>
    <w:rsid w:val="004C010D"/>
    <w:rsid w:val="004C012E"/>
    <w:rsid w:val="004C0131"/>
    <w:rsid w:val="004C021D"/>
    <w:rsid w:val="004C0331"/>
    <w:rsid w:val="004C05B9"/>
    <w:rsid w:val="004C05EA"/>
    <w:rsid w:val="004C0694"/>
    <w:rsid w:val="004C06D5"/>
    <w:rsid w:val="004C0730"/>
    <w:rsid w:val="004C0B07"/>
    <w:rsid w:val="004C0B42"/>
    <w:rsid w:val="004C0B98"/>
    <w:rsid w:val="004C0BE3"/>
    <w:rsid w:val="004C0DB6"/>
    <w:rsid w:val="004C0DEF"/>
    <w:rsid w:val="004C0E23"/>
    <w:rsid w:val="004C0EA7"/>
    <w:rsid w:val="004C100C"/>
    <w:rsid w:val="004C1587"/>
    <w:rsid w:val="004C181B"/>
    <w:rsid w:val="004C1A47"/>
    <w:rsid w:val="004C1B3F"/>
    <w:rsid w:val="004C1BFE"/>
    <w:rsid w:val="004C1CB8"/>
    <w:rsid w:val="004C1F07"/>
    <w:rsid w:val="004C202B"/>
    <w:rsid w:val="004C225D"/>
    <w:rsid w:val="004C22A5"/>
    <w:rsid w:val="004C2502"/>
    <w:rsid w:val="004C2576"/>
    <w:rsid w:val="004C25AA"/>
    <w:rsid w:val="004C2634"/>
    <w:rsid w:val="004C27FD"/>
    <w:rsid w:val="004C2A50"/>
    <w:rsid w:val="004C2B46"/>
    <w:rsid w:val="004C306F"/>
    <w:rsid w:val="004C33D0"/>
    <w:rsid w:val="004C35B3"/>
    <w:rsid w:val="004C35CB"/>
    <w:rsid w:val="004C383C"/>
    <w:rsid w:val="004C3908"/>
    <w:rsid w:val="004C3AA6"/>
    <w:rsid w:val="004C3AB0"/>
    <w:rsid w:val="004C3ADB"/>
    <w:rsid w:val="004C3C9F"/>
    <w:rsid w:val="004C3E91"/>
    <w:rsid w:val="004C3F14"/>
    <w:rsid w:val="004C4061"/>
    <w:rsid w:val="004C407E"/>
    <w:rsid w:val="004C412C"/>
    <w:rsid w:val="004C4442"/>
    <w:rsid w:val="004C4508"/>
    <w:rsid w:val="004C45A0"/>
    <w:rsid w:val="004C45BB"/>
    <w:rsid w:val="004C470F"/>
    <w:rsid w:val="004C47D7"/>
    <w:rsid w:val="004C48A4"/>
    <w:rsid w:val="004C4C1A"/>
    <w:rsid w:val="004C4E06"/>
    <w:rsid w:val="004C4E54"/>
    <w:rsid w:val="004C4EF2"/>
    <w:rsid w:val="004C4FDA"/>
    <w:rsid w:val="004C5088"/>
    <w:rsid w:val="004C50CE"/>
    <w:rsid w:val="004C5338"/>
    <w:rsid w:val="004C5433"/>
    <w:rsid w:val="004C5480"/>
    <w:rsid w:val="004C54A8"/>
    <w:rsid w:val="004C55AD"/>
    <w:rsid w:val="004C564F"/>
    <w:rsid w:val="004C56CD"/>
    <w:rsid w:val="004C575F"/>
    <w:rsid w:val="004C580A"/>
    <w:rsid w:val="004C58A7"/>
    <w:rsid w:val="004C5937"/>
    <w:rsid w:val="004C5A62"/>
    <w:rsid w:val="004C5B2C"/>
    <w:rsid w:val="004C5F6E"/>
    <w:rsid w:val="004C5F7C"/>
    <w:rsid w:val="004C5F8B"/>
    <w:rsid w:val="004C5FE2"/>
    <w:rsid w:val="004C606D"/>
    <w:rsid w:val="004C61E1"/>
    <w:rsid w:val="004C62AC"/>
    <w:rsid w:val="004C6370"/>
    <w:rsid w:val="004C63A4"/>
    <w:rsid w:val="004C642E"/>
    <w:rsid w:val="004C6529"/>
    <w:rsid w:val="004C659C"/>
    <w:rsid w:val="004C65EC"/>
    <w:rsid w:val="004C65F3"/>
    <w:rsid w:val="004C660C"/>
    <w:rsid w:val="004C6736"/>
    <w:rsid w:val="004C680A"/>
    <w:rsid w:val="004C6890"/>
    <w:rsid w:val="004C68F2"/>
    <w:rsid w:val="004C69D1"/>
    <w:rsid w:val="004C6A37"/>
    <w:rsid w:val="004C6AE9"/>
    <w:rsid w:val="004C6B82"/>
    <w:rsid w:val="004C6C51"/>
    <w:rsid w:val="004C6C58"/>
    <w:rsid w:val="004C6D3D"/>
    <w:rsid w:val="004C6D58"/>
    <w:rsid w:val="004C6E78"/>
    <w:rsid w:val="004C70EC"/>
    <w:rsid w:val="004C7115"/>
    <w:rsid w:val="004C7325"/>
    <w:rsid w:val="004C74F9"/>
    <w:rsid w:val="004C7507"/>
    <w:rsid w:val="004C753F"/>
    <w:rsid w:val="004C778B"/>
    <w:rsid w:val="004C77CC"/>
    <w:rsid w:val="004C788B"/>
    <w:rsid w:val="004C7AF3"/>
    <w:rsid w:val="004C7BC3"/>
    <w:rsid w:val="004C7D3C"/>
    <w:rsid w:val="004C7DFE"/>
    <w:rsid w:val="004D01A4"/>
    <w:rsid w:val="004D05BB"/>
    <w:rsid w:val="004D07C7"/>
    <w:rsid w:val="004D0844"/>
    <w:rsid w:val="004D08D4"/>
    <w:rsid w:val="004D0BB4"/>
    <w:rsid w:val="004D0BD1"/>
    <w:rsid w:val="004D0BF4"/>
    <w:rsid w:val="004D0C76"/>
    <w:rsid w:val="004D0C7F"/>
    <w:rsid w:val="004D0F36"/>
    <w:rsid w:val="004D0FAA"/>
    <w:rsid w:val="004D1058"/>
    <w:rsid w:val="004D1356"/>
    <w:rsid w:val="004D13FE"/>
    <w:rsid w:val="004D1586"/>
    <w:rsid w:val="004D1658"/>
    <w:rsid w:val="004D17F7"/>
    <w:rsid w:val="004D18AC"/>
    <w:rsid w:val="004D19F7"/>
    <w:rsid w:val="004D1A0F"/>
    <w:rsid w:val="004D1BA7"/>
    <w:rsid w:val="004D1BD1"/>
    <w:rsid w:val="004D1EA1"/>
    <w:rsid w:val="004D1FD9"/>
    <w:rsid w:val="004D2132"/>
    <w:rsid w:val="004D21E6"/>
    <w:rsid w:val="004D2443"/>
    <w:rsid w:val="004D24AA"/>
    <w:rsid w:val="004D250D"/>
    <w:rsid w:val="004D2533"/>
    <w:rsid w:val="004D269D"/>
    <w:rsid w:val="004D287F"/>
    <w:rsid w:val="004D28CF"/>
    <w:rsid w:val="004D2A2F"/>
    <w:rsid w:val="004D2B6F"/>
    <w:rsid w:val="004D2BF2"/>
    <w:rsid w:val="004D2C4D"/>
    <w:rsid w:val="004D2D7B"/>
    <w:rsid w:val="004D2DFC"/>
    <w:rsid w:val="004D3176"/>
    <w:rsid w:val="004D33E7"/>
    <w:rsid w:val="004D34D3"/>
    <w:rsid w:val="004D35A7"/>
    <w:rsid w:val="004D362D"/>
    <w:rsid w:val="004D3757"/>
    <w:rsid w:val="004D3A27"/>
    <w:rsid w:val="004D3AA1"/>
    <w:rsid w:val="004D3B99"/>
    <w:rsid w:val="004D4124"/>
    <w:rsid w:val="004D4367"/>
    <w:rsid w:val="004D4532"/>
    <w:rsid w:val="004D4547"/>
    <w:rsid w:val="004D462D"/>
    <w:rsid w:val="004D475B"/>
    <w:rsid w:val="004D4A40"/>
    <w:rsid w:val="004D4AC5"/>
    <w:rsid w:val="004D4BB6"/>
    <w:rsid w:val="004D4C54"/>
    <w:rsid w:val="004D4CC8"/>
    <w:rsid w:val="004D4DD4"/>
    <w:rsid w:val="004D503B"/>
    <w:rsid w:val="004D5248"/>
    <w:rsid w:val="004D5306"/>
    <w:rsid w:val="004D5386"/>
    <w:rsid w:val="004D53E9"/>
    <w:rsid w:val="004D5974"/>
    <w:rsid w:val="004D5998"/>
    <w:rsid w:val="004D5B08"/>
    <w:rsid w:val="004D5B69"/>
    <w:rsid w:val="004D5B99"/>
    <w:rsid w:val="004D5CAD"/>
    <w:rsid w:val="004D5D39"/>
    <w:rsid w:val="004D5D61"/>
    <w:rsid w:val="004D5D99"/>
    <w:rsid w:val="004D5DBA"/>
    <w:rsid w:val="004D5E52"/>
    <w:rsid w:val="004D60C5"/>
    <w:rsid w:val="004D61DD"/>
    <w:rsid w:val="004D626B"/>
    <w:rsid w:val="004D6352"/>
    <w:rsid w:val="004D645E"/>
    <w:rsid w:val="004D65D9"/>
    <w:rsid w:val="004D66B1"/>
    <w:rsid w:val="004D66DF"/>
    <w:rsid w:val="004D6AB2"/>
    <w:rsid w:val="004D6E63"/>
    <w:rsid w:val="004D6F45"/>
    <w:rsid w:val="004D6FF5"/>
    <w:rsid w:val="004D6FFA"/>
    <w:rsid w:val="004D7112"/>
    <w:rsid w:val="004D711F"/>
    <w:rsid w:val="004D721A"/>
    <w:rsid w:val="004D7379"/>
    <w:rsid w:val="004D752D"/>
    <w:rsid w:val="004D75E4"/>
    <w:rsid w:val="004D7725"/>
    <w:rsid w:val="004D7780"/>
    <w:rsid w:val="004D78B8"/>
    <w:rsid w:val="004D78E9"/>
    <w:rsid w:val="004D7E41"/>
    <w:rsid w:val="004D7EDA"/>
    <w:rsid w:val="004D7F43"/>
    <w:rsid w:val="004E01EC"/>
    <w:rsid w:val="004E01FB"/>
    <w:rsid w:val="004E0281"/>
    <w:rsid w:val="004E0522"/>
    <w:rsid w:val="004E0613"/>
    <w:rsid w:val="004E0616"/>
    <w:rsid w:val="004E06DF"/>
    <w:rsid w:val="004E07F6"/>
    <w:rsid w:val="004E080B"/>
    <w:rsid w:val="004E08D1"/>
    <w:rsid w:val="004E099F"/>
    <w:rsid w:val="004E0B89"/>
    <w:rsid w:val="004E0C1A"/>
    <w:rsid w:val="004E0CA0"/>
    <w:rsid w:val="004E0E3F"/>
    <w:rsid w:val="004E10E6"/>
    <w:rsid w:val="004E1421"/>
    <w:rsid w:val="004E1425"/>
    <w:rsid w:val="004E15EC"/>
    <w:rsid w:val="004E16C2"/>
    <w:rsid w:val="004E1849"/>
    <w:rsid w:val="004E19FE"/>
    <w:rsid w:val="004E1C57"/>
    <w:rsid w:val="004E1CD2"/>
    <w:rsid w:val="004E1D6E"/>
    <w:rsid w:val="004E1E91"/>
    <w:rsid w:val="004E1EB4"/>
    <w:rsid w:val="004E1F9F"/>
    <w:rsid w:val="004E1FE2"/>
    <w:rsid w:val="004E2023"/>
    <w:rsid w:val="004E2098"/>
    <w:rsid w:val="004E21CD"/>
    <w:rsid w:val="004E24AA"/>
    <w:rsid w:val="004E26F4"/>
    <w:rsid w:val="004E2764"/>
    <w:rsid w:val="004E2793"/>
    <w:rsid w:val="004E279B"/>
    <w:rsid w:val="004E2851"/>
    <w:rsid w:val="004E2996"/>
    <w:rsid w:val="004E2A4B"/>
    <w:rsid w:val="004E2AE1"/>
    <w:rsid w:val="004E2B09"/>
    <w:rsid w:val="004E2B60"/>
    <w:rsid w:val="004E2BA8"/>
    <w:rsid w:val="004E2C33"/>
    <w:rsid w:val="004E2C48"/>
    <w:rsid w:val="004E2CDF"/>
    <w:rsid w:val="004E2D53"/>
    <w:rsid w:val="004E2F59"/>
    <w:rsid w:val="004E30A0"/>
    <w:rsid w:val="004E311F"/>
    <w:rsid w:val="004E3562"/>
    <w:rsid w:val="004E36A4"/>
    <w:rsid w:val="004E37B8"/>
    <w:rsid w:val="004E38D9"/>
    <w:rsid w:val="004E396B"/>
    <w:rsid w:val="004E39A5"/>
    <w:rsid w:val="004E3CAD"/>
    <w:rsid w:val="004E3D4A"/>
    <w:rsid w:val="004E3D83"/>
    <w:rsid w:val="004E3E8E"/>
    <w:rsid w:val="004E3E99"/>
    <w:rsid w:val="004E3FA8"/>
    <w:rsid w:val="004E4096"/>
    <w:rsid w:val="004E412F"/>
    <w:rsid w:val="004E413C"/>
    <w:rsid w:val="004E41CE"/>
    <w:rsid w:val="004E41D3"/>
    <w:rsid w:val="004E44B6"/>
    <w:rsid w:val="004E4543"/>
    <w:rsid w:val="004E4621"/>
    <w:rsid w:val="004E473C"/>
    <w:rsid w:val="004E4784"/>
    <w:rsid w:val="004E47BF"/>
    <w:rsid w:val="004E485D"/>
    <w:rsid w:val="004E4862"/>
    <w:rsid w:val="004E4BBA"/>
    <w:rsid w:val="004E4D51"/>
    <w:rsid w:val="004E4DC9"/>
    <w:rsid w:val="004E4FA4"/>
    <w:rsid w:val="004E5064"/>
    <w:rsid w:val="004E52A7"/>
    <w:rsid w:val="004E534E"/>
    <w:rsid w:val="004E53BA"/>
    <w:rsid w:val="004E54A4"/>
    <w:rsid w:val="004E5558"/>
    <w:rsid w:val="004E55E0"/>
    <w:rsid w:val="004E590C"/>
    <w:rsid w:val="004E5921"/>
    <w:rsid w:val="004E5B3B"/>
    <w:rsid w:val="004E5B7A"/>
    <w:rsid w:val="004E5BB6"/>
    <w:rsid w:val="004E5C8F"/>
    <w:rsid w:val="004E5E84"/>
    <w:rsid w:val="004E5EBB"/>
    <w:rsid w:val="004E5EF0"/>
    <w:rsid w:val="004E5F7C"/>
    <w:rsid w:val="004E626C"/>
    <w:rsid w:val="004E641E"/>
    <w:rsid w:val="004E64EF"/>
    <w:rsid w:val="004E6797"/>
    <w:rsid w:val="004E68FA"/>
    <w:rsid w:val="004E6946"/>
    <w:rsid w:val="004E6BFC"/>
    <w:rsid w:val="004E6C03"/>
    <w:rsid w:val="004E6CD4"/>
    <w:rsid w:val="004E6CD8"/>
    <w:rsid w:val="004E6DFD"/>
    <w:rsid w:val="004E6E06"/>
    <w:rsid w:val="004E6E27"/>
    <w:rsid w:val="004E6E87"/>
    <w:rsid w:val="004E7066"/>
    <w:rsid w:val="004E7119"/>
    <w:rsid w:val="004E726C"/>
    <w:rsid w:val="004E731F"/>
    <w:rsid w:val="004E7423"/>
    <w:rsid w:val="004E7430"/>
    <w:rsid w:val="004E7468"/>
    <w:rsid w:val="004E76BB"/>
    <w:rsid w:val="004E773A"/>
    <w:rsid w:val="004E7992"/>
    <w:rsid w:val="004E7A85"/>
    <w:rsid w:val="004E7AB9"/>
    <w:rsid w:val="004E7CB6"/>
    <w:rsid w:val="004E7E05"/>
    <w:rsid w:val="004F01AC"/>
    <w:rsid w:val="004F01B9"/>
    <w:rsid w:val="004F0480"/>
    <w:rsid w:val="004F0522"/>
    <w:rsid w:val="004F06D1"/>
    <w:rsid w:val="004F0916"/>
    <w:rsid w:val="004F09ED"/>
    <w:rsid w:val="004F0A4A"/>
    <w:rsid w:val="004F0B2C"/>
    <w:rsid w:val="004F0BB8"/>
    <w:rsid w:val="004F0C4C"/>
    <w:rsid w:val="004F0C52"/>
    <w:rsid w:val="004F0CA2"/>
    <w:rsid w:val="004F0D12"/>
    <w:rsid w:val="004F0E98"/>
    <w:rsid w:val="004F0F45"/>
    <w:rsid w:val="004F0F83"/>
    <w:rsid w:val="004F11EE"/>
    <w:rsid w:val="004F1332"/>
    <w:rsid w:val="004F148A"/>
    <w:rsid w:val="004F156B"/>
    <w:rsid w:val="004F157F"/>
    <w:rsid w:val="004F159A"/>
    <w:rsid w:val="004F15D9"/>
    <w:rsid w:val="004F1725"/>
    <w:rsid w:val="004F18B5"/>
    <w:rsid w:val="004F18BA"/>
    <w:rsid w:val="004F19EC"/>
    <w:rsid w:val="004F1AA8"/>
    <w:rsid w:val="004F1AD8"/>
    <w:rsid w:val="004F1D2F"/>
    <w:rsid w:val="004F1D89"/>
    <w:rsid w:val="004F201B"/>
    <w:rsid w:val="004F205F"/>
    <w:rsid w:val="004F20BA"/>
    <w:rsid w:val="004F20D2"/>
    <w:rsid w:val="004F22BF"/>
    <w:rsid w:val="004F2326"/>
    <w:rsid w:val="004F2448"/>
    <w:rsid w:val="004F24CA"/>
    <w:rsid w:val="004F24E8"/>
    <w:rsid w:val="004F27B1"/>
    <w:rsid w:val="004F27C3"/>
    <w:rsid w:val="004F27E7"/>
    <w:rsid w:val="004F2811"/>
    <w:rsid w:val="004F2818"/>
    <w:rsid w:val="004F288B"/>
    <w:rsid w:val="004F28E7"/>
    <w:rsid w:val="004F2AB6"/>
    <w:rsid w:val="004F2C17"/>
    <w:rsid w:val="004F2CD1"/>
    <w:rsid w:val="004F2D98"/>
    <w:rsid w:val="004F2DFE"/>
    <w:rsid w:val="004F2FA5"/>
    <w:rsid w:val="004F3181"/>
    <w:rsid w:val="004F3398"/>
    <w:rsid w:val="004F3457"/>
    <w:rsid w:val="004F3834"/>
    <w:rsid w:val="004F3B0A"/>
    <w:rsid w:val="004F3B4D"/>
    <w:rsid w:val="004F3C2F"/>
    <w:rsid w:val="004F3C9E"/>
    <w:rsid w:val="004F3D2D"/>
    <w:rsid w:val="004F3D80"/>
    <w:rsid w:val="004F3FB7"/>
    <w:rsid w:val="004F4049"/>
    <w:rsid w:val="004F404B"/>
    <w:rsid w:val="004F40AE"/>
    <w:rsid w:val="004F40CC"/>
    <w:rsid w:val="004F4319"/>
    <w:rsid w:val="004F4329"/>
    <w:rsid w:val="004F4360"/>
    <w:rsid w:val="004F43D0"/>
    <w:rsid w:val="004F45DD"/>
    <w:rsid w:val="004F477D"/>
    <w:rsid w:val="004F47E5"/>
    <w:rsid w:val="004F492B"/>
    <w:rsid w:val="004F4947"/>
    <w:rsid w:val="004F4967"/>
    <w:rsid w:val="004F4A7F"/>
    <w:rsid w:val="004F4BFE"/>
    <w:rsid w:val="004F4D89"/>
    <w:rsid w:val="004F4E44"/>
    <w:rsid w:val="004F4E53"/>
    <w:rsid w:val="004F4F03"/>
    <w:rsid w:val="004F5028"/>
    <w:rsid w:val="004F51DE"/>
    <w:rsid w:val="004F52CB"/>
    <w:rsid w:val="004F52EB"/>
    <w:rsid w:val="004F530D"/>
    <w:rsid w:val="004F531C"/>
    <w:rsid w:val="004F53EC"/>
    <w:rsid w:val="004F5411"/>
    <w:rsid w:val="004F54A5"/>
    <w:rsid w:val="004F5675"/>
    <w:rsid w:val="004F56B3"/>
    <w:rsid w:val="004F5708"/>
    <w:rsid w:val="004F579E"/>
    <w:rsid w:val="004F58C4"/>
    <w:rsid w:val="004F5927"/>
    <w:rsid w:val="004F59D7"/>
    <w:rsid w:val="004F59FF"/>
    <w:rsid w:val="004F5A04"/>
    <w:rsid w:val="004F5A28"/>
    <w:rsid w:val="004F5A39"/>
    <w:rsid w:val="004F5BC7"/>
    <w:rsid w:val="004F5C0F"/>
    <w:rsid w:val="004F5C3C"/>
    <w:rsid w:val="004F5D3B"/>
    <w:rsid w:val="004F5E14"/>
    <w:rsid w:val="004F62CF"/>
    <w:rsid w:val="004F6472"/>
    <w:rsid w:val="004F647A"/>
    <w:rsid w:val="004F6493"/>
    <w:rsid w:val="004F666A"/>
    <w:rsid w:val="004F6716"/>
    <w:rsid w:val="004F67DF"/>
    <w:rsid w:val="004F68C4"/>
    <w:rsid w:val="004F6948"/>
    <w:rsid w:val="004F6B0A"/>
    <w:rsid w:val="004F6B34"/>
    <w:rsid w:val="004F6BF6"/>
    <w:rsid w:val="004F6FD3"/>
    <w:rsid w:val="004F6FE1"/>
    <w:rsid w:val="004F6FF1"/>
    <w:rsid w:val="004F70A4"/>
    <w:rsid w:val="004F7194"/>
    <w:rsid w:val="004F71E9"/>
    <w:rsid w:val="004F7207"/>
    <w:rsid w:val="004F736C"/>
    <w:rsid w:val="004F7664"/>
    <w:rsid w:val="004F7736"/>
    <w:rsid w:val="004F7A86"/>
    <w:rsid w:val="004F7AB6"/>
    <w:rsid w:val="004F7C7E"/>
    <w:rsid w:val="004F7E0E"/>
    <w:rsid w:val="004F7E4B"/>
    <w:rsid w:val="004F7EAF"/>
    <w:rsid w:val="0050001A"/>
    <w:rsid w:val="005000EE"/>
    <w:rsid w:val="0050012D"/>
    <w:rsid w:val="00500154"/>
    <w:rsid w:val="0050020A"/>
    <w:rsid w:val="0050021D"/>
    <w:rsid w:val="00500303"/>
    <w:rsid w:val="0050038B"/>
    <w:rsid w:val="00500422"/>
    <w:rsid w:val="00500437"/>
    <w:rsid w:val="005004A9"/>
    <w:rsid w:val="0050053E"/>
    <w:rsid w:val="00500722"/>
    <w:rsid w:val="00500BEC"/>
    <w:rsid w:val="00500CFB"/>
    <w:rsid w:val="00500E78"/>
    <w:rsid w:val="00500E7E"/>
    <w:rsid w:val="00500F3B"/>
    <w:rsid w:val="00501155"/>
    <w:rsid w:val="00501310"/>
    <w:rsid w:val="0050134E"/>
    <w:rsid w:val="00501397"/>
    <w:rsid w:val="005013E5"/>
    <w:rsid w:val="00501752"/>
    <w:rsid w:val="005017CB"/>
    <w:rsid w:val="005018DE"/>
    <w:rsid w:val="00501932"/>
    <w:rsid w:val="00501AB0"/>
    <w:rsid w:val="00501B16"/>
    <w:rsid w:val="00501BB1"/>
    <w:rsid w:val="00501BC0"/>
    <w:rsid w:val="00501BFD"/>
    <w:rsid w:val="00501C92"/>
    <w:rsid w:val="00501CBC"/>
    <w:rsid w:val="00501DEE"/>
    <w:rsid w:val="00501E84"/>
    <w:rsid w:val="00502197"/>
    <w:rsid w:val="0050221C"/>
    <w:rsid w:val="00502258"/>
    <w:rsid w:val="005022A3"/>
    <w:rsid w:val="005022CF"/>
    <w:rsid w:val="00502414"/>
    <w:rsid w:val="0050255C"/>
    <w:rsid w:val="005025A6"/>
    <w:rsid w:val="00502762"/>
    <w:rsid w:val="00502786"/>
    <w:rsid w:val="00502791"/>
    <w:rsid w:val="0050283F"/>
    <w:rsid w:val="005029CE"/>
    <w:rsid w:val="00502AA0"/>
    <w:rsid w:val="00502BBF"/>
    <w:rsid w:val="00502F5D"/>
    <w:rsid w:val="00502F9E"/>
    <w:rsid w:val="00503193"/>
    <w:rsid w:val="005031A6"/>
    <w:rsid w:val="005032AA"/>
    <w:rsid w:val="00503390"/>
    <w:rsid w:val="005034DC"/>
    <w:rsid w:val="00503557"/>
    <w:rsid w:val="00503578"/>
    <w:rsid w:val="005037DA"/>
    <w:rsid w:val="00503855"/>
    <w:rsid w:val="005038B6"/>
    <w:rsid w:val="005039CB"/>
    <w:rsid w:val="00503A7C"/>
    <w:rsid w:val="00503C37"/>
    <w:rsid w:val="00503DE9"/>
    <w:rsid w:val="00503E56"/>
    <w:rsid w:val="00503FBF"/>
    <w:rsid w:val="00503FC7"/>
    <w:rsid w:val="00503FE9"/>
    <w:rsid w:val="00504031"/>
    <w:rsid w:val="005040A2"/>
    <w:rsid w:val="005041F7"/>
    <w:rsid w:val="005043C8"/>
    <w:rsid w:val="00504453"/>
    <w:rsid w:val="005045AF"/>
    <w:rsid w:val="00504604"/>
    <w:rsid w:val="00504634"/>
    <w:rsid w:val="005047F0"/>
    <w:rsid w:val="00504803"/>
    <w:rsid w:val="00504985"/>
    <w:rsid w:val="005049B9"/>
    <w:rsid w:val="00504AB4"/>
    <w:rsid w:val="00504B5F"/>
    <w:rsid w:val="00504CDF"/>
    <w:rsid w:val="00504D22"/>
    <w:rsid w:val="00504E0F"/>
    <w:rsid w:val="00504E12"/>
    <w:rsid w:val="00504E7B"/>
    <w:rsid w:val="00504EE5"/>
    <w:rsid w:val="00504F09"/>
    <w:rsid w:val="00504F93"/>
    <w:rsid w:val="00504FAD"/>
    <w:rsid w:val="00505132"/>
    <w:rsid w:val="00505173"/>
    <w:rsid w:val="005053A2"/>
    <w:rsid w:val="00505431"/>
    <w:rsid w:val="00505451"/>
    <w:rsid w:val="0050548A"/>
    <w:rsid w:val="005054AA"/>
    <w:rsid w:val="0050551B"/>
    <w:rsid w:val="0050558F"/>
    <w:rsid w:val="005055C0"/>
    <w:rsid w:val="005056F5"/>
    <w:rsid w:val="005058B6"/>
    <w:rsid w:val="005059A9"/>
    <w:rsid w:val="00505AA8"/>
    <w:rsid w:val="00505AAB"/>
    <w:rsid w:val="00505B5C"/>
    <w:rsid w:val="00505C7B"/>
    <w:rsid w:val="00505FD7"/>
    <w:rsid w:val="005060E2"/>
    <w:rsid w:val="00506286"/>
    <w:rsid w:val="005062A9"/>
    <w:rsid w:val="0050636D"/>
    <w:rsid w:val="00506391"/>
    <w:rsid w:val="00506394"/>
    <w:rsid w:val="005064A9"/>
    <w:rsid w:val="005064E3"/>
    <w:rsid w:val="0050665F"/>
    <w:rsid w:val="00506669"/>
    <w:rsid w:val="0050669B"/>
    <w:rsid w:val="0050671E"/>
    <w:rsid w:val="00506892"/>
    <w:rsid w:val="005068F1"/>
    <w:rsid w:val="0050696C"/>
    <w:rsid w:val="005069DE"/>
    <w:rsid w:val="00506B8C"/>
    <w:rsid w:val="00506DC9"/>
    <w:rsid w:val="005071DE"/>
    <w:rsid w:val="00507210"/>
    <w:rsid w:val="00507244"/>
    <w:rsid w:val="00507357"/>
    <w:rsid w:val="0050735A"/>
    <w:rsid w:val="0050735E"/>
    <w:rsid w:val="00507407"/>
    <w:rsid w:val="00507427"/>
    <w:rsid w:val="00507466"/>
    <w:rsid w:val="00507560"/>
    <w:rsid w:val="005075B8"/>
    <w:rsid w:val="005076FA"/>
    <w:rsid w:val="00507710"/>
    <w:rsid w:val="0050781B"/>
    <w:rsid w:val="005079C1"/>
    <w:rsid w:val="00507A36"/>
    <w:rsid w:val="00507ADB"/>
    <w:rsid w:val="00507BBA"/>
    <w:rsid w:val="00507EFC"/>
    <w:rsid w:val="00507F09"/>
    <w:rsid w:val="00510054"/>
    <w:rsid w:val="00510197"/>
    <w:rsid w:val="0051033D"/>
    <w:rsid w:val="005103AA"/>
    <w:rsid w:val="00510549"/>
    <w:rsid w:val="0051073A"/>
    <w:rsid w:val="0051080E"/>
    <w:rsid w:val="00510813"/>
    <w:rsid w:val="00510835"/>
    <w:rsid w:val="0051083D"/>
    <w:rsid w:val="00510A8C"/>
    <w:rsid w:val="00510ADC"/>
    <w:rsid w:val="00510BCA"/>
    <w:rsid w:val="00510C07"/>
    <w:rsid w:val="00510DAC"/>
    <w:rsid w:val="00510FFB"/>
    <w:rsid w:val="00511058"/>
    <w:rsid w:val="005110B2"/>
    <w:rsid w:val="0051117D"/>
    <w:rsid w:val="0051141A"/>
    <w:rsid w:val="00511442"/>
    <w:rsid w:val="0051156D"/>
    <w:rsid w:val="005115CC"/>
    <w:rsid w:val="005115F2"/>
    <w:rsid w:val="0051169A"/>
    <w:rsid w:val="005117C8"/>
    <w:rsid w:val="00511965"/>
    <w:rsid w:val="00511990"/>
    <w:rsid w:val="00511A93"/>
    <w:rsid w:val="00511AB9"/>
    <w:rsid w:val="00511BBC"/>
    <w:rsid w:val="00511CB5"/>
    <w:rsid w:val="00511DBD"/>
    <w:rsid w:val="00511DE0"/>
    <w:rsid w:val="00511F2E"/>
    <w:rsid w:val="00511F93"/>
    <w:rsid w:val="00512368"/>
    <w:rsid w:val="005123BC"/>
    <w:rsid w:val="0051242F"/>
    <w:rsid w:val="00512431"/>
    <w:rsid w:val="00512570"/>
    <w:rsid w:val="005125F0"/>
    <w:rsid w:val="005127F1"/>
    <w:rsid w:val="005128DE"/>
    <w:rsid w:val="0051291C"/>
    <w:rsid w:val="00512A31"/>
    <w:rsid w:val="00512E9C"/>
    <w:rsid w:val="005130D6"/>
    <w:rsid w:val="00513340"/>
    <w:rsid w:val="005134A9"/>
    <w:rsid w:val="00513508"/>
    <w:rsid w:val="0051367B"/>
    <w:rsid w:val="005139AD"/>
    <w:rsid w:val="005139C1"/>
    <w:rsid w:val="00513A4D"/>
    <w:rsid w:val="00513A59"/>
    <w:rsid w:val="00513D4A"/>
    <w:rsid w:val="00513F37"/>
    <w:rsid w:val="00514032"/>
    <w:rsid w:val="0051414A"/>
    <w:rsid w:val="00514274"/>
    <w:rsid w:val="005143C2"/>
    <w:rsid w:val="005143E1"/>
    <w:rsid w:val="0051452B"/>
    <w:rsid w:val="005145D6"/>
    <w:rsid w:val="00514634"/>
    <w:rsid w:val="005146EF"/>
    <w:rsid w:val="0051471C"/>
    <w:rsid w:val="00514724"/>
    <w:rsid w:val="005147FE"/>
    <w:rsid w:val="00514870"/>
    <w:rsid w:val="005148AE"/>
    <w:rsid w:val="00514B9B"/>
    <w:rsid w:val="00514C90"/>
    <w:rsid w:val="00514CAE"/>
    <w:rsid w:val="00514CC8"/>
    <w:rsid w:val="00514E5A"/>
    <w:rsid w:val="0051519C"/>
    <w:rsid w:val="00515251"/>
    <w:rsid w:val="00515285"/>
    <w:rsid w:val="00515376"/>
    <w:rsid w:val="00515399"/>
    <w:rsid w:val="005153C9"/>
    <w:rsid w:val="00515564"/>
    <w:rsid w:val="00515567"/>
    <w:rsid w:val="00515ACA"/>
    <w:rsid w:val="00515B4A"/>
    <w:rsid w:val="00515B4F"/>
    <w:rsid w:val="00515CD5"/>
    <w:rsid w:val="00515DAD"/>
    <w:rsid w:val="00515DCA"/>
    <w:rsid w:val="00515F39"/>
    <w:rsid w:val="00515F5D"/>
    <w:rsid w:val="00515FDC"/>
    <w:rsid w:val="005160A7"/>
    <w:rsid w:val="00516120"/>
    <w:rsid w:val="00516186"/>
    <w:rsid w:val="0051625D"/>
    <w:rsid w:val="00516279"/>
    <w:rsid w:val="00516462"/>
    <w:rsid w:val="0051668D"/>
    <w:rsid w:val="0051678D"/>
    <w:rsid w:val="00516CC8"/>
    <w:rsid w:val="00516D43"/>
    <w:rsid w:val="00516EDF"/>
    <w:rsid w:val="0051700F"/>
    <w:rsid w:val="0051723A"/>
    <w:rsid w:val="00517317"/>
    <w:rsid w:val="00517458"/>
    <w:rsid w:val="005174CA"/>
    <w:rsid w:val="00517523"/>
    <w:rsid w:val="00517581"/>
    <w:rsid w:val="00517590"/>
    <w:rsid w:val="005175D5"/>
    <w:rsid w:val="005176BF"/>
    <w:rsid w:val="005176D9"/>
    <w:rsid w:val="0051770E"/>
    <w:rsid w:val="0051776B"/>
    <w:rsid w:val="0051777B"/>
    <w:rsid w:val="0051781F"/>
    <w:rsid w:val="00517A4B"/>
    <w:rsid w:val="00517AD0"/>
    <w:rsid w:val="00517D9F"/>
    <w:rsid w:val="00517ECD"/>
    <w:rsid w:val="00517F02"/>
    <w:rsid w:val="00517F25"/>
    <w:rsid w:val="00517F37"/>
    <w:rsid w:val="00517FA8"/>
    <w:rsid w:val="00520182"/>
    <w:rsid w:val="00520269"/>
    <w:rsid w:val="005203B8"/>
    <w:rsid w:val="00520825"/>
    <w:rsid w:val="00520829"/>
    <w:rsid w:val="005208B9"/>
    <w:rsid w:val="00520A37"/>
    <w:rsid w:val="00520B5A"/>
    <w:rsid w:val="00520BEC"/>
    <w:rsid w:val="005210D7"/>
    <w:rsid w:val="00521132"/>
    <w:rsid w:val="00521301"/>
    <w:rsid w:val="005214AC"/>
    <w:rsid w:val="005214D2"/>
    <w:rsid w:val="00521600"/>
    <w:rsid w:val="005216CF"/>
    <w:rsid w:val="00521735"/>
    <w:rsid w:val="005217C6"/>
    <w:rsid w:val="00521874"/>
    <w:rsid w:val="005218E0"/>
    <w:rsid w:val="00521986"/>
    <w:rsid w:val="00521A02"/>
    <w:rsid w:val="00521A0F"/>
    <w:rsid w:val="00521B87"/>
    <w:rsid w:val="00521BC6"/>
    <w:rsid w:val="00521CBB"/>
    <w:rsid w:val="00521F8C"/>
    <w:rsid w:val="00521FE5"/>
    <w:rsid w:val="00522135"/>
    <w:rsid w:val="00522363"/>
    <w:rsid w:val="0052249D"/>
    <w:rsid w:val="005224A1"/>
    <w:rsid w:val="005224BB"/>
    <w:rsid w:val="005228B6"/>
    <w:rsid w:val="005229CB"/>
    <w:rsid w:val="00522BA0"/>
    <w:rsid w:val="00522BC8"/>
    <w:rsid w:val="00522C94"/>
    <w:rsid w:val="00522D7F"/>
    <w:rsid w:val="00522F1C"/>
    <w:rsid w:val="00522F37"/>
    <w:rsid w:val="00522FD1"/>
    <w:rsid w:val="00522FE9"/>
    <w:rsid w:val="00523096"/>
    <w:rsid w:val="005230A2"/>
    <w:rsid w:val="005230D3"/>
    <w:rsid w:val="0052317D"/>
    <w:rsid w:val="00523362"/>
    <w:rsid w:val="005233C2"/>
    <w:rsid w:val="00523447"/>
    <w:rsid w:val="0052349A"/>
    <w:rsid w:val="005234BB"/>
    <w:rsid w:val="00523522"/>
    <w:rsid w:val="005236FE"/>
    <w:rsid w:val="0052374B"/>
    <w:rsid w:val="0052377B"/>
    <w:rsid w:val="005237B9"/>
    <w:rsid w:val="005237DB"/>
    <w:rsid w:val="005238C7"/>
    <w:rsid w:val="005238E6"/>
    <w:rsid w:val="005239C2"/>
    <w:rsid w:val="00523BCF"/>
    <w:rsid w:val="005241DB"/>
    <w:rsid w:val="0052422C"/>
    <w:rsid w:val="0052429D"/>
    <w:rsid w:val="00524303"/>
    <w:rsid w:val="00524403"/>
    <w:rsid w:val="00524598"/>
    <w:rsid w:val="005246B5"/>
    <w:rsid w:val="005246EC"/>
    <w:rsid w:val="0052473E"/>
    <w:rsid w:val="005248D5"/>
    <w:rsid w:val="00524907"/>
    <w:rsid w:val="005249E5"/>
    <w:rsid w:val="00524A3C"/>
    <w:rsid w:val="00524A6D"/>
    <w:rsid w:val="00524BE3"/>
    <w:rsid w:val="00524D9F"/>
    <w:rsid w:val="00524E2F"/>
    <w:rsid w:val="00524E71"/>
    <w:rsid w:val="00524FA7"/>
    <w:rsid w:val="00524FC0"/>
    <w:rsid w:val="00525058"/>
    <w:rsid w:val="005250EA"/>
    <w:rsid w:val="0052516D"/>
    <w:rsid w:val="00525194"/>
    <w:rsid w:val="00525294"/>
    <w:rsid w:val="0052532D"/>
    <w:rsid w:val="00525336"/>
    <w:rsid w:val="005255F3"/>
    <w:rsid w:val="00525732"/>
    <w:rsid w:val="005258A2"/>
    <w:rsid w:val="005258F1"/>
    <w:rsid w:val="005258FE"/>
    <w:rsid w:val="005259A6"/>
    <w:rsid w:val="00525A51"/>
    <w:rsid w:val="00525BB9"/>
    <w:rsid w:val="00525F14"/>
    <w:rsid w:val="00526233"/>
    <w:rsid w:val="005265EA"/>
    <w:rsid w:val="00526673"/>
    <w:rsid w:val="0052669C"/>
    <w:rsid w:val="005266F8"/>
    <w:rsid w:val="0052673A"/>
    <w:rsid w:val="005267F4"/>
    <w:rsid w:val="00526840"/>
    <w:rsid w:val="0052691C"/>
    <w:rsid w:val="00526A60"/>
    <w:rsid w:val="00526B06"/>
    <w:rsid w:val="00526B1A"/>
    <w:rsid w:val="00526D40"/>
    <w:rsid w:val="0052729C"/>
    <w:rsid w:val="0052733E"/>
    <w:rsid w:val="005273EE"/>
    <w:rsid w:val="005274AB"/>
    <w:rsid w:val="00527550"/>
    <w:rsid w:val="005275BD"/>
    <w:rsid w:val="0052761F"/>
    <w:rsid w:val="00527675"/>
    <w:rsid w:val="005276B3"/>
    <w:rsid w:val="00527809"/>
    <w:rsid w:val="005278D5"/>
    <w:rsid w:val="005279D0"/>
    <w:rsid w:val="00527BD0"/>
    <w:rsid w:val="00527C6D"/>
    <w:rsid w:val="00527D2B"/>
    <w:rsid w:val="00527D59"/>
    <w:rsid w:val="00527DA8"/>
    <w:rsid w:val="00527EA9"/>
    <w:rsid w:val="00527F0D"/>
    <w:rsid w:val="00527FA4"/>
    <w:rsid w:val="005302E0"/>
    <w:rsid w:val="00530386"/>
    <w:rsid w:val="0053042A"/>
    <w:rsid w:val="005305D1"/>
    <w:rsid w:val="005305EB"/>
    <w:rsid w:val="0053060C"/>
    <w:rsid w:val="0053071B"/>
    <w:rsid w:val="00530725"/>
    <w:rsid w:val="00530B01"/>
    <w:rsid w:val="00530B8D"/>
    <w:rsid w:val="00530C37"/>
    <w:rsid w:val="00531162"/>
    <w:rsid w:val="00531216"/>
    <w:rsid w:val="00531397"/>
    <w:rsid w:val="005313C0"/>
    <w:rsid w:val="00531429"/>
    <w:rsid w:val="005314ED"/>
    <w:rsid w:val="0053158D"/>
    <w:rsid w:val="0053165A"/>
    <w:rsid w:val="0053165D"/>
    <w:rsid w:val="005316FA"/>
    <w:rsid w:val="005317EB"/>
    <w:rsid w:val="00531872"/>
    <w:rsid w:val="005318A8"/>
    <w:rsid w:val="00531935"/>
    <w:rsid w:val="005319CB"/>
    <w:rsid w:val="00531B7F"/>
    <w:rsid w:val="00531D21"/>
    <w:rsid w:val="00531D35"/>
    <w:rsid w:val="00531DF0"/>
    <w:rsid w:val="00531F1A"/>
    <w:rsid w:val="00531F38"/>
    <w:rsid w:val="00531FAE"/>
    <w:rsid w:val="00532092"/>
    <w:rsid w:val="005320B0"/>
    <w:rsid w:val="0053210B"/>
    <w:rsid w:val="00532122"/>
    <w:rsid w:val="005321FC"/>
    <w:rsid w:val="00532234"/>
    <w:rsid w:val="005322DD"/>
    <w:rsid w:val="005322E6"/>
    <w:rsid w:val="00532355"/>
    <w:rsid w:val="005323AA"/>
    <w:rsid w:val="005323FD"/>
    <w:rsid w:val="00532509"/>
    <w:rsid w:val="00532577"/>
    <w:rsid w:val="005325C5"/>
    <w:rsid w:val="005325D5"/>
    <w:rsid w:val="005326AC"/>
    <w:rsid w:val="005326F8"/>
    <w:rsid w:val="00532770"/>
    <w:rsid w:val="005327B5"/>
    <w:rsid w:val="0053280A"/>
    <w:rsid w:val="005329AD"/>
    <w:rsid w:val="00532B90"/>
    <w:rsid w:val="00532D9A"/>
    <w:rsid w:val="00532DB9"/>
    <w:rsid w:val="00532DE4"/>
    <w:rsid w:val="00532E22"/>
    <w:rsid w:val="00532E7A"/>
    <w:rsid w:val="005330FC"/>
    <w:rsid w:val="00533148"/>
    <w:rsid w:val="0053316E"/>
    <w:rsid w:val="005331BA"/>
    <w:rsid w:val="0053324F"/>
    <w:rsid w:val="005332F7"/>
    <w:rsid w:val="005334BA"/>
    <w:rsid w:val="00533508"/>
    <w:rsid w:val="00533538"/>
    <w:rsid w:val="005335F8"/>
    <w:rsid w:val="00533603"/>
    <w:rsid w:val="005338B7"/>
    <w:rsid w:val="00533945"/>
    <w:rsid w:val="00533A3C"/>
    <w:rsid w:val="00533BC9"/>
    <w:rsid w:val="00533C8C"/>
    <w:rsid w:val="00533CC4"/>
    <w:rsid w:val="00533CDD"/>
    <w:rsid w:val="00533E4E"/>
    <w:rsid w:val="00533F1E"/>
    <w:rsid w:val="00534083"/>
    <w:rsid w:val="00534147"/>
    <w:rsid w:val="00534156"/>
    <w:rsid w:val="005341FD"/>
    <w:rsid w:val="0053465B"/>
    <w:rsid w:val="005346CA"/>
    <w:rsid w:val="00534B1B"/>
    <w:rsid w:val="00534B2A"/>
    <w:rsid w:val="00534B8D"/>
    <w:rsid w:val="00534CEC"/>
    <w:rsid w:val="00534CFD"/>
    <w:rsid w:val="00534E29"/>
    <w:rsid w:val="00534EA8"/>
    <w:rsid w:val="00534F8F"/>
    <w:rsid w:val="00535119"/>
    <w:rsid w:val="005352D7"/>
    <w:rsid w:val="00535560"/>
    <w:rsid w:val="00535594"/>
    <w:rsid w:val="0053572F"/>
    <w:rsid w:val="005357EF"/>
    <w:rsid w:val="0053593A"/>
    <w:rsid w:val="00535956"/>
    <w:rsid w:val="00535A83"/>
    <w:rsid w:val="00535ADC"/>
    <w:rsid w:val="00535AEC"/>
    <w:rsid w:val="00535BF3"/>
    <w:rsid w:val="00535C05"/>
    <w:rsid w:val="00535DC5"/>
    <w:rsid w:val="00535DC9"/>
    <w:rsid w:val="00535E05"/>
    <w:rsid w:val="00536090"/>
    <w:rsid w:val="005360A8"/>
    <w:rsid w:val="005360F7"/>
    <w:rsid w:val="00536202"/>
    <w:rsid w:val="0053651E"/>
    <w:rsid w:val="005367A0"/>
    <w:rsid w:val="005368B7"/>
    <w:rsid w:val="00536A0A"/>
    <w:rsid w:val="00536AA1"/>
    <w:rsid w:val="00536B54"/>
    <w:rsid w:val="00536BA3"/>
    <w:rsid w:val="00536D7C"/>
    <w:rsid w:val="00536E15"/>
    <w:rsid w:val="00536E3E"/>
    <w:rsid w:val="00536FE6"/>
    <w:rsid w:val="005371B8"/>
    <w:rsid w:val="00537580"/>
    <w:rsid w:val="005377F8"/>
    <w:rsid w:val="00537905"/>
    <w:rsid w:val="00537A52"/>
    <w:rsid w:val="00537AB3"/>
    <w:rsid w:val="00537AF2"/>
    <w:rsid w:val="00537B08"/>
    <w:rsid w:val="00537B30"/>
    <w:rsid w:val="00537B80"/>
    <w:rsid w:val="00537BAC"/>
    <w:rsid w:val="00537C17"/>
    <w:rsid w:val="00537CAB"/>
    <w:rsid w:val="00537CDA"/>
    <w:rsid w:val="00537CE3"/>
    <w:rsid w:val="00537E00"/>
    <w:rsid w:val="00537E65"/>
    <w:rsid w:val="00537FCC"/>
    <w:rsid w:val="00540133"/>
    <w:rsid w:val="00540196"/>
    <w:rsid w:val="005401AE"/>
    <w:rsid w:val="0054036D"/>
    <w:rsid w:val="00540384"/>
    <w:rsid w:val="005403AE"/>
    <w:rsid w:val="00540407"/>
    <w:rsid w:val="00540B49"/>
    <w:rsid w:val="00540BBA"/>
    <w:rsid w:val="00540BD2"/>
    <w:rsid w:val="00540C87"/>
    <w:rsid w:val="00540CD3"/>
    <w:rsid w:val="00540DCE"/>
    <w:rsid w:val="00540E0B"/>
    <w:rsid w:val="00540E3E"/>
    <w:rsid w:val="00541188"/>
    <w:rsid w:val="0054128B"/>
    <w:rsid w:val="0054133E"/>
    <w:rsid w:val="005413E3"/>
    <w:rsid w:val="005415F3"/>
    <w:rsid w:val="005416B4"/>
    <w:rsid w:val="00541870"/>
    <w:rsid w:val="00541CBE"/>
    <w:rsid w:val="00541D6E"/>
    <w:rsid w:val="005420DD"/>
    <w:rsid w:val="00542258"/>
    <w:rsid w:val="005422C4"/>
    <w:rsid w:val="005422FC"/>
    <w:rsid w:val="0054236B"/>
    <w:rsid w:val="00542374"/>
    <w:rsid w:val="00542389"/>
    <w:rsid w:val="0054243F"/>
    <w:rsid w:val="005425ED"/>
    <w:rsid w:val="0054268A"/>
    <w:rsid w:val="00542702"/>
    <w:rsid w:val="00542748"/>
    <w:rsid w:val="00542765"/>
    <w:rsid w:val="005427C2"/>
    <w:rsid w:val="005428E0"/>
    <w:rsid w:val="005429AA"/>
    <w:rsid w:val="005429DE"/>
    <w:rsid w:val="00542A3E"/>
    <w:rsid w:val="00542A72"/>
    <w:rsid w:val="00542B2A"/>
    <w:rsid w:val="00542E07"/>
    <w:rsid w:val="0054303D"/>
    <w:rsid w:val="00543098"/>
    <w:rsid w:val="0054317A"/>
    <w:rsid w:val="005431B6"/>
    <w:rsid w:val="0054322A"/>
    <w:rsid w:val="00543386"/>
    <w:rsid w:val="00543396"/>
    <w:rsid w:val="00543444"/>
    <w:rsid w:val="0054384E"/>
    <w:rsid w:val="00543881"/>
    <w:rsid w:val="005438EC"/>
    <w:rsid w:val="005439D3"/>
    <w:rsid w:val="00543B2A"/>
    <w:rsid w:val="00543BB8"/>
    <w:rsid w:val="00543CD9"/>
    <w:rsid w:val="00543CFD"/>
    <w:rsid w:val="00543DE0"/>
    <w:rsid w:val="00543E3E"/>
    <w:rsid w:val="00543E48"/>
    <w:rsid w:val="00543F52"/>
    <w:rsid w:val="0054401A"/>
    <w:rsid w:val="00544069"/>
    <w:rsid w:val="0054409B"/>
    <w:rsid w:val="005442F0"/>
    <w:rsid w:val="00544365"/>
    <w:rsid w:val="00544403"/>
    <w:rsid w:val="0054442E"/>
    <w:rsid w:val="00544AB4"/>
    <w:rsid w:val="00544C17"/>
    <w:rsid w:val="00544C2B"/>
    <w:rsid w:val="00544EBE"/>
    <w:rsid w:val="00544FB4"/>
    <w:rsid w:val="00545138"/>
    <w:rsid w:val="00545151"/>
    <w:rsid w:val="005451C9"/>
    <w:rsid w:val="00545424"/>
    <w:rsid w:val="0054549A"/>
    <w:rsid w:val="005454FC"/>
    <w:rsid w:val="0054560C"/>
    <w:rsid w:val="00545782"/>
    <w:rsid w:val="00545962"/>
    <w:rsid w:val="00545B07"/>
    <w:rsid w:val="00545C82"/>
    <w:rsid w:val="00545CB5"/>
    <w:rsid w:val="00545CCC"/>
    <w:rsid w:val="00545E17"/>
    <w:rsid w:val="00546210"/>
    <w:rsid w:val="00546350"/>
    <w:rsid w:val="00546459"/>
    <w:rsid w:val="00546480"/>
    <w:rsid w:val="005465D4"/>
    <w:rsid w:val="00546663"/>
    <w:rsid w:val="00546A05"/>
    <w:rsid w:val="00546A51"/>
    <w:rsid w:val="00546C8B"/>
    <w:rsid w:val="00546C90"/>
    <w:rsid w:val="00546D1E"/>
    <w:rsid w:val="00546F05"/>
    <w:rsid w:val="00546F29"/>
    <w:rsid w:val="005470AF"/>
    <w:rsid w:val="0054750F"/>
    <w:rsid w:val="0054761A"/>
    <w:rsid w:val="00547678"/>
    <w:rsid w:val="0054790C"/>
    <w:rsid w:val="00547B61"/>
    <w:rsid w:val="00547B7C"/>
    <w:rsid w:val="00547C0F"/>
    <w:rsid w:val="00547DCF"/>
    <w:rsid w:val="00547ED5"/>
    <w:rsid w:val="00547F3D"/>
    <w:rsid w:val="005500AB"/>
    <w:rsid w:val="005502C0"/>
    <w:rsid w:val="00550397"/>
    <w:rsid w:val="00550572"/>
    <w:rsid w:val="005505F0"/>
    <w:rsid w:val="00550633"/>
    <w:rsid w:val="005507A9"/>
    <w:rsid w:val="00550884"/>
    <w:rsid w:val="005508A8"/>
    <w:rsid w:val="005508FF"/>
    <w:rsid w:val="00550A9A"/>
    <w:rsid w:val="00550AD4"/>
    <w:rsid w:val="00550B32"/>
    <w:rsid w:val="00550C7C"/>
    <w:rsid w:val="00551102"/>
    <w:rsid w:val="005511D3"/>
    <w:rsid w:val="0055134D"/>
    <w:rsid w:val="005513A6"/>
    <w:rsid w:val="005514A3"/>
    <w:rsid w:val="005514AF"/>
    <w:rsid w:val="005514C8"/>
    <w:rsid w:val="005515FB"/>
    <w:rsid w:val="00551A0F"/>
    <w:rsid w:val="00551B01"/>
    <w:rsid w:val="00551C40"/>
    <w:rsid w:val="00551CE8"/>
    <w:rsid w:val="00551D56"/>
    <w:rsid w:val="005520AC"/>
    <w:rsid w:val="005520D0"/>
    <w:rsid w:val="00552135"/>
    <w:rsid w:val="0055230F"/>
    <w:rsid w:val="00552406"/>
    <w:rsid w:val="005524EE"/>
    <w:rsid w:val="00552573"/>
    <w:rsid w:val="00552646"/>
    <w:rsid w:val="005529D2"/>
    <w:rsid w:val="00552A1C"/>
    <w:rsid w:val="00552A51"/>
    <w:rsid w:val="00552BDF"/>
    <w:rsid w:val="00552C60"/>
    <w:rsid w:val="00552EF4"/>
    <w:rsid w:val="00552FBD"/>
    <w:rsid w:val="005530F0"/>
    <w:rsid w:val="00553339"/>
    <w:rsid w:val="005533FF"/>
    <w:rsid w:val="0055348D"/>
    <w:rsid w:val="00553537"/>
    <w:rsid w:val="00553676"/>
    <w:rsid w:val="0055376F"/>
    <w:rsid w:val="005537C1"/>
    <w:rsid w:val="00553853"/>
    <w:rsid w:val="0055387F"/>
    <w:rsid w:val="00553BE7"/>
    <w:rsid w:val="00553C8E"/>
    <w:rsid w:val="00553D75"/>
    <w:rsid w:val="00553E25"/>
    <w:rsid w:val="00553FF7"/>
    <w:rsid w:val="00554149"/>
    <w:rsid w:val="005541C5"/>
    <w:rsid w:val="00554224"/>
    <w:rsid w:val="005543C2"/>
    <w:rsid w:val="00554414"/>
    <w:rsid w:val="00554591"/>
    <w:rsid w:val="005546C0"/>
    <w:rsid w:val="005546FD"/>
    <w:rsid w:val="0055475A"/>
    <w:rsid w:val="00554842"/>
    <w:rsid w:val="00554908"/>
    <w:rsid w:val="00554A7B"/>
    <w:rsid w:val="00554A98"/>
    <w:rsid w:val="00554AD1"/>
    <w:rsid w:val="00554B5C"/>
    <w:rsid w:val="00554BA4"/>
    <w:rsid w:val="00554CD2"/>
    <w:rsid w:val="00554E08"/>
    <w:rsid w:val="00555081"/>
    <w:rsid w:val="005550DC"/>
    <w:rsid w:val="00555187"/>
    <w:rsid w:val="0055518A"/>
    <w:rsid w:val="00555429"/>
    <w:rsid w:val="005555F2"/>
    <w:rsid w:val="00555670"/>
    <w:rsid w:val="0055572C"/>
    <w:rsid w:val="005557FE"/>
    <w:rsid w:val="005558BF"/>
    <w:rsid w:val="005558CB"/>
    <w:rsid w:val="00555A33"/>
    <w:rsid w:val="00555BCF"/>
    <w:rsid w:val="00555EDD"/>
    <w:rsid w:val="00555F21"/>
    <w:rsid w:val="00555F78"/>
    <w:rsid w:val="00555F92"/>
    <w:rsid w:val="005561A8"/>
    <w:rsid w:val="00556213"/>
    <w:rsid w:val="005562E2"/>
    <w:rsid w:val="005563BA"/>
    <w:rsid w:val="005564EB"/>
    <w:rsid w:val="00556838"/>
    <w:rsid w:val="00556866"/>
    <w:rsid w:val="00556AD7"/>
    <w:rsid w:val="00556B75"/>
    <w:rsid w:val="00556C28"/>
    <w:rsid w:val="00556C8B"/>
    <w:rsid w:val="00556D57"/>
    <w:rsid w:val="00556F3D"/>
    <w:rsid w:val="00556F6F"/>
    <w:rsid w:val="00556FA5"/>
    <w:rsid w:val="00556FE1"/>
    <w:rsid w:val="0055712D"/>
    <w:rsid w:val="005572B2"/>
    <w:rsid w:val="00557335"/>
    <w:rsid w:val="0055754F"/>
    <w:rsid w:val="0055757A"/>
    <w:rsid w:val="005575D1"/>
    <w:rsid w:val="005576F0"/>
    <w:rsid w:val="005578B2"/>
    <w:rsid w:val="005578FB"/>
    <w:rsid w:val="00557A08"/>
    <w:rsid w:val="00557A9C"/>
    <w:rsid w:val="00557C0A"/>
    <w:rsid w:val="00557F03"/>
    <w:rsid w:val="00557FE9"/>
    <w:rsid w:val="0056001E"/>
    <w:rsid w:val="0056004D"/>
    <w:rsid w:val="00560093"/>
    <w:rsid w:val="0056009C"/>
    <w:rsid w:val="005601AB"/>
    <w:rsid w:val="005601C8"/>
    <w:rsid w:val="00560228"/>
    <w:rsid w:val="0056055E"/>
    <w:rsid w:val="00560769"/>
    <w:rsid w:val="005608B2"/>
    <w:rsid w:val="00560969"/>
    <w:rsid w:val="00560A90"/>
    <w:rsid w:val="00560CD4"/>
    <w:rsid w:val="00560D77"/>
    <w:rsid w:val="00560D9A"/>
    <w:rsid w:val="00560E07"/>
    <w:rsid w:val="00560E0E"/>
    <w:rsid w:val="00560F4E"/>
    <w:rsid w:val="00560FC7"/>
    <w:rsid w:val="00561001"/>
    <w:rsid w:val="00561016"/>
    <w:rsid w:val="0056106A"/>
    <w:rsid w:val="005611AF"/>
    <w:rsid w:val="00561286"/>
    <w:rsid w:val="0056150F"/>
    <w:rsid w:val="005615B2"/>
    <w:rsid w:val="00561684"/>
    <w:rsid w:val="005618A8"/>
    <w:rsid w:val="00561B58"/>
    <w:rsid w:val="00561C6B"/>
    <w:rsid w:val="00561CFB"/>
    <w:rsid w:val="00561D45"/>
    <w:rsid w:val="00561ECD"/>
    <w:rsid w:val="00561F0C"/>
    <w:rsid w:val="00562010"/>
    <w:rsid w:val="00562114"/>
    <w:rsid w:val="005621BB"/>
    <w:rsid w:val="00562262"/>
    <w:rsid w:val="00562280"/>
    <w:rsid w:val="005623C2"/>
    <w:rsid w:val="0056242A"/>
    <w:rsid w:val="0056256C"/>
    <w:rsid w:val="00562589"/>
    <w:rsid w:val="00562609"/>
    <w:rsid w:val="00562689"/>
    <w:rsid w:val="005626CD"/>
    <w:rsid w:val="00562703"/>
    <w:rsid w:val="00562736"/>
    <w:rsid w:val="005627F7"/>
    <w:rsid w:val="005627FB"/>
    <w:rsid w:val="0056289E"/>
    <w:rsid w:val="00562A25"/>
    <w:rsid w:val="00562D93"/>
    <w:rsid w:val="00562D9F"/>
    <w:rsid w:val="00562DED"/>
    <w:rsid w:val="00562DFB"/>
    <w:rsid w:val="00562E5B"/>
    <w:rsid w:val="00562EA3"/>
    <w:rsid w:val="00562F74"/>
    <w:rsid w:val="00563035"/>
    <w:rsid w:val="005631A9"/>
    <w:rsid w:val="00563201"/>
    <w:rsid w:val="0056335B"/>
    <w:rsid w:val="0056359E"/>
    <w:rsid w:val="00563656"/>
    <w:rsid w:val="005636EE"/>
    <w:rsid w:val="0056378A"/>
    <w:rsid w:val="005638CB"/>
    <w:rsid w:val="00563B35"/>
    <w:rsid w:val="00563C85"/>
    <w:rsid w:val="00563D28"/>
    <w:rsid w:val="00563D39"/>
    <w:rsid w:val="00563DC1"/>
    <w:rsid w:val="00563E79"/>
    <w:rsid w:val="00563E9F"/>
    <w:rsid w:val="00563F63"/>
    <w:rsid w:val="00564202"/>
    <w:rsid w:val="00564373"/>
    <w:rsid w:val="00564486"/>
    <w:rsid w:val="00564596"/>
    <w:rsid w:val="005645EF"/>
    <w:rsid w:val="00564635"/>
    <w:rsid w:val="00564792"/>
    <w:rsid w:val="005648A9"/>
    <w:rsid w:val="005648F5"/>
    <w:rsid w:val="005649DA"/>
    <w:rsid w:val="00564A8E"/>
    <w:rsid w:val="00564B68"/>
    <w:rsid w:val="00564BBC"/>
    <w:rsid w:val="00564BC8"/>
    <w:rsid w:val="00564CF5"/>
    <w:rsid w:val="00564D2E"/>
    <w:rsid w:val="00564E6E"/>
    <w:rsid w:val="00564ECD"/>
    <w:rsid w:val="00564ED0"/>
    <w:rsid w:val="00564FFD"/>
    <w:rsid w:val="0056534A"/>
    <w:rsid w:val="0056535E"/>
    <w:rsid w:val="00565433"/>
    <w:rsid w:val="00565466"/>
    <w:rsid w:val="0056553D"/>
    <w:rsid w:val="00565585"/>
    <w:rsid w:val="005656BA"/>
    <w:rsid w:val="005656ED"/>
    <w:rsid w:val="00565749"/>
    <w:rsid w:val="00565781"/>
    <w:rsid w:val="005658F5"/>
    <w:rsid w:val="0056592A"/>
    <w:rsid w:val="005659EB"/>
    <w:rsid w:val="00565DB9"/>
    <w:rsid w:val="00565E1C"/>
    <w:rsid w:val="0056610E"/>
    <w:rsid w:val="00566171"/>
    <w:rsid w:val="005661AE"/>
    <w:rsid w:val="005663A6"/>
    <w:rsid w:val="0056644E"/>
    <w:rsid w:val="0056648C"/>
    <w:rsid w:val="0056651A"/>
    <w:rsid w:val="005665E7"/>
    <w:rsid w:val="0056695B"/>
    <w:rsid w:val="005669E3"/>
    <w:rsid w:val="00566C1A"/>
    <w:rsid w:val="00566C6D"/>
    <w:rsid w:val="00566CA7"/>
    <w:rsid w:val="00566CDF"/>
    <w:rsid w:val="00566E45"/>
    <w:rsid w:val="00566E9E"/>
    <w:rsid w:val="00566EAD"/>
    <w:rsid w:val="005672DD"/>
    <w:rsid w:val="00567345"/>
    <w:rsid w:val="005673DD"/>
    <w:rsid w:val="005673E3"/>
    <w:rsid w:val="0056754A"/>
    <w:rsid w:val="00567593"/>
    <w:rsid w:val="005675DF"/>
    <w:rsid w:val="005675FF"/>
    <w:rsid w:val="005676AB"/>
    <w:rsid w:val="00567756"/>
    <w:rsid w:val="0056777B"/>
    <w:rsid w:val="00567947"/>
    <w:rsid w:val="005679F9"/>
    <w:rsid w:val="00567A82"/>
    <w:rsid w:val="00567AED"/>
    <w:rsid w:val="00567AFA"/>
    <w:rsid w:val="00567B2D"/>
    <w:rsid w:val="00567D12"/>
    <w:rsid w:val="00567D5E"/>
    <w:rsid w:val="00567D79"/>
    <w:rsid w:val="00567D8C"/>
    <w:rsid w:val="00567E8B"/>
    <w:rsid w:val="00567F04"/>
    <w:rsid w:val="00567F59"/>
    <w:rsid w:val="00570002"/>
    <w:rsid w:val="005702E5"/>
    <w:rsid w:val="00570355"/>
    <w:rsid w:val="005703AF"/>
    <w:rsid w:val="005703B8"/>
    <w:rsid w:val="00570474"/>
    <w:rsid w:val="00570501"/>
    <w:rsid w:val="0057057E"/>
    <w:rsid w:val="005705BF"/>
    <w:rsid w:val="00570770"/>
    <w:rsid w:val="00570799"/>
    <w:rsid w:val="005708B1"/>
    <w:rsid w:val="005708ED"/>
    <w:rsid w:val="005708F5"/>
    <w:rsid w:val="0057091A"/>
    <w:rsid w:val="00570938"/>
    <w:rsid w:val="005709FE"/>
    <w:rsid w:val="00570A18"/>
    <w:rsid w:val="00570A8F"/>
    <w:rsid w:val="00570C5A"/>
    <w:rsid w:val="00570D4B"/>
    <w:rsid w:val="00570EB0"/>
    <w:rsid w:val="005710F6"/>
    <w:rsid w:val="00571186"/>
    <w:rsid w:val="0057129A"/>
    <w:rsid w:val="005713B9"/>
    <w:rsid w:val="005713FF"/>
    <w:rsid w:val="0057144D"/>
    <w:rsid w:val="005714A4"/>
    <w:rsid w:val="00571560"/>
    <w:rsid w:val="00571687"/>
    <w:rsid w:val="0057179D"/>
    <w:rsid w:val="005717B5"/>
    <w:rsid w:val="00571B4F"/>
    <w:rsid w:val="00571BF3"/>
    <w:rsid w:val="00571BF6"/>
    <w:rsid w:val="00571F3A"/>
    <w:rsid w:val="00571FEF"/>
    <w:rsid w:val="00572028"/>
    <w:rsid w:val="0057202D"/>
    <w:rsid w:val="005720AE"/>
    <w:rsid w:val="005721E8"/>
    <w:rsid w:val="005722D8"/>
    <w:rsid w:val="00572316"/>
    <w:rsid w:val="005725FA"/>
    <w:rsid w:val="00572846"/>
    <w:rsid w:val="00572901"/>
    <w:rsid w:val="00572962"/>
    <w:rsid w:val="00572A17"/>
    <w:rsid w:val="00572AF2"/>
    <w:rsid w:val="00572BAB"/>
    <w:rsid w:val="00572D49"/>
    <w:rsid w:val="00572DB6"/>
    <w:rsid w:val="00572E57"/>
    <w:rsid w:val="0057305B"/>
    <w:rsid w:val="00573061"/>
    <w:rsid w:val="00573771"/>
    <w:rsid w:val="00573957"/>
    <w:rsid w:val="00573A6B"/>
    <w:rsid w:val="00573AAD"/>
    <w:rsid w:val="00573BE7"/>
    <w:rsid w:val="00573E0E"/>
    <w:rsid w:val="00573E74"/>
    <w:rsid w:val="00573FBB"/>
    <w:rsid w:val="0057400F"/>
    <w:rsid w:val="00574142"/>
    <w:rsid w:val="005741F8"/>
    <w:rsid w:val="00574237"/>
    <w:rsid w:val="00574262"/>
    <w:rsid w:val="0057438E"/>
    <w:rsid w:val="005743EF"/>
    <w:rsid w:val="005744AB"/>
    <w:rsid w:val="0057451B"/>
    <w:rsid w:val="0057456B"/>
    <w:rsid w:val="005745C3"/>
    <w:rsid w:val="005745E3"/>
    <w:rsid w:val="0057469A"/>
    <w:rsid w:val="0057484E"/>
    <w:rsid w:val="00574863"/>
    <w:rsid w:val="00574906"/>
    <w:rsid w:val="00574B10"/>
    <w:rsid w:val="00574C0B"/>
    <w:rsid w:val="00574C66"/>
    <w:rsid w:val="00574C7B"/>
    <w:rsid w:val="00574C87"/>
    <w:rsid w:val="00574C9A"/>
    <w:rsid w:val="00574D53"/>
    <w:rsid w:val="00574EAC"/>
    <w:rsid w:val="00574EDF"/>
    <w:rsid w:val="00574EFC"/>
    <w:rsid w:val="00574F52"/>
    <w:rsid w:val="00575313"/>
    <w:rsid w:val="005753B8"/>
    <w:rsid w:val="005753CE"/>
    <w:rsid w:val="005753FF"/>
    <w:rsid w:val="0057544A"/>
    <w:rsid w:val="00575598"/>
    <w:rsid w:val="005757BB"/>
    <w:rsid w:val="00575882"/>
    <w:rsid w:val="005759F2"/>
    <w:rsid w:val="00575B73"/>
    <w:rsid w:val="00575B8D"/>
    <w:rsid w:val="00575DEB"/>
    <w:rsid w:val="00575E3E"/>
    <w:rsid w:val="00576144"/>
    <w:rsid w:val="005762A5"/>
    <w:rsid w:val="00576622"/>
    <w:rsid w:val="0057662C"/>
    <w:rsid w:val="00576779"/>
    <w:rsid w:val="00576BCE"/>
    <w:rsid w:val="00576CC7"/>
    <w:rsid w:val="00576F2D"/>
    <w:rsid w:val="00576FE0"/>
    <w:rsid w:val="00576FF4"/>
    <w:rsid w:val="00577006"/>
    <w:rsid w:val="0057707E"/>
    <w:rsid w:val="005771A8"/>
    <w:rsid w:val="00577262"/>
    <w:rsid w:val="00577527"/>
    <w:rsid w:val="00577655"/>
    <w:rsid w:val="00577663"/>
    <w:rsid w:val="00577966"/>
    <w:rsid w:val="0057799A"/>
    <w:rsid w:val="005779B7"/>
    <w:rsid w:val="00577A0F"/>
    <w:rsid w:val="00577ABE"/>
    <w:rsid w:val="00577B51"/>
    <w:rsid w:val="00577BAC"/>
    <w:rsid w:val="00577C88"/>
    <w:rsid w:val="00577E71"/>
    <w:rsid w:val="00577EB5"/>
    <w:rsid w:val="00577F22"/>
    <w:rsid w:val="00577F88"/>
    <w:rsid w:val="0058002E"/>
    <w:rsid w:val="0058007F"/>
    <w:rsid w:val="00580143"/>
    <w:rsid w:val="0058015B"/>
    <w:rsid w:val="0058017D"/>
    <w:rsid w:val="0058022C"/>
    <w:rsid w:val="0058031E"/>
    <w:rsid w:val="00580427"/>
    <w:rsid w:val="0058064D"/>
    <w:rsid w:val="00580736"/>
    <w:rsid w:val="0058073E"/>
    <w:rsid w:val="00580759"/>
    <w:rsid w:val="00580831"/>
    <w:rsid w:val="0058084F"/>
    <w:rsid w:val="00580A41"/>
    <w:rsid w:val="00580ABD"/>
    <w:rsid w:val="00580AE2"/>
    <w:rsid w:val="00580C81"/>
    <w:rsid w:val="00580D6B"/>
    <w:rsid w:val="00580F1D"/>
    <w:rsid w:val="00580FF2"/>
    <w:rsid w:val="005810AC"/>
    <w:rsid w:val="00581205"/>
    <w:rsid w:val="00581280"/>
    <w:rsid w:val="005812B8"/>
    <w:rsid w:val="00581415"/>
    <w:rsid w:val="00581438"/>
    <w:rsid w:val="0058143D"/>
    <w:rsid w:val="00581440"/>
    <w:rsid w:val="00581524"/>
    <w:rsid w:val="00581A13"/>
    <w:rsid w:val="00581A30"/>
    <w:rsid w:val="00581AAD"/>
    <w:rsid w:val="00581AB5"/>
    <w:rsid w:val="00581B06"/>
    <w:rsid w:val="00581B6C"/>
    <w:rsid w:val="00581C99"/>
    <w:rsid w:val="00581F5C"/>
    <w:rsid w:val="00581FCD"/>
    <w:rsid w:val="00581FDB"/>
    <w:rsid w:val="005820A4"/>
    <w:rsid w:val="005820DC"/>
    <w:rsid w:val="00582343"/>
    <w:rsid w:val="00582355"/>
    <w:rsid w:val="005823AF"/>
    <w:rsid w:val="005824D3"/>
    <w:rsid w:val="00582732"/>
    <w:rsid w:val="00582975"/>
    <w:rsid w:val="00582D7B"/>
    <w:rsid w:val="00582DDD"/>
    <w:rsid w:val="00582E4C"/>
    <w:rsid w:val="00583069"/>
    <w:rsid w:val="005830B4"/>
    <w:rsid w:val="00583113"/>
    <w:rsid w:val="005834FC"/>
    <w:rsid w:val="00583642"/>
    <w:rsid w:val="0058377C"/>
    <w:rsid w:val="005838D0"/>
    <w:rsid w:val="005838F0"/>
    <w:rsid w:val="00583A2A"/>
    <w:rsid w:val="00583A46"/>
    <w:rsid w:val="00583BF5"/>
    <w:rsid w:val="00583D57"/>
    <w:rsid w:val="00583D68"/>
    <w:rsid w:val="00583F75"/>
    <w:rsid w:val="00583FB6"/>
    <w:rsid w:val="0058402D"/>
    <w:rsid w:val="005840B5"/>
    <w:rsid w:val="005840FA"/>
    <w:rsid w:val="0058416F"/>
    <w:rsid w:val="00584565"/>
    <w:rsid w:val="00584676"/>
    <w:rsid w:val="0058472D"/>
    <w:rsid w:val="00584959"/>
    <w:rsid w:val="00584A18"/>
    <w:rsid w:val="00584A6E"/>
    <w:rsid w:val="00584A7A"/>
    <w:rsid w:val="00584B34"/>
    <w:rsid w:val="00584BDF"/>
    <w:rsid w:val="00584CF4"/>
    <w:rsid w:val="00584CF7"/>
    <w:rsid w:val="00584D57"/>
    <w:rsid w:val="00584F73"/>
    <w:rsid w:val="00585045"/>
    <w:rsid w:val="00585110"/>
    <w:rsid w:val="005851DD"/>
    <w:rsid w:val="00585356"/>
    <w:rsid w:val="00585372"/>
    <w:rsid w:val="00585662"/>
    <w:rsid w:val="00585769"/>
    <w:rsid w:val="0058577C"/>
    <w:rsid w:val="005857D8"/>
    <w:rsid w:val="00585931"/>
    <w:rsid w:val="00585BB9"/>
    <w:rsid w:val="00585BE5"/>
    <w:rsid w:val="00585BE8"/>
    <w:rsid w:val="00585CAB"/>
    <w:rsid w:val="00585D7F"/>
    <w:rsid w:val="00585DB1"/>
    <w:rsid w:val="00585DEC"/>
    <w:rsid w:val="00585E6B"/>
    <w:rsid w:val="00585F9C"/>
    <w:rsid w:val="0058603F"/>
    <w:rsid w:val="005860E6"/>
    <w:rsid w:val="00586161"/>
    <w:rsid w:val="00586170"/>
    <w:rsid w:val="005863B2"/>
    <w:rsid w:val="00586474"/>
    <w:rsid w:val="005865C1"/>
    <w:rsid w:val="0058662D"/>
    <w:rsid w:val="005866BD"/>
    <w:rsid w:val="00586717"/>
    <w:rsid w:val="005867C7"/>
    <w:rsid w:val="0058683D"/>
    <w:rsid w:val="005868F9"/>
    <w:rsid w:val="005869C6"/>
    <w:rsid w:val="00586A63"/>
    <w:rsid w:val="00586DDC"/>
    <w:rsid w:val="00586E2C"/>
    <w:rsid w:val="00586FD2"/>
    <w:rsid w:val="00586FDA"/>
    <w:rsid w:val="005870D2"/>
    <w:rsid w:val="005872D4"/>
    <w:rsid w:val="0058744C"/>
    <w:rsid w:val="00587521"/>
    <w:rsid w:val="00587638"/>
    <w:rsid w:val="00587840"/>
    <w:rsid w:val="00587869"/>
    <w:rsid w:val="005878D1"/>
    <w:rsid w:val="00587901"/>
    <w:rsid w:val="005879F8"/>
    <w:rsid w:val="00587C05"/>
    <w:rsid w:val="00587C93"/>
    <w:rsid w:val="00587CF7"/>
    <w:rsid w:val="00587D4F"/>
    <w:rsid w:val="00587F7A"/>
    <w:rsid w:val="00590098"/>
    <w:rsid w:val="005900AB"/>
    <w:rsid w:val="00590265"/>
    <w:rsid w:val="0059042B"/>
    <w:rsid w:val="0059047B"/>
    <w:rsid w:val="00590553"/>
    <w:rsid w:val="005907A6"/>
    <w:rsid w:val="005907E0"/>
    <w:rsid w:val="005908CE"/>
    <w:rsid w:val="00590A7B"/>
    <w:rsid w:val="00590AF5"/>
    <w:rsid w:val="00590BB0"/>
    <w:rsid w:val="00590BD1"/>
    <w:rsid w:val="00590C33"/>
    <w:rsid w:val="00590C83"/>
    <w:rsid w:val="00590CAB"/>
    <w:rsid w:val="00590D8A"/>
    <w:rsid w:val="00590E0C"/>
    <w:rsid w:val="00590F26"/>
    <w:rsid w:val="0059112A"/>
    <w:rsid w:val="00591299"/>
    <w:rsid w:val="005912D6"/>
    <w:rsid w:val="00591488"/>
    <w:rsid w:val="00591509"/>
    <w:rsid w:val="00591564"/>
    <w:rsid w:val="00591590"/>
    <w:rsid w:val="0059160A"/>
    <w:rsid w:val="005916FC"/>
    <w:rsid w:val="0059171B"/>
    <w:rsid w:val="005917B8"/>
    <w:rsid w:val="005917D3"/>
    <w:rsid w:val="00591866"/>
    <w:rsid w:val="005918DC"/>
    <w:rsid w:val="00591A02"/>
    <w:rsid w:val="00591A8C"/>
    <w:rsid w:val="00591A99"/>
    <w:rsid w:val="00591BFD"/>
    <w:rsid w:val="00591CA3"/>
    <w:rsid w:val="00591D62"/>
    <w:rsid w:val="00591DE9"/>
    <w:rsid w:val="00591E34"/>
    <w:rsid w:val="00592039"/>
    <w:rsid w:val="00592240"/>
    <w:rsid w:val="00592276"/>
    <w:rsid w:val="00592510"/>
    <w:rsid w:val="005925B1"/>
    <w:rsid w:val="005925E8"/>
    <w:rsid w:val="0059291C"/>
    <w:rsid w:val="00592923"/>
    <w:rsid w:val="00592A4B"/>
    <w:rsid w:val="00592B4D"/>
    <w:rsid w:val="00592BA9"/>
    <w:rsid w:val="00592C84"/>
    <w:rsid w:val="00592CB0"/>
    <w:rsid w:val="00592DFA"/>
    <w:rsid w:val="00592E2B"/>
    <w:rsid w:val="00592EEE"/>
    <w:rsid w:val="00593128"/>
    <w:rsid w:val="00593207"/>
    <w:rsid w:val="00593557"/>
    <w:rsid w:val="0059359E"/>
    <w:rsid w:val="00593698"/>
    <w:rsid w:val="005936F3"/>
    <w:rsid w:val="00593A20"/>
    <w:rsid w:val="00593ADE"/>
    <w:rsid w:val="00593D5E"/>
    <w:rsid w:val="00593F6D"/>
    <w:rsid w:val="00594105"/>
    <w:rsid w:val="0059425B"/>
    <w:rsid w:val="00594266"/>
    <w:rsid w:val="005944BD"/>
    <w:rsid w:val="0059458A"/>
    <w:rsid w:val="005945F3"/>
    <w:rsid w:val="00594693"/>
    <w:rsid w:val="005946E2"/>
    <w:rsid w:val="00594705"/>
    <w:rsid w:val="00594752"/>
    <w:rsid w:val="00594910"/>
    <w:rsid w:val="00594946"/>
    <w:rsid w:val="00594B4F"/>
    <w:rsid w:val="00594CAB"/>
    <w:rsid w:val="00594D77"/>
    <w:rsid w:val="00594E52"/>
    <w:rsid w:val="00594E62"/>
    <w:rsid w:val="00594FCF"/>
    <w:rsid w:val="00595006"/>
    <w:rsid w:val="00595143"/>
    <w:rsid w:val="00595203"/>
    <w:rsid w:val="005952D3"/>
    <w:rsid w:val="005953B1"/>
    <w:rsid w:val="00595435"/>
    <w:rsid w:val="005955D3"/>
    <w:rsid w:val="00595615"/>
    <w:rsid w:val="005957A8"/>
    <w:rsid w:val="005957D6"/>
    <w:rsid w:val="00595920"/>
    <w:rsid w:val="00595965"/>
    <w:rsid w:val="00595BFC"/>
    <w:rsid w:val="00595D81"/>
    <w:rsid w:val="00595E28"/>
    <w:rsid w:val="00595E39"/>
    <w:rsid w:val="00595E51"/>
    <w:rsid w:val="00595FA3"/>
    <w:rsid w:val="00596158"/>
    <w:rsid w:val="00596221"/>
    <w:rsid w:val="005969E4"/>
    <w:rsid w:val="00596D13"/>
    <w:rsid w:val="00596D64"/>
    <w:rsid w:val="00596E5B"/>
    <w:rsid w:val="00596F6F"/>
    <w:rsid w:val="00596F97"/>
    <w:rsid w:val="00597120"/>
    <w:rsid w:val="0059743F"/>
    <w:rsid w:val="00597458"/>
    <w:rsid w:val="00597490"/>
    <w:rsid w:val="005974CF"/>
    <w:rsid w:val="0059753B"/>
    <w:rsid w:val="00597754"/>
    <w:rsid w:val="005977F7"/>
    <w:rsid w:val="00597B2A"/>
    <w:rsid w:val="00597C73"/>
    <w:rsid w:val="00597D03"/>
    <w:rsid w:val="00597EA6"/>
    <w:rsid w:val="00597F2C"/>
    <w:rsid w:val="005A0063"/>
    <w:rsid w:val="005A00D2"/>
    <w:rsid w:val="005A0137"/>
    <w:rsid w:val="005A01BC"/>
    <w:rsid w:val="005A02A7"/>
    <w:rsid w:val="005A0433"/>
    <w:rsid w:val="005A0521"/>
    <w:rsid w:val="005A06B7"/>
    <w:rsid w:val="005A07B2"/>
    <w:rsid w:val="005A07C1"/>
    <w:rsid w:val="005A0942"/>
    <w:rsid w:val="005A0C27"/>
    <w:rsid w:val="005A0D2A"/>
    <w:rsid w:val="005A0F66"/>
    <w:rsid w:val="005A0FBC"/>
    <w:rsid w:val="005A0FC4"/>
    <w:rsid w:val="005A10E4"/>
    <w:rsid w:val="005A115F"/>
    <w:rsid w:val="005A1186"/>
    <w:rsid w:val="005A132E"/>
    <w:rsid w:val="005A1544"/>
    <w:rsid w:val="005A159E"/>
    <w:rsid w:val="005A15CE"/>
    <w:rsid w:val="005A15D7"/>
    <w:rsid w:val="005A169C"/>
    <w:rsid w:val="005A1759"/>
    <w:rsid w:val="005A17BB"/>
    <w:rsid w:val="005A183B"/>
    <w:rsid w:val="005A1998"/>
    <w:rsid w:val="005A1AB7"/>
    <w:rsid w:val="005A1C4D"/>
    <w:rsid w:val="005A1C6D"/>
    <w:rsid w:val="005A1DD8"/>
    <w:rsid w:val="005A1E30"/>
    <w:rsid w:val="005A1EAB"/>
    <w:rsid w:val="005A21B2"/>
    <w:rsid w:val="005A2304"/>
    <w:rsid w:val="005A23BF"/>
    <w:rsid w:val="005A2682"/>
    <w:rsid w:val="005A26ED"/>
    <w:rsid w:val="005A27E1"/>
    <w:rsid w:val="005A281C"/>
    <w:rsid w:val="005A2938"/>
    <w:rsid w:val="005A2AA1"/>
    <w:rsid w:val="005A2AD3"/>
    <w:rsid w:val="005A2DE0"/>
    <w:rsid w:val="005A2EE1"/>
    <w:rsid w:val="005A30EF"/>
    <w:rsid w:val="005A3270"/>
    <w:rsid w:val="005A33EB"/>
    <w:rsid w:val="005A340D"/>
    <w:rsid w:val="005A351D"/>
    <w:rsid w:val="005A35D3"/>
    <w:rsid w:val="005A35DD"/>
    <w:rsid w:val="005A36A2"/>
    <w:rsid w:val="005A37D8"/>
    <w:rsid w:val="005A383B"/>
    <w:rsid w:val="005A38B2"/>
    <w:rsid w:val="005A3904"/>
    <w:rsid w:val="005A390F"/>
    <w:rsid w:val="005A3AD5"/>
    <w:rsid w:val="005A3C14"/>
    <w:rsid w:val="005A3D8C"/>
    <w:rsid w:val="005A3E19"/>
    <w:rsid w:val="005A3F12"/>
    <w:rsid w:val="005A4234"/>
    <w:rsid w:val="005A4383"/>
    <w:rsid w:val="005A43CD"/>
    <w:rsid w:val="005A4469"/>
    <w:rsid w:val="005A45EA"/>
    <w:rsid w:val="005A46DA"/>
    <w:rsid w:val="005A46F7"/>
    <w:rsid w:val="005A480D"/>
    <w:rsid w:val="005A4905"/>
    <w:rsid w:val="005A491E"/>
    <w:rsid w:val="005A4D61"/>
    <w:rsid w:val="005A505B"/>
    <w:rsid w:val="005A50DD"/>
    <w:rsid w:val="005A5216"/>
    <w:rsid w:val="005A5446"/>
    <w:rsid w:val="005A5499"/>
    <w:rsid w:val="005A5535"/>
    <w:rsid w:val="005A55AA"/>
    <w:rsid w:val="005A55C2"/>
    <w:rsid w:val="005A57D2"/>
    <w:rsid w:val="005A5843"/>
    <w:rsid w:val="005A5AF1"/>
    <w:rsid w:val="005A5BF5"/>
    <w:rsid w:val="005A5CA6"/>
    <w:rsid w:val="005A5D45"/>
    <w:rsid w:val="005A5D4D"/>
    <w:rsid w:val="005A5DF5"/>
    <w:rsid w:val="005A5E3D"/>
    <w:rsid w:val="005A5E6A"/>
    <w:rsid w:val="005A5F85"/>
    <w:rsid w:val="005A5FE3"/>
    <w:rsid w:val="005A6021"/>
    <w:rsid w:val="005A6058"/>
    <w:rsid w:val="005A615B"/>
    <w:rsid w:val="005A626C"/>
    <w:rsid w:val="005A62EA"/>
    <w:rsid w:val="005A637E"/>
    <w:rsid w:val="005A6396"/>
    <w:rsid w:val="005A639A"/>
    <w:rsid w:val="005A65DB"/>
    <w:rsid w:val="005A67E0"/>
    <w:rsid w:val="005A686B"/>
    <w:rsid w:val="005A68A7"/>
    <w:rsid w:val="005A6B84"/>
    <w:rsid w:val="005A6C29"/>
    <w:rsid w:val="005A6E61"/>
    <w:rsid w:val="005A6FBB"/>
    <w:rsid w:val="005A7061"/>
    <w:rsid w:val="005A7222"/>
    <w:rsid w:val="005A73B8"/>
    <w:rsid w:val="005A74C6"/>
    <w:rsid w:val="005A77CE"/>
    <w:rsid w:val="005A7A34"/>
    <w:rsid w:val="005A7C0F"/>
    <w:rsid w:val="005A7DF4"/>
    <w:rsid w:val="005A7E51"/>
    <w:rsid w:val="005A7F12"/>
    <w:rsid w:val="005A7F59"/>
    <w:rsid w:val="005A7FD0"/>
    <w:rsid w:val="005B0325"/>
    <w:rsid w:val="005B06CA"/>
    <w:rsid w:val="005B06E0"/>
    <w:rsid w:val="005B06FD"/>
    <w:rsid w:val="005B074B"/>
    <w:rsid w:val="005B07F1"/>
    <w:rsid w:val="005B080C"/>
    <w:rsid w:val="005B0972"/>
    <w:rsid w:val="005B0B71"/>
    <w:rsid w:val="005B0BE7"/>
    <w:rsid w:val="005B0C53"/>
    <w:rsid w:val="005B0C57"/>
    <w:rsid w:val="005B0CD9"/>
    <w:rsid w:val="005B0DBB"/>
    <w:rsid w:val="005B109C"/>
    <w:rsid w:val="005B10C4"/>
    <w:rsid w:val="005B116D"/>
    <w:rsid w:val="005B122C"/>
    <w:rsid w:val="005B1389"/>
    <w:rsid w:val="005B16D1"/>
    <w:rsid w:val="005B186F"/>
    <w:rsid w:val="005B1A18"/>
    <w:rsid w:val="005B1B67"/>
    <w:rsid w:val="005B1E73"/>
    <w:rsid w:val="005B1E96"/>
    <w:rsid w:val="005B1EDB"/>
    <w:rsid w:val="005B1F49"/>
    <w:rsid w:val="005B1FA1"/>
    <w:rsid w:val="005B1FF7"/>
    <w:rsid w:val="005B207B"/>
    <w:rsid w:val="005B2105"/>
    <w:rsid w:val="005B226C"/>
    <w:rsid w:val="005B2309"/>
    <w:rsid w:val="005B2315"/>
    <w:rsid w:val="005B242B"/>
    <w:rsid w:val="005B257B"/>
    <w:rsid w:val="005B2695"/>
    <w:rsid w:val="005B2697"/>
    <w:rsid w:val="005B26CD"/>
    <w:rsid w:val="005B271C"/>
    <w:rsid w:val="005B2846"/>
    <w:rsid w:val="005B284F"/>
    <w:rsid w:val="005B29A7"/>
    <w:rsid w:val="005B2B65"/>
    <w:rsid w:val="005B2BAC"/>
    <w:rsid w:val="005B2CB8"/>
    <w:rsid w:val="005B2CBE"/>
    <w:rsid w:val="005B2D49"/>
    <w:rsid w:val="005B2E17"/>
    <w:rsid w:val="005B2EF7"/>
    <w:rsid w:val="005B2FB0"/>
    <w:rsid w:val="005B30A2"/>
    <w:rsid w:val="005B30B4"/>
    <w:rsid w:val="005B31BA"/>
    <w:rsid w:val="005B3213"/>
    <w:rsid w:val="005B32BF"/>
    <w:rsid w:val="005B332D"/>
    <w:rsid w:val="005B3431"/>
    <w:rsid w:val="005B3473"/>
    <w:rsid w:val="005B34FB"/>
    <w:rsid w:val="005B3738"/>
    <w:rsid w:val="005B3773"/>
    <w:rsid w:val="005B3776"/>
    <w:rsid w:val="005B37E5"/>
    <w:rsid w:val="005B387B"/>
    <w:rsid w:val="005B3880"/>
    <w:rsid w:val="005B3993"/>
    <w:rsid w:val="005B3A37"/>
    <w:rsid w:val="005B3A6F"/>
    <w:rsid w:val="005B3D9D"/>
    <w:rsid w:val="005B3DAA"/>
    <w:rsid w:val="005B40C3"/>
    <w:rsid w:val="005B40EB"/>
    <w:rsid w:val="005B4187"/>
    <w:rsid w:val="005B458A"/>
    <w:rsid w:val="005B459C"/>
    <w:rsid w:val="005B4692"/>
    <w:rsid w:val="005B4733"/>
    <w:rsid w:val="005B47BE"/>
    <w:rsid w:val="005B488E"/>
    <w:rsid w:val="005B48D9"/>
    <w:rsid w:val="005B48DD"/>
    <w:rsid w:val="005B4ABF"/>
    <w:rsid w:val="005B4CB5"/>
    <w:rsid w:val="005B4CE3"/>
    <w:rsid w:val="005B4D07"/>
    <w:rsid w:val="005B4D79"/>
    <w:rsid w:val="005B4FF3"/>
    <w:rsid w:val="005B5353"/>
    <w:rsid w:val="005B5439"/>
    <w:rsid w:val="005B5475"/>
    <w:rsid w:val="005B548A"/>
    <w:rsid w:val="005B54AD"/>
    <w:rsid w:val="005B558C"/>
    <w:rsid w:val="005B56D3"/>
    <w:rsid w:val="005B56D4"/>
    <w:rsid w:val="005B57E1"/>
    <w:rsid w:val="005B581B"/>
    <w:rsid w:val="005B5C90"/>
    <w:rsid w:val="005B5F3F"/>
    <w:rsid w:val="005B6182"/>
    <w:rsid w:val="005B63A6"/>
    <w:rsid w:val="005B65EA"/>
    <w:rsid w:val="005B65F6"/>
    <w:rsid w:val="005B66EF"/>
    <w:rsid w:val="005B670F"/>
    <w:rsid w:val="005B67AA"/>
    <w:rsid w:val="005B693E"/>
    <w:rsid w:val="005B6A08"/>
    <w:rsid w:val="005B6A0D"/>
    <w:rsid w:val="005B6AA1"/>
    <w:rsid w:val="005B6B49"/>
    <w:rsid w:val="005B6B8C"/>
    <w:rsid w:val="005B6CE6"/>
    <w:rsid w:val="005B6CFF"/>
    <w:rsid w:val="005B6D19"/>
    <w:rsid w:val="005B7219"/>
    <w:rsid w:val="005B795D"/>
    <w:rsid w:val="005B7D7B"/>
    <w:rsid w:val="005B7E53"/>
    <w:rsid w:val="005B7F51"/>
    <w:rsid w:val="005C0055"/>
    <w:rsid w:val="005C043D"/>
    <w:rsid w:val="005C0594"/>
    <w:rsid w:val="005C05FB"/>
    <w:rsid w:val="005C063F"/>
    <w:rsid w:val="005C06A9"/>
    <w:rsid w:val="005C0855"/>
    <w:rsid w:val="005C08D4"/>
    <w:rsid w:val="005C08F4"/>
    <w:rsid w:val="005C0A51"/>
    <w:rsid w:val="005C0AF3"/>
    <w:rsid w:val="005C0CB7"/>
    <w:rsid w:val="005C0D2E"/>
    <w:rsid w:val="005C0EC0"/>
    <w:rsid w:val="005C0F3A"/>
    <w:rsid w:val="005C10F2"/>
    <w:rsid w:val="005C11DE"/>
    <w:rsid w:val="005C13DF"/>
    <w:rsid w:val="005C157E"/>
    <w:rsid w:val="005C15B1"/>
    <w:rsid w:val="005C15C0"/>
    <w:rsid w:val="005C15CF"/>
    <w:rsid w:val="005C1730"/>
    <w:rsid w:val="005C1755"/>
    <w:rsid w:val="005C17B3"/>
    <w:rsid w:val="005C1890"/>
    <w:rsid w:val="005C1953"/>
    <w:rsid w:val="005C1AB5"/>
    <w:rsid w:val="005C1B46"/>
    <w:rsid w:val="005C1E58"/>
    <w:rsid w:val="005C1F50"/>
    <w:rsid w:val="005C20A3"/>
    <w:rsid w:val="005C212B"/>
    <w:rsid w:val="005C2218"/>
    <w:rsid w:val="005C226B"/>
    <w:rsid w:val="005C23C2"/>
    <w:rsid w:val="005C23DC"/>
    <w:rsid w:val="005C25A6"/>
    <w:rsid w:val="005C26BF"/>
    <w:rsid w:val="005C285C"/>
    <w:rsid w:val="005C2922"/>
    <w:rsid w:val="005C2B4B"/>
    <w:rsid w:val="005C2BA2"/>
    <w:rsid w:val="005C2C39"/>
    <w:rsid w:val="005C2C9E"/>
    <w:rsid w:val="005C2EA2"/>
    <w:rsid w:val="005C306F"/>
    <w:rsid w:val="005C30A1"/>
    <w:rsid w:val="005C3119"/>
    <w:rsid w:val="005C34A7"/>
    <w:rsid w:val="005C353B"/>
    <w:rsid w:val="005C3590"/>
    <w:rsid w:val="005C35FE"/>
    <w:rsid w:val="005C361E"/>
    <w:rsid w:val="005C362F"/>
    <w:rsid w:val="005C3812"/>
    <w:rsid w:val="005C388F"/>
    <w:rsid w:val="005C3A31"/>
    <w:rsid w:val="005C3AF7"/>
    <w:rsid w:val="005C3D18"/>
    <w:rsid w:val="005C3D7A"/>
    <w:rsid w:val="005C3D89"/>
    <w:rsid w:val="005C3DB1"/>
    <w:rsid w:val="005C3E15"/>
    <w:rsid w:val="005C3E80"/>
    <w:rsid w:val="005C407C"/>
    <w:rsid w:val="005C4297"/>
    <w:rsid w:val="005C435F"/>
    <w:rsid w:val="005C45CC"/>
    <w:rsid w:val="005C4641"/>
    <w:rsid w:val="005C4858"/>
    <w:rsid w:val="005C498E"/>
    <w:rsid w:val="005C4992"/>
    <w:rsid w:val="005C49A6"/>
    <w:rsid w:val="005C4B8D"/>
    <w:rsid w:val="005C4BC9"/>
    <w:rsid w:val="005C4CAF"/>
    <w:rsid w:val="005C4D86"/>
    <w:rsid w:val="005C52C3"/>
    <w:rsid w:val="005C52E3"/>
    <w:rsid w:val="005C5548"/>
    <w:rsid w:val="005C56C9"/>
    <w:rsid w:val="005C5840"/>
    <w:rsid w:val="005C59BF"/>
    <w:rsid w:val="005C59C8"/>
    <w:rsid w:val="005C5A85"/>
    <w:rsid w:val="005C5BBA"/>
    <w:rsid w:val="005C5CF7"/>
    <w:rsid w:val="005C5D14"/>
    <w:rsid w:val="005C5D54"/>
    <w:rsid w:val="005C6282"/>
    <w:rsid w:val="005C6304"/>
    <w:rsid w:val="005C6465"/>
    <w:rsid w:val="005C64FB"/>
    <w:rsid w:val="005C65A1"/>
    <w:rsid w:val="005C65F6"/>
    <w:rsid w:val="005C671D"/>
    <w:rsid w:val="005C6A12"/>
    <w:rsid w:val="005C6A8F"/>
    <w:rsid w:val="005C6ADE"/>
    <w:rsid w:val="005C6CF3"/>
    <w:rsid w:val="005C705E"/>
    <w:rsid w:val="005C7196"/>
    <w:rsid w:val="005C71C8"/>
    <w:rsid w:val="005C721B"/>
    <w:rsid w:val="005C7276"/>
    <w:rsid w:val="005C72BA"/>
    <w:rsid w:val="005C74D0"/>
    <w:rsid w:val="005C7517"/>
    <w:rsid w:val="005C7543"/>
    <w:rsid w:val="005C765A"/>
    <w:rsid w:val="005C7A08"/>
    <w:rsid w:val="005C7D02"/>
    <w:rsid w:val="005C7D30"/>
    <w:rsid w:val="005C7F3B"/>
    <w:rsid w:val="005C7F87"/>
    <w:rsid w:val="005D00C0"/>
    <w:rsid w:val="005D00D2"/>
    <w:rsid w:val="005D01D1"/>
    <w:rsid w:val="005D0208"/>
    <w:rsid w:val="005D02CB"/>
    <w:rsid w:val="005D038F"/>
    <w:rsid w:val="005D0392"/>
    <w:rsid w:val="005D03D7"/>
    <w:rsid w:val="005D070A"/>
    <w:rsid w:val="005D0783"/>
    <w:rsid w:val="005D07F0"/>
    <w:rsid w:val="005D0832"/>
    <w:rsid w:val="005D08C5"/>
    <w:rsid w:val="005D0A0E"/>
    <w:rsid w:val="005D0AE1"/>
    <w:rsid w:val="005D0D5D"/>
    <w:rsid w:val="005D0D7F"/>
    <w:rsid w:val="005D0E11"/>
    <w:rsid w:val="005D0E5A"/>
    <w:rsid w:val="005D101E"/>
    <w:rsid w:val="005D1029"/>
    <w:rsid w:val="005D11D5"/>
    <w:rsid w:val="005D1211"/>
    <w:rsid w:val="005D12F3"/>
    <w:rsid w:val="005D142A"/>
    <w:rsid w:val="005D145E"/>
    <w:rsid w:val="005D1492"/>
    <w:rsid w:val="005D15AC"/>
    <w:rsid w:val="005D1628"/>
    <w:rsid w:val="005D1716"/>
    <w:rsid w:val="005D1772"/>
    <w:rsid w:val="005D1806"/>
    <w:rsid w:val="005D180F"/>
    <w:rsid w:val="005D18A9"/>
    <w:rsid w:val="005D19AF"/>
    <w:rsid w:val="005D1A97"/>
    <w:rsid w:val="005D1AA2"/>
    <w:rsid w:val="005D1AD8"/>
    <w:rsid w:val="005D1E52"/>
    <w:rsid w:val="005D1EAE"/>
    <w:rsid w:val="005D233C"/>
    <w:rsid w:val="005D2395"/>
    <w:rsid w:val="005D24D1"/>
    <w:rsid w:val="005D24EC"/>
    <w:rsid w:val="005D254B"/>
    <w:rsid w:val="005D269B"/>
    <w:rsid w:val="005D27FA"/>
    <w:rsid w:val="005D283F"/>
    <w:rsid w:val="005D294C"/>
    <w:rsid w:val="005D2B05"/>
    <w:rsid w:val="005D2B94"/>
    <w:rsid w:val="005D2BD7"/>
    <w:rsid w:val="005D2C24"/>
    <w:rsid w:val="005D3070"/>
    <w:rsid w:val="005D3362"/>
    <w:rsid w:val="005D3372"/>
    <w:rsid w:val="005D33A1"/>
    <w:rsid w:val="005D33E2"/>
    <w:rsid w:val="005D3415"/>
    <w:rsid w:val="005D341A"/>
    <w:rsid w:val="005D3587"/>
    <w:rsid w:val="005D3642"/>
    <w:rsid w:val="005D3668"/>
    <w:rsid w:val="005D36AB"/>
    <w:rsid w:val="005D36C3"/>
    <w:rsid w:val="005D37F8"/>
    <w:rsid w:val="005D38AD"/>
    <w:rsid w:val="005D3A6F"/>
    <w:rsid w:val="005D3C67"/>
    <w:rsid w:val="005D3C74"/>
    <w:rsid w:val="005D3F56"/>
    <w:rsid w:val="005D3FF9"/>
    <w:rsid w:val="005D4107"/>
    <w:rsid w:val="005D4259"/>
    <w:rsid w:val="005D42CF"/>
    <w:rsid w:val="005D43DB"/>
    <w:rsid w:val="005D453E"/>
    <w:rsid w:val="005D4547"/>
    <w:rsid w:val="005D4753"/>
    <w:rsid w:val="005D4788"/>
    <w:rsid w:val="005D47F0"/>
    <w:rsid w:val="005D4945"/>
    <w:rsid w:val="005D4957"/>
    <w:rsid w:val="005D4991"/>
    <w:rsid w:val="005D49B8"/>
    <w:rsid w:val="005D49C7"/>
    <w:rsid w:val="005D4A9C"/>
    <w:rsid w:val="005D4BD9"/>
    <w:rsid w:val="005D4BF3"/>
    <w:rsid w:val="005D4C35"/>
    <w:rsid w:val="005D4EA6"/>
    <w:rsid w:val="005D5097"/>
    <w:rsid w:val="005D5235"/>
    <w:rsid w:val="005D52BF"/>
    <w:rsid w:val="005D53AF"/>
    <w:rsid w:val="005D547C"/>
    <w:rsid w:val="005D54D8"/>
    <w:rsid w:val="005D5785"/>
    <w:rsid w:val="005D57E8"/>
    <w:rsid w:val="005D5AA1"/>
    <w:rsid w:val="005D5AC5"/>
    <w:rsid w:val="005D5B09"/>
    <w:rsid w:val="005D5B49"/>
    <w:rsid w:val="005D5BDA"/>
    <w:rsid w:val="005D5D46"/>
    <w:rsid w:val="005D63D2"/>
    <w:rsid w:val="005D645B"/>
    <w:rsid w:val="005D6460"/>
    <w:rsid w:val="005D6568"/>
    <w:rsid w:val="005D6570"/>
    <w:rsid w:val="005D659D"/>
    <w:rsid w:val="005D6A09"/>
    <w:rsid w:val="005D6A41"/>
    <w:rsid w:val="005D6B28"/>
    <w:rsid w:val="005D6D31"/>
    <w:rsid w:val="005D6DD7"/>
    <w:rsid w:val="005D6ED7"/>
    <w:rsid w:val="005D6F88"/>
    <w:rsid w:val="005D705E"/>
    <w:rsid w:val="005D72F0"/>
    <w:rsid w:val="005D7338"/>
    <w:rsid w:val="005D7540"/>
    <w:rsid w:val="005D761F"/>
    <w:rsid w:val="005D7771"/>
    <w:rsid w:val="005D7803"/>
    <w:rsid w:val="005D7820"/>
    <w:rsid w:val="005D78A1"/>
    <w:rsid w:val="005D78DE"/>
    <w:rsid w:val="005D7983"/>
    <w:rsid w:val="005D7A73"/>
    <w:rsid w:val="005D7C66"/>
    <w:rsid w:val="005D7D16"/>
    <w:rsid w:val="005D7D2A"/>
    <w:rsid w:val="005D7DDE"/>
    <w:rsid w:val="005D7E2C"/>
    <w:rsid w:val="005D7E52"/>
    <w:rsid w:val="005D7F80"/>
    <w:rsid w:val="005E00DE"/>
    <w:rsid w:val="005E00FD"/>
    <w:rsid w:val="005E0271"/>
    <w:rsid w:val="005E02E1"/>
    <w:rsid w:val="005E04C5"/>
    <w:rsid w:val="005E08CF"/>
    <w:rsid w:val="005E0DBE"/>
    <w:rsid w:val="005E0E92"/>
    <w:rsid w:val="005E0F0F"/>
    <w:rsid w:val="005E1056"/>
    <w:rsid w:val="005E11FA"/>
    <w:rsid w:val="005E1202"/>
    <w:rsid w:val="005E1257"/>
    <w:rsid w:val="005E131D"/>
    <w:rsid w:val="005E1377"/>
    <w:rsid w:val="005E149F"/>
    <w:rsid w:val="005E14B6"/>
    <w:rsid w:val="005E17CD"/>
    <w:rsid w:val="005E17F1"/>
    <w:rsid w:val="005E183F"/>
    <w:rsid w:val="005E19A4"/>
    <w:rsid w:val="005E1D3F"/>
    <w:rsid w:val="005E1EB2"/>
    <w:rsid w:val="005E1F56"/>
    <w:rsid w:val="005E214C"/>
    <w:rsid w:val="005E23AF"/>
    <w:rsid w:val="005E24A4"/>
    <w:rsid w:val="005E274E"/>
    <w:rsid w:val="005E28E3"/>
    <w:rsid w:val="005E2BCD"/>
    <w:rsid w:val="005E2C1B"/>
    <w:rsid w:val="005E2CE1"/>
    <w:rsid w:val="005E2D0C"/>
    <w:rsid w:val="005E2EBE"/>
    <w:rsid w:val="005E2ECD"/>
    <w:rsid w:val="005E2F70"/>
    <w:rsid w:val="005E317D"/>
    <w:rsid w:val="005E324B"/>
    <w:rsid w:val="005E3489"/>
    <w:rsid w:val="005E3660"/>
    <w:rsid w:val="005E368C"/>
    <w:rsid w:val="005E38E7"/>
    <w:rsid w:val="005E3978"/>
    <w:rsid w:val="005E3B0D"/>
    <w:rsid w:val="005E3D0D"/>
    <w:rsid w:val="005E402A"/>
    <w:rsid w:val="005E4130"/>
    <w:rsid w:val="005E4181"/>
    <w:rsid w:val="005E42EB"/>
    <w:rsid w:val="005E4361"/>
    <w:rsid w:val="005E459D"/>
    <w:rsid w:val="005E4683"/>
    <w:rsid w:val="005E47B7"/>
    <w:rsid w:val="005E489F"/>
    <w:rsid w:val="005E48D3"/>
    <w:rsid w:val="005E490A"/>
    <w:rsid w:val="005E4A78"/>
    <w:rsid w:val="005E4BF5"/>
    <w:rsid w:val="005E4D65"/>
    <w:rsid w:val="005E4D9A"/>
    <w:rsid w:val="005E4E63"/>
    <w:rsid w:val="005E4FB3"/>
    <w:rsid w:val="005E500A"/>
    <w:rsid w:val="005E525A"/>
    <w:rsid w:val="005E5387"/>
    <w:rsid w:val="005E53CC"/>
    <w:rsid w:val="005E559D"/>
    <w:rsid w:val="005E568F"/>
    <w:rsid w:val="005E589D"/>
    <w:rsid w:val="005E5A48"/>
    <w:rsid w:val="005E5A70"/>
    <w:rsid w:val="005E5D1D"/>
    <w:rsid w:val="005E5F06"/>
    <w:rsid w:val="005E5FD2"/>
    <w:rsid w:val="005E62E2"/>
    <w:rsid w:val="005E6406"/>
    <w:rsid w:val="005E6470"/>
    <w:rsid w:val="005E649C"/>
    <w:rsid w:val="005E658A"/>
    <w:rsid w:val="005E6600"/>
    <w:rsid w:val="005E6645"/>
    <w:rsid w:val="005E671F"/>
    <w:rsid w:val="005E6B1A"/>
    <w:rsid w:val="005E6B50"/>
    <w:rsid w:val="005E6BA9"/>
    <w:rsid w:val="005E6E45"/>
    <w:rsid w:val="005E6E4D"/>
    <w:rsid w:val="005E6F63"/>
    <w:rsid w:val="005E6FDC"/>
    <w:rsid w:val="005E70E8"/>
    <w:rsid w:val="005E7125"/>
    <w:rsid w:val="005E71DF"/>
    <w:rsid w:val="005E71FA"/>
    <w:rsid w:val="005E7227"/>
    <w:rsid w:val="005E735A"/>
    <w:rsid w:val="005E74B3"/>
    <w:rsid w:val="005E754F"/>
    <w:rsid w:val="005E75A5"/>
    <w:rsid w:val="005E7652"/>
    <w:rsid w:val="005E77BA"/>
    <w:rsid w:val="005E77D8"/>
    <w:rsid w:val="005E77DC"/>
    <w:rsid w:val="005E7809"/>
    <w:rsid w:val="005E78DE"/>
    <w:rsid w:val="005E7915"/>
    <w:rsid w:val="005E797E"/>
    <w:rsid w:val="005E79F3"/>
    <w:rsid w:val="005E7A2F"/>
    <w:rsid w:val="005E7AF6"/>
    <w:rsid w:val="005E7B4D"/>
    <w:rsid w:val="005E7B98"/>
    <w:rsid w:val="005E7C7C"/>
    <w:rsid w:val="005E7CCF"/>
    <w:rsid w:val="005E7DED"/>
    <w:rsid w:val="005E7EB8"/>
    <w:rsid w:val="005E7FE4"/>
    <w:rsid w:val="005F0110"/>
    <w:rsid w:val="005F01AF"/>
    <w:rsid w:val="005F01D2"/>
    <w:rsid w:val="005F0208"/>
    <w:rsid w:val="005F0298"/>
    <w:rsid w:val="005F0552"/>
    <w:rsid w:val="005F05B4"/>
    <w:rsid w:val="005F0614"/>
    <w:rsid w:val="005F0687"/>
    <w:rsid w:val="005F0769"/>
    <w:rsid w:val="005F086F"/>
    <w:rsid w:val="005F0956"/>
    <w:rsid w:val="005F099F"/>
    <w:rsid w:val="005F09C3"/>
    <w:rsid w:val="005F0A7A"/>
    <w:rsid w:val="005F0AC4"/>
    <w:rsid w:val="005F0B9E"/>
    <w:rsid w:val="005F0BFE"/>
    <w:rsid w:val="005F0C65"/>
    <w:rsid w:val="005F0CD6"/>
    <w:rsid w:val="005F0D50"/>
    <w:rsid w:val="005F0DB6"/>
    <w:rsid w:val="005F0FEA"/>
    <w:rsid w:val="005F10A4"/>
    <w:rsid w:val="005F10BB"/>
    <w:rsid w:val="005F116F"/>
    <w:rsid w:val="005F11F3"/>
    <w:rsid w:val="005F131D"/>
    <w:rsid w:val="005F13AC"/>
    <w:rsid w:val="005F146A"/>
    <w:rsid w:val="005F147D"/>
    <w:rsid w:val="005F14CC"/>
    <w:rsid w:val="005F1587"/>
    <w:rsid w:val="005F15BB"/>
    <w:rsid w:val="005F1622"/>
    <w:rsid w:val="005F164D"/>
    <w:rsid w:val="005F1A0D"/>
    <w:rsid w:val="005F1A31"/>
    <w:rsid w:val="005F1B56"/>
    <w:rsid w:val="005F1CE9"/>
    <w:rsid w:val="005F1D33"/>
    <w:rsid w:val="005F1EBF"/>
    <w:rsid w:val="005F1EEF"/>
    <w:rsid w:val="005F2236"/>
    <w:rsid w:val="005F227D"/>
    <w:rsid w:val="005F2363"/>
    <w:rsid w:val="005F2485"/>
    <w:rsid w:val="005F275A"/>
    <w:rsid w:val="005F2873"/>
    <w:rsid w:val="005F294F"/>
    <w:rsid w:val="005F2B14"/>
    <w:rsid w:val="005F2C99"/>
    <w:rsid w:val="005F2D4C"/>
    <w:rsid w:val="005F2E92"/>
    <w:rsid w:val="005F2EE5"/>
    <w:rsid w:val="005F2FCE"/>
    <w:rsid w:val="005F3102"/>
    <w:rsid w:val="005F312D"/>
    <w:rsid w:val="005F313A"/>
    <w:rsid w:val="005F314A"/>
    <w:rsid w:val="005F32C8"/>
    <w:rsid w:val="005F32DD"/>
    <w:rsid w:val="005F3321"/>
    <w:rsid w:val="005F3658"/>
    <w:rsid w:val="005F36DC"/>
    <w:rsid w:val="005F3706"/>
    <w:rsid w:val="005F39DE"/>
    <w:rsid w:val="005F3A4B"/>
    <w:rsid w:val="005F3D66"/>
    <w:rsid w:val="005F3E27"/>
    <w:rsid w:val="005F3F22"/>
    <w:rsid w:val="005F4005"/>
    <w:rsid w:val="005F4276"/>
    <w:rsid w:val="005F428F"/>
    <w:rsid w:val="005F4328"/>
    <w:rsid w:val="005F46D7"/>
    <w:rsid w:val="005F470A"/>
    <w:rsid w:val="005F484B"/>
    <w:rsid w:val="005F48BA"/>
    <w:rsid w:val="005F4AB5"/>
    <w:rsid w:val="005F4C3D"/>
    <w:rsid w:val="005F4E2E"/>
    <w:rsid w:val="005F4EEE"/>
    <w:rsid w:val="005F4F20"/>
    <w:rsid w:val="005F4FB6"/>
    <w:rsid w:val="005F4FD9"/>
    <w:rsid w:val="005F5130"/>
    <w:rsid w:val="005F5427"/>
    <w:rsid w:val="005F543C"/>
    <w:rsid w:val="005F547A"/>
    <w:rsid w:val="005F5494"/>
    <w:rsid w:val="005F5658"/>
    <w:rsid w:val="005F57E1"/>
    <w:rsid w:val="005F5820"/>
    <w:rsid w:val="005F5896"/>
    <w:rsid w:val="005F5A95"/>
    <w:rsid w:val="005F5ACC"/>
    <w:rsid w:val="005F5B6A"/>
    <w:rsid w:val="005F5C7A"/>
    <w:rsid w:val="005F5D74"/>
    <w:rsid w:val="005F5DD2"/>
    <w:rsid w:val="005F5DD9"/>
    <w:rsid w:val="005F5DDB"/>
    <w:rsid w:val="005F5DE1"/>
    <w:rsid w:val="005F5E9E"/>
    <w:rsid w:val="005F5F65"/>
    <w:rsid w:val="005F5F90"/>
    <w:rsid w:val="005F5FB3"/>
    <w:rsid w:val="005F6085"/>
    <w:rsid w:val="005F6172"/>
    <w:rsid w:val="005F6315"/>
    <w:rsid w:val="005F6363"/>
    <w:rsid w:val="005F63B8"/>
    <w:rsid w:val="005F63CA"/>
    <w:rsid w:val="005F6673"/>
    <w:rsid w:val="005F6683"/>
    <w:rsid w:val="005F66B7"/>
    <w:rsid w:val="005F6770"/>
    <w:rsid w:val="005F677E"/>
    <w:rsid w:val="005F67B7"/>
    <w:rsid w:val="005F68E1"/>
    <w:rsid w:val="005F68EC"/>
    <w:rsid w:val="005F697C"/>
    <w:rsid w:val="005F6B86"/>
    <w:rsid w:val="005F6C74"/>
    <w:rsid w:val="005F6C90"/>
    <w:rsid w:val="005F6CBF"/>
    <w:rsid w:val="005F6E2B"/>
    <w:rsid w:val="005F6F92"/>
    <w:rsid w:val="005F6FCE"/>
    <w:rsid w:val="005F7311"/>
    <w:rsid w:val="005F737C"/>
    <w:rsid w:val="005F73BB"/>
    <w:rsid w:val="005F73EF"/>
    <w:rsid w:val="005F749F"/>
    <w:rsid w:val="005F7540"/>
    <w:rsid w:val="005F765A"/>
    <w:rsid w:val="005F765E"/>
    <w:rsid w:val="005F781E"/>
    <w:rsid w:val="005F7891"/>
    <w:rsid w:val="005F7AB7"/>
    <w:rsid w:val="005F7C0B"/>
    <w:rsid w:val="005F7CE0"/>
    <w:rsid w:val="005F7D9F"/>
    <w:rsid w:val="005F7E0C"/>
    <w:rsid w:val="005F7EBF"/>
    <w:rsid w:val="005F7EC6"/>
    <w:rsid w:val="006000E5"/>
    <w:rsid w:val="0060041E"/>
    <w:rsid w:val="00600462"/>
    <w:rsid w:val="00600559"/>
    <w:rsid w:val="006006AA"/>
    <w:rsid w:val="006008CF"/>
    <w:rsid w:val="00600937"/>
    <w:rsid w:val="0060094B"/>
    <w:rsid w:val="006009EA"/>
    <w:rsid w:val="00600A2B"/>
    <w:rsid w:val="00600B0A"/>
    <w:rsid w:val="00600CDF"/>
    <w:rsid w:val="00600D86"/>
    <w:rsid w:val="00600E03"/>
    <w:rsid w:val="0060105F"/>
    <w:rsid w:val="00601331"/>
    <w:rsid w:val="0060143F"/>
    <w:rsid w:val="00601640"/>
    <w:rsid w:val="00601780"/>
    <w:rsid w:val="0060181D"/>
    <w:rsid w:val="006018A5"/>
    <w:rsid w:val="006018A6"/>
    <w:rsid w:val="00601927"/>
    <w:rsid w:val="00601986"/>
    <w:rsid w:val="0060199D"/>
    <w:rsid w:val="006019B6"/>
    <w:rsid w:val="006019CC"/>
    <w:rsid w:val="00601A07"/>
    <w:rsid w:val="00601A71"/>
    <w:rsid w:val="00601AB7"/>
    <w:rsid w:val="00601ACE"/>
    <w:rsid w:val="00601AE6"/>
    <w:rsid w:val="00601AFA"/>
    <w:rsid w:val="00601DC5"/>
    <w:rsid w:val="00601DE4"/>
    <w:rsid w:val="00601F2E"/>
    <w:rsid w:val="00601F99"/>
    <w:rsid w:val="00601FFB"/>
    <w:rsid w:val="00602113"/>
    <w:rsid w:val="00602307"/>
    <w:rsid w:val="0060244B"/>
    <w:rsid w:val="006024A3"/>
    <w:rsid w:val="006024BA"/>
    <w:rsid w:val="0060253B"/>
    <w:rsid w:val="0060280B"/>
    <w:rsid w:val="00602824"/>
    <w:rsid w:val="00602864"/>
    <w:rsid w:val="006028F9"/>
    <w:rsid w:val="00602940"/>
    <w:rsid w:val="00602947"/>
    <w:rsid w:val="00602DF9"/>
    <w:rsid w:val="00602F7D"/>
    <w:rsid w:val="006031D7"/>
    <w:rsid w:val="006031EB"/>
    <w:rsid w:val="00603266"/>
    <w:rsid w:val="00603274"/>
    <w:rsid w:val="006032F6"/>
    <w:rsid w:val="00603393"/>
    <w:rsid w:val="00603416"/>
    <w:rsid w:val="006035CC"/>
    <w:rsid w:val="00603726"/>
    <w:rsid w:val="0060382B"/>
    <w:rsid w:val="0060390E"/>
    <w:rsid w:val="00603A1B"/>
    <w:rsid w:val="00603CE4"/>
    <w:rsid w:val="00603D6B"/>
    <w:rsid w:val="0060418E"/>
    <w:rsid w:val="00604265"/>
    <w:rsid w:val="006042B2"/>
    <w:rsid w:val="006042D5"/>
    <w:rsid w:val="006042DF"/>
    <w:rsid w:val="00604439"/>
    <w:rsid w:val="00604609"/>
    <w:rsid w:val="0060461D"/>
    <w:rsid w:val="00604647"/>
    <w:rsid w:val="0060465E"/>
    <w:rsid w:val="006047A2"/>
    <w:rsid w:val="0060480D"/>
    <w:rsid w:val="0060481A"/>
    <w:rsid w:val="00604A25"/>
    <w:rsid w:val="00604E74"/>
    <w:rsid w:val="006050F9"/>
    <w:rsid w:val="00605254"/>
    <w:rsid w:val="006052CC"/>
    <w:rsid w:val="006052EF"/>
    <w:rsid w:val="00605376"/>
    <w:rsid w:val="00605556"/>
    <w:rsid w:val="0060558D"/>
    <w:rsid w:val="006055A1"/>
    <w:rsid w:val="0060561A"/>
    <w:rsid w:val="006056F9"/>
    <w:rsid w:val="006058B0"/>
    <w:rsid w:val="006059CD"/>
    <w:rsid w:val="00605D47"/>
    <w:rsid w:val="00605F95"/>
    <w:rsid w:val="00605FB6"/>
    <w:rsid w:val="006060BB"/>
    <w:rsid w:val="006062BA"/>
    <w:rsid w:val="00606443"/>
    <w:rsid w:val="00606493"/>
    <w:rsid w:val="006064A9"/>
    <w:rsid w:val="006065E7"/>
    <w:rsid w:val="00606634"/>
    <w:rsid w:val="006066A2"/>
    <w:rsid w:val="006066ED"/>
    <w:rsid w:val="0060676F"/>
    <w:rsid w:val="006067C4"/>
    <w:rsid w:val="00606824"/>
    <w:rsid w:val="006069A5"/>
    <w:rsid w:val="006069E3"/>
    <w:rsid w:val="00606BA4"/>
    <w:rsid w:val="00606BAA"/>
    <w:rsid w:val="00606C7E"/>
    <w:rsid w:val="00606D1B"/>
    <w:rsid w:val="00606E6A"/>
    <w:rsid w:val="0060716B"/>
    <w:rsid w:val="0060720A"/>
    <w:rsid w:val="00607348"/>
    <w:rsid w:val="006073C7"/>
    <w:rsid w:val="00607495"/>
    <w:rsid w:val="006075C1"/>
    <w:rsid w:val="006076D9"/>
    <w:rsid w:val="006076EC"/>
    <w:rsid w:val="006078E0"/>
    <w:rsid w:val="006079F2"/>
    <w:rsid w:val="00607A88"/>
    <w:rsid w:val="00607B72"/>
    <w:rsid w:val="00607BE3"/>
    <w:rsid w:val="00607D0F"/>
    <w:rsid w:val="00607D53"/>
    <w:rsid w:val="00607D6D"/>
    <w:rsid w:val="00607D8D"/>
    <w:rsid w:val="00610028"/>
    <w:rsid w:val="0061004C"/>
    <w:rsid w:val="00610067"/>
    <w:rsid w:val="006100D9"/>
    <w:rsid w:val="006100DE"/>
    <w:rsid w:val="00610128"/>
    <w:rsid w:val="006105B9"/>
    <w:rsid w:val="0061060C"/>
    <w:rsid w:val="006106AA"/>
    <w:rsid w:val="0061077C"/>
    <w:rsid w:val="00610802"/>
    <w:rsid w:val="0061093E"/>
    <w:rsid w:val="00610A0C"/>
    <w:rsid w:val="00610DB0"/>
    <w:rsid w:val="00610DE3"/>
    <w:rsid w:val="00611263"/>
    <w:rsid w:val="0061127C"/>
    <w:rsid w:val="0061136D"/>
    <w:rsid w:val="00611520"/>
    <w:rsid w:val="0061153E"/>
    <w:rsid w:val="006115C4"/>
    <w:rsid w:val="0061183A"/>
    <w:rsid w:val="006118B2"/>
    <w:rsid w:val="006118FE"/>
    <w:rsid w:val="00611B5A"/>
    <w:rsid w:val="00611C61"/>
    <w:rsid w:val="00611D95"/>
    <w:rsid w:val="00611D9C"/>
    <w:rsid w:val="00611DC0"/>
    <w:rsid w:val="00611ED2"/>
    <w:rsid w:val="00611F61"/>
    <w:rsid w:val="006121B5"/>
    <w:rsid w:val="00612256"/>
    <w:rsid w:val="00612274"/>
    <w:rsid w:val="006122EE"/>
    <w:rsid w:val="00612315"/>
    <w:rsid w:val="006125EE"/>
    <w:rsid w:val="0061267D"/>
    <w:rsid w:val="0061280F"/>
    <w:rsid w:val="006128A9"/>
    <w:rsid w:val="00612987"/>
    <w:rsid w:val="00612D0A"/>
    <w:rsid w:val="00612D2F"/>
    <w:rsid w:val="00612E5B"/>
    <w:rsid w:val="00612E91"/>
    <w:rsid w:val="00612F3B"/>
    <w:rsid w:val="006131AD"/>
    <w:rsid w:val="0061333C"/>
    <w:rsid w:val="00613600"/>
    <w:rsid w:val="0061384F"/>
    <w:rsid w:val="00613C0D"/>
    <w:rsid w:val="00613FAF"/>
    <w:rsid w:val="00614225"/>
    <w:rsid w:val="0061440D"/>
    <w:rsid w:val="0061449F"/>
    <w:rsid w:val="00614556"/>
    <w:rsid w:val="00614738"/>
    <w:rsid w:val="006147B7"/>
    <w:rsid w:val="006147C9"/>
    <w:rsid w:val="006148D4"/>
    <w:rsid w:val="006148E0"/>
    <w:rsid w:val="0061494D"/>
    <w:rsid w:val="00614965"/>
    <w:rsid w:val="00614ADE"/>
    <w:rsid w:val="00614AFD"/>
    <w:rsid w:val="00614B76"/>
    <w:rsid w:val="00614B84"/>
    <w:rsid w:val="00614CAF"/>
    <w:rsid w:val="00614E0C"/>
    <w:rsid w:val="00615075"/>
    <w:rsid w:val="006151EE"/>
    <w:rsid w:val="00615375"/>
    <w:rsid w:val="00615565"/>
    <w:rsid w:val="0061559F"/>
    <w:rsid w:val="006155D3"/>
    <w:rsid w:val="0061579B"/>
    <w:rsid w:val="006159DD"/>
    <w:rsid w:val="00615B90"/>
    <w:rsid w:val="00615E8A"/>
    <w:rsid w:val="00616166"/>
    <w:rsid w:val="006161D0"/>
    <w:rsid w:val="0061642B"/>
    <w:rsid w:val="006165AD"/>
    <w:rsid w:val="006166DB"/>
    <w:rsid w:val="0061670B"/>
    <w:rsid w:val="006167E5"/>
    <w:rsid w:val="00616847"/>
    <w:rsid w:val="0061695F"/>
    <w:rsid w:val="0061699D"/>
    <w:rsid w:val="00616B84"/>
    <w:rsid w:val="00616CDA"/>
    <w:rsid w:val="00616EDB"/>
    <w:rsid w:val="00616FDC"/>
    <w:rsid w:val="00617041"/>
    <w:rsid w:val="006170F6"/>
    <w:rsid w:val="006170FC"/>
    <w:rsid w:val="006172CF"/>
    <w:rsid w:val="0061738D"/>
    <w:rsid w:val="00617393"/>
    <w:rsid w:val="00617557"/>
    <w:rsid w:val="006176E6"/>
    <w:rsid w:val="006176F3"/>
    <w:rsid w:val="006177C3"/>
    <w:rsid w:val="006179B4"/>
    <w:rsid w:val="006179DC"/>
    <w:rsid w:val="00617B34"/>
    <w:rsid w:val="00617CC3"/>
    <w:rsid w:val="00617DA8"/>
    <w:rsid w:val="00617ED0"/>
    <w:rsid w:val="00620039"/>
    <w:rsid w:val="00620210"/>
    <w:rsid w:val="00620331"/>
    <w:rsid w:val="0062042B"/>
    <w:rsid w:val="0062046A"/>
    <w:rsid w:val="006204BE"/>
    <w:rsid w:val="00620614"/>
    <w:rsid w:val="0062066B"/>
    <w:rsid w:val="006206F3"/>
    <w:rsid w:val="00620714"/>
    <w:rsid w:val="0062090D"/>
    <w:rsid w:val="00620D32"/>
    <w:rsid w:val="00620D63"/>
    <w:rsid w:val="00620D85"/>
    <w:rsid w:val="00620EDE"/>
    <w:rsid w:val="006210C7"/>
    <w:rsid w:val="006210EE"/>
    <w:rsid w:val="00621114"/>
    <w:rsid w:val="00621145"/>
    <w:rsid w:val="00621256"/>
    <w:rsid w:val="00621349"/>
    <w:rsid w:val="006215E4"/>
    <w:rsid w:val="00621620"/>
    <w:rsid w:val="006217C5"/>
    <w:rsid w:val="00621819"/>
    <w:rsid w:val="0062183A"/>
    <w:rsid w:val="006218B8"/>
    <w:rsid w:val="00621944"/>
    <w:rsid w:val="00621BD5"/>
    <w:rsid w:val="00621D03"/>
    <w:rsid w:val="00621D2E"/>
    <w:rsid w:val="00621D5C"/>
    <w:rsid w:val="00621DAF"/>
    <w:rsid w:val="00621E3C"/>
    <w:rsid w:val="00621EFD"/>
    <w:rsid w:val="00622058"/>
    <w:rsid w:val="00622167"/>
    <w:rsid w:val="0062228F"/>
    <w:rsid w:val="00622452"/>
    <w:rsid w:val="006224AD"/>
    <w:rsid w:val="006225C0"/>
    <w:rsid w:val="00622652"/>
    <w:rsid w:val="006226D8"/>
    <w:rsid w:val="00622972"/>
    <w:rsid w:val="00622B73"/>
    <w:rsid w:val="00622E0A"/>
    <w:rsid w:val="0062313C"/>
    <w:rsid w:val="00623236"/>
    <w:rsid w:val="0062326A"/>
    <w:rsid w:val="00623304"/>
    <w:rsid w:val="006233B7"/>
    <w:rsid w:val="0062342C"/>
    <w:rsid w:val="006234AC"/>
    <w:rsid w:val="006234C3"/>
    <w:rsid w:val="0062360B"/>
    <w:rsid w:val="0062369C"/>
    <w:rsid w:val="0062376D"/>
    <w:rsid w:val="0062378C"/>
    <w:rsid w:val="00623B6C"/>
    <w:rsid w:val="00623CA6"/>
    <w:rsid w:val="00623CF0"/>
    <w:rsid w:val="00623DBA"/>
    <w:rsid w:val="00623E8B"/>
    <w:rsid w:val="00623F33"/>
    <w:rsid w:val="00623F5B"/>
    <w:rsid w:val="00624007"/>
    <w:rsid w:val="00624035"/>
    <w:rsid w:val="0062470F"/>
    <w:rsid w:val="0062482C"/>
    <w:rsid w:val="0062486C"/>
    <w:rsid w:val="006248AF"/>
    <w:rsid w:val="00624913"/>
    <w:rsid w:val="00624CDA"/>
    <w:rsid w:val="00624DB7"/>
    <w:rsid w:val="00624E72"/>
    <w:rsid w:val="00624EB2"/>
    <w:rsid w:val="00625096"/>
    <w:rsid w:val="006251CD"/>
    <w:rsid w:val="00625318"/>
    <w:rsid w:val="006253BC"/>
    <w:rsid w:val="00625411"/>
    <w:rsid w:val="0062547D"/>
    <w:rsid w:val="006254C9"/>
    <w:rsid w:val="006254CF"/>
    <w:rsid w:val="00625501"/>
    <w:rsid w:val="006255FF"/>
    <w:rsid w:val="006256A7"/>
    <w:rsid w:val="00625742"/>
    <w:rsid w:val="0062576A"/>
    <w:rsid w:val="00625783"/>
    <w:rsid w:val="006259AE"/>
    <w:rsid w:val="00625C70"/>
    <w:rsid w:val="00625DB9"/>
    <w:rsid w:val="00625F43"/>
    <w:rsid w:val="00626108"/>
    <w:rsid w:val="00626293"/>
    <w:rsid w:val="006262E9"/>
    <w:rsid w:val="0062638E"/>
    <w:rsid w:val="006265D0"/>
    <w:rsid w:val="00626788"/>
    <w:rsid w:val="0062682B"/>
    <w:rsid w:val="0062683D"/>
    <w:rsid w:val="00626891"/>
    <w:rsid w:val="00626E2F"/>
    <w:rsid w:val="00626ECE"/>
    <w:rsid w:val="00626F95"/>
    <w:rsid w:val="006270E4"/>
    <w:rsid w:val="0062711A"/>
    <w:rsid w:val="0062718C"/>
    <w:rsid w:val="00627251"/>
    <w:rsid w:val="0062726E"/>
    <w:rsid w:val="00627322"/>
    <w:rsid w:val="00627386"/>
    <w:rsid w:val="0062738F"/>
    <w:rsid w:val="00627391"/>
    <w:rsid w:val="00627472"/>
    <w:rsid w:val="00627546"/>
    <w:rsid w:val="00627621"/>
    <w:rsid w:val="006276DA"/>
    <w:rsid w:val="006277BA"/>
    <w:rsid w:val="006277CA"/>
    <w:rsid w:val="006278AD"/>
    <w:rsid w:val="00627923"/>
    <w:rsid w:val="00627A8B"/>
    <w:rsid w:val="00627A92"/>
    <w:rsid w:val="00627AE5"/>
    <w:rsid w:val="00627B6D"/>
    <w:rsid w:val="00627B78"/>
    <w:rsid w:val="00627C2D"/>
    <w:rsid w:val="00627D03"/>
    <w:rsid w:val="00627D1B"/>
    <w:rsid w:val="00627FA1"/>
    <w:rsid w:val="006300BD"/>
    <w:rsid w:val="0063010D"/>
    <w:rsid w:val="006301CE"/>
    <w:rsid w:val="00630232"/>
    <w:rsid w:val="0063043A"/>
    <w:rsid w:val="00630570"/>
    <w:rsid w:val="006305DD"/>
    <w:rsid w:val="00630653"/>
    <w:rsid w:val="0063066F"/>
    <w:rsid w:val="00630863"/>
    <w:rsid w:val="00630957"/>
    <w:rsid w:val="006309D6"/>
    <w:rsid w:val="00630C6D"/>
    <w:rsid w:val="00630CA1"/>
    <w:rsid w:val="00630E30"/>
    <w:rsid w:val="00630F3B"/>
    <w:rsid w:val="00630F65"/>
    <w:rsid w:val="0063102D"/>
    <w:rsid w:val="0063127D"/>
    <w:rsid w:val="006312B9"/>
    <w:rsid w:val="006315CF"/>
    <w:rsid w:val="0063167F"/>
    <w:rsid w:val="0063170D"/>
    <w:rsid w:val="0063172F"/>
    <w:rsid w:val="006318BA"/>
    <w:rsid w:val="00631B46"/>
    <w:rsid w:val="00631D90"/>
    <w:rsid w:val="00631D9B"/>
    <w:rsid w:val="00631E63"/>
    <w:rsid w:val="00631FE2"/>
    <w:rsid w:val="006320E0"/>
    <w:rsid w:val="0063277E"/>
    <w:rsid w:val="006327A2"/>
    <w:rsid w:val="00632831"/>
    <w:rsid w:val="006328CA"/>
    <w:rsid w:val="00632A2E"/>
    <w:rsid w:val="00632E49"/>
    <w:rsid w:val="00632ED3"/>
    <w:rsid w:val="00632EEE"/>
    <w:rsid w:val="00633013"/>
    <w:rsid w:val="00633079"/>
    <w:rsid w:val="006331B5"/>
    <w:rsid w:val="00633798"/>
    <w:rsid w:val="0063384C"/>
    <w:rsid w:val="006338DD"/>
    <w:rsid w:val="00633988"/>
    <w:rsid w:val="00633A95"/>
    <w:rsid w:val="00633AB9"/>
    <w:rsid w:val="00633BE5"/>
    <w:rsid w:val="00633D90"/>
    <w:rsid w:val="00633FAF"/>
    <w:rsid w:val="006340C1"/>
    <w:rsid w:val="00634115"/>
    <w:rsid w:val="006341A9"/>
    <w:rsid w:val="006341D4"/>
    <w:rsid w:val="0063429E"/>
    <w:rsid w:val="00634392"/>
    <w:rsid w:val="006343A8"/>
    <w:rsid w:val="006343ED"/>
    <w:rsid w:val="0063445F"/>
    <w:rsid w:val="00634521"/>
    <w:rsid w:val="00634550"/>
    <w:rsid w:val="0063486E"/>
    <w:rsid w:val="00634A9C"/>
    <w:rsid w:val="00634AD9"/>
    <w:rsid w:val="00634BF3"/>
    <w:rsid w:val="00634F52"/>
    <w:rsid w:val="00634F54"/>
    <w:rsid w:val="0063514B"/>
    <w:rsid w:val="00635227"/>
    <w:rsid w:val="006352D9"/>
    <w:rsid w:val="006359C0"/>
    <w:rsid w:val="006359CF"/>
    <w:rsid w:val="00635A3A"/>
    <w:rsid w:val="00635B97"/>
    <w:rsid w:val="00635BE6"/>
    <w:rsid w:val="00635C16"/>
    <w:rsid w:val="00635CFF"/>
    <w:rsid w:val="00635D3E"/>
    <w:rsid w:val="00635DD2"/>
    <w:rsid w:val="00635E2A"/>
    <w:rsid w:val="00635EA7"/>
    <w:rsid w:val="00635EF7"/>
    <w:rsid w:val="00635F60"/>
    <w:rsid w:val="00635F7E"/>
    <w:rsid w:val="00636251"/>
    <w:rsid w:val="006363C7"/>
    <w:rsid w:val="0063653C"/>
    <w:rsid w:val="00636638"/>
    <w:rsid w:val="006367AB"/>
    <w:rsid w:val="006369AD"/>
    <w:rsid w:val="00636B3A"/>
    <w:rsid w:val="00636B96"/>
    <w:rsid w:val="00636BD5"/>
    <w:rsid w:val="00636CE6"/>
    <w:rsid w:val="00636DF6"/>
    <w:rsid w:val="00636F4C"/>
    <w:rsid w:val="00636FAF"/>
    <w:rsid w:val="0063716C"/>
    <w:rsid w:val="00637277"/>
    <w:rsid w:val="00637559"/>
    <w:rsid w:val="006376CB"/>
    <w:rsid w:val="00637702"/>
    <w:rsid w:val="006377A6"/>
    <w:rsid w:val="00637A27"/>
    <w:rsid w:val="00637A3D"/>
    <w:rsid w:val="00637AED"/>
    <w:rsid w:val="00637B47"/>
    <w:rsid w:val="00637B61"/>
    <w:rsid w:val="00637C43"/>
    <w:rsid w:val="00637E1D"/>
    <w:rsid w:val="00637E6F"/>
    <w:rsid w:val="00637F61"/>
    <w:rsid w:val="0064005C"/>
    <w:rsid w:val="00640067"/>
    <w:rsid w:val="00640139"/>
    <w:rsid w:val="006401E1"/>
    <w:rsid w:val="006403F4"/>
    <w:rsid w:val="0064043F"/>
    <w:rsid w:val="00640463"/>
    <w:rsid w:val="006405AE"/>
    <w:rsid w:val="006405C2"/>
    <w:rsid w:val="00640676"/>
    <w:rsid w:val="00640762"/>
    <w:rsid w:val="0064092A"/>
    <w:rsid w:val="006409B8"/>
    <w:rsid w:val="00640A05"/>
    <w:rsid w:val="00640BF8"/>
    <w:rsid w:val="00640DC4"/>
    <w:rsid w:val="00640E59"/>
    <w:rsid w:val="006410F8"/>
    <w:rsid w:val="00641188"/>
    <w:rsid w:val="006411B3"/>
    <w:rsid w:val="006411BC"/>
    <w:rsid w:val="006411EF"/>
    <w:rsid w:val="00641224"/>
    <w:rsid w:val="00641328"/>
    <w:rsid w:val="006413D0"/>
    <w:rsid w:val="006413F8"/>
    <w:rsid w:val="0064145F"/>
    <w:rsid w:val="0064146A"/>
    <w:rsid w:val="006416C8"/>
    <w:rsid w:val="00641995"/>
    <w:rsid w:val="006419D6"/>
    <w:rsid w:val="00641B5C"/>
    <w:rsid w:val="00641C62"/>
    <w:rsid w:val="00641CED"/>
    <w:rsid w:val="00641D08"/>
    <w:rsid w:val="00641D8F"/>
    <w:rsid w:val="00641DD9"/>
    <w:rsid w:val="00641F4E"/>
    <w:rsid w:val="00641FB4"/>
    <w:rsid w:val="006420D2"/>
    <w:rsid w:val="00642194"/>
    <w:rsid w:val="006421A2"/>
    <w:rsid w:val="0064236D"/>
    <w:rsid w:val="006423DB"/>
    <w:rsid w:val="00642510"/>
    <w:rsid w:val="006428F2"/>
    <w:rsid w:val="00642A22"/>
    <w:rsid w:val="00642A4E"/>
    <w:rsid w:val="00642BC2"/>
    <w:rsid w:val="00642DE6"/>
    <w:rsid w:val="00642DFA"/>
    <w:rsid w:val="00642E75"/>
    <w:rsid w:val="00642EAF"/>
    <w:rsid w:val="00643144"/>
    <w:rsid w:val="006431CF"/>
    <w:rsid w:val="006431DC"/>
    <w:rsid w:val="006432F4"/>
    <w:rsid w:val="00643377"/>
    <w:rsid w:val="006433B9"/>
    <w:rsid w:val="0064344B"/>
    <w:rsid w:val="00643460"/>
    <w:rsid w:val="0064349B"/>
    <w:rsid w:val="006434CB"/>
    <w:rsid w:val="00643589"/>
    <w:rsid w:val="00643801"/>
    <w:rsid w:val="00643C9B"/>
    <w:rsid w:val="00643E0B"/>
    <w:rsid w:val="00643E66"/>
    <w:rsid w:val="00643F42"/>
    <w:rsid w:val="00644190"/>
    <w:rsid w:val="00644322"/>
    <w:rsid w:val="006443B9"/>
    <w:rsid w:val="006444FB"/>
    <w:rsid w:val="00644737"/>
    <w:rsid w:val="006447CA"/>
    <w:rsid w:val="00644847"/>
    <w:rsid w:val="006448A6"/>
    <w:rsid w:val="00644B98"/>
    <w:rsid w:val="00644C70"/>
    <w:rsid w:val="00644C9E"/>
    <w:rsid w:val="00644D0A"/>
    <w:rsid w:val="00644DBC"/>
    <w:rsid w:val="00644FCE"/>
    <w:rsid w:val="00644FD0"/>
    <w:rsid w:val="00644FED"/>
    <w:rsid w:val="00644FF1"/>
    <w:rsid w:val="0064508C"/>
    <w:rsid w:val="00645113"/>
    <w:rsid w:val="0064516B"/>
    <w:rsid w:val="00645249"/>
    <w:rsid w:val="006452D1"/>
    <w:rsid w:val="00645311"/>
    <w:rsid w:val="0064534D"/>
    <w:rsid w:val="006454D2"/>
    <w:rsid w:val="00645606"/>
    <w:rsid w:val="006456C1"/>
    <w:rsid w:val="00645701"/>
    <w:rsid w:val="00645726"/>
    <w:rsid w:val="00645763"/>
    <w:rsid w:val="00645804"/>
    <w:rsid w:val="0064586C"/>
    <w:rsid w:val="00645873"/>
    <w:rsid w:val="006458CA"/>
    <w:rsid w:val="00645B08"/>
    <w:rsid w:val="00645B1F"/>
    <w:rsid w:val="00645B80"/>
    <w:rsid w:val="00645DDC"/>
    <w:rsid w:val="00645E03"/>
    <w:rsid w:val="00645E62"/>
    <w:rsid w:val="00645EE3"/>
    <w:rsid w:val="0064607E"/>
    <w:rsid w:val="006460EC"/>
    <w:rsid w:val="006460FC"/>
    <w:rsid w:val="00646180"/>
    <w:rsid w:val="00646214"/>
    <w:rsid w:val="006462E4"/>
    <w:rsid w:val="00646341"/>
    <w:rsid w:val="0064645B"/>
    <w:rsid w:val="00646501"/>
    <w:rsid w:val="00646578"/>
    <w:rsid w:val="006465A9"/>
    <w:rsid w:val="006465D2"/>
    <w:rsid w:val="006468D1"/>
    <w:rsid w:val="00646B74"/>
    <w:rsid w:val="00646C14"/>
    <w:rsid w:val="00646E2F"/>
    <w:rsid w:val="00646EF8"/>
    <w:rsid w:val="006470F7"/>
    <w:rsid w:val="006471B7"/>
    <w:rsid w:val="0064725B"/>
    <w:rsid w:val="0064763B"/>
    <w:rsid w:val="006476E9"/>
    <w:rsid w:val="006477E7"/>
    <w:rsid w:val="00647875"/>
    <w:rsid w:val="006478EF"/>
    <w:rsid w:val="006479AC"/>
    <w:rsid w:val="00647C52"/>
    <w:rsid w:val="00647C68"/>
    <w:rsid w:val="00647D20"/>
    <w:rsid w:val="00650195"/>
    <w:rsid w:val="006501A5"/>
    <w:rsid w:val="00650367"/>
    <w:rsid w:val="006505BE"/>
    <w:rsid w:val="00650848"/>
    <w:rsid w:val="00650926"/>
    <w:rsid w:val="00650ADD"/>
    <w:rsid w:val="00650C28"/>
    <w:rsid w:val="00650CB5"/>
    <w:rsid w:val="00650D94"/>
    <w:rsid w:val="00650E43"/>
    <w:rsid w:val="00650E6B"/>
    <w:rsid w:val="006510FC"/>
    <w:rsid w:val="00651373"/>
    <w:rsid w:val="00651415"/>
    <w:rsid w:val="006514F3"/>
    <w:rsid w:val="0065155D"/>
    <w:rsid w:val="00651660"/>
    <w:rsid w:val="00651669"/>
    <w:rsid w:val="006518C7"/>
    <w:rsid w:val="00651A31"/>
    <w:rsid w:val="00651A65"/>
    <w:rsid w:val="00651BC7"/>
    <w:rsid w:val="00651DAD"/>
    <w:rsid w:val="00651E7A"/>
    <w:rsid w:val="00651F5F"/>
    <w:rsid w:val="0065201B"/>
    <w:rsid w:val="0065209C"/>
    <w:rsid w:val="0065239F"/>
    <w:rsid w:val="00652403"/>
    <w:rsid w:val="00652445"/>
    <w:rsid w:val="006524B4"/>
    <w:rsid w:val="0065273A"/>
    <w:rsid w:val="00652773"/>
    <w:rsid w:val="006528FB"/>
    <w:rsid w:val="00652939"/>
    <w:rsid w:val="00652943"/>
    <w:rsid w:val="00652971"/>
    <w:rsid w:val="00652A2E"/>
    <w:rsid w:val="00652AC8"/>
    <w:rsid w:val="00652C29"/>
    <w:rsid w:val="00652C8C"/>
    <w:rsid w:val="00652D2B"/>
    <w:rsid w:val="00652D76"/>
    <w:rsid w:val="00652D78"/>
    <w:rsid w:val="00652F0E"/>
    <w:rsid w:val="00652FA2"/>
    <w:rsid w:val="00653421"/>
    <w:rsid w:val="00653570"/>
    <w:rsid w:val="006535A2"/>
    <w:rsid w:val="006535A8"/>
    <w:rsid w:val="006535FC"/>
    <w:rsid w:val="00653667"/>
    <w:rsid w:val="00653690"/>
    <w:rsid w:val="00653777"/>
    <w:rsid w:val="006537DB"/>
    <w:rsid w:val="00653817"/>
    <w:rsid w:val="00653822"/>
    <w:rsid w:val="00653925"/>
    <w:rsid w:val="00653A9E"/>
    <w:rsid w:val="00653CFE"/>
    <w:rsid w:val="00653D1E"/>
    <w:rsid w:val="00653E08"/>
    <w:rsid w:val="00653E0A"/>
    <w:rsid w:val="00653E99"/>
    <w:rsid w:val="0065404E"/>
    <w:rsid w:val="0065408B"/>
    <w:rsid w:val="0065427B"/>
    <w:rsid w:val="006543B9"/>
    <w:rsid w:val="006545F0"/>
    <w:rsid w:val="00654665"/>
    <w:rsid w:val="00654690"/>
    <w:rsid w:val="0065470E"/>
    <w:rsid w:val="006547E2"/>
    <w:rsid w:val="00654868"/>
    <w:rsid w:val="006549CE"/>
    <w:rsid w:val="00654B26"/>
    <w:rsid w:val="00654BB0"/>
    <w:rsid w:val="00654C17"/>
    <w:rsid w:val="00654C78"/>
    <w:rsid w:val="00654CED"/>
    <w:rsid w:val="00654E8E"/>
    <w:rsid w:val="00654ED8"/>
    <w:rsid w:val="00655013"/>
    <w:rsid w:val="00655025"/>
    <w:rsid w:val="0065508F"/>
    <w:rsid w:val="0065526E"/>
    <w:rsid w:val="0065536B"/>
    <w:rsid w:val="006555A4"/>
    <w:rsid w:val="00655799"/>
    <w:rsid w:val="00655A79"/>
    <w:rsid w:val="00655ECA"/>
    <w:rsid w:val="00655FC4"/>
    <w:rsid w:val="006561E3"/>
    <w:rsid w:val="0065629C"/>
    <w:rsid w:val="006562D1"/>
    <w:rsid w:val="00656321"/>
    <w:rsid w:val="0065633C"/>
    <w:rsid w:val="006563AA"/>
    <w:rsid w:val="006563E5"/>
    <w:rsid w:val="00656471"/>
    <w:rsid w:val="006564F1"/>
    <w:rsid w:val="00656647"/>
    <w:rsid w:val="00656722"/>
    <w:rsid w:val="006567F2"/>
    <w:rsid w:val="006569BD"/>
    <w:rsid w:val="006569CA"/>
    <w:rsid w:val="00656B59"/>
    <w:rsid w:val="00656D19"/>
    <w:rsid w:val="00656D1A"/>
    <w:rsid w:val="00656D5B"/>
    <w:rsid w:val="00656E19"/>
    <w:rsid w:val="00656E1E"/>
    <w:rsid w:val="00656E36"/>
    <w:rsid w:val="00656E4A"/>
    <w:rsid w:val="00656EC2"/>
    <w:rsid w:val="0065700D"/>
    <w:rsid w:val="0065726B"/>
    <w:rsid w:val="0065745D"/>
    <w:rsid w:val="006574D2"/>
    <w:rsid w:val="00657501"/>
    <w:rsid w:val="0065767F"/>
    <w:rsid w:val="006576B9"/>
    <w:rsid w:val="006576F4"/>
    <w:rsid w:val="0065787E"/>
    <w:rsid w:val="006578B6"/>
    <w:rsid w:val="006579F5"/>
    <w:rsid w:val="00657A44"/>
    <w:rsid w:val="00657BCF"/>
    <w:rsid w:val="00657D12"/>
    <w:rsid w:val="00657DB5"/>
    <w:rsid w:val="00657E28"/>
    <w:rsid w:val="00660096"/>
    <w:rsid w:val="0066010C"/>
    <w:rsid w:val="0066032C"/>
    <w:rsid w:val="00660440"/>
    <w:rsid w:val="00660545"/>
    <w:rsid w:val="00660564"/>
    <w:rsid w:val="0066063A"/>
    <w:rsid w:val="0066077E"/>
    <w:rsid w:val="006608B7"/>
    <w:rsid w:val="0066094F"/>
    <w:rsid w:val="006609BB"/>
    <w:rsid w:val="006609D7"/>
    <w:rsid w:val="00660A11"/>
    <w:rsid w:val="00660AD5"/>
    <w:rsid w:val="00660AD6"/>
    <w:rsid w:val="00660AF2"/>
    <w:rsid w:val="00660B39"/>
    <w:rsid w:val="00660BDF"/>
    <w:rsid w:val="00660C52"/>
    <w:rsid w:val="00660CA6"/>
    <w:rsid w:val="00660F01"/>
    <w:rsid w:val="0066111B"/>
    <w:rsid w:val="006611E4"/>
    <w:rsid w:val="0066147C"/>
    <w:rsid w:val="00661481"/>
    <w:rsid w:val="0066150F"/>
    <w:rsid w:val="00661513"/>
    <w:rsid w:val="0066187B"/>
    <w:rsid w:val="00661908"/>
    <w:rsid w:val="006619CA"/>
    <w:rsid w:val="00661A84"/>
    <w:rsid w:val="00661AD2"/>
    <w:rsid w:val="00661B29"/>
    <w:rsid w:val="00661C41"/>
    <w:rsid w:val="00661C6B"/>
    <w:rsid w:val="00661C9F"/>
    <w:rsid w:val="00661D5D"/>
    <w:rsid w:val="00661D96"/>
    <w:rsid w:val="00661EB9"/>
    <w:rsid w:val="00661EEB"/>
    <w:rsid w:val="00661F99"/>
    <w:rsid w:val="00661FC9"/>
    <w:rsid w:val="0066212E"/>
    <w:rsid w:val="0066221D"/>
    <w:rsid w:val="0066225A"/>
    <w:rsid w:val="0066239C"/>
    <w:rsid w:val="006623AB"/>
    <w:rsid w:val="006624A2"/>
    <w:rsid w:val="006624BD"/>
    <w:rsid w:val="00662586"/>
    <w:rsid w:val="006625DB"/>
    <w:rsid w:val="00662735"/>
    <w:rsid w:val="0066290C"/>
    <w:rsid w:val="00662996"/>
    <w:rsid w:val="00662AFA"/>
    <w:rsid w:val="00662B43"/>
    <w:rsid w:val="00662C98"/>
    <w:rsid w:val="00662EED"/>
    <w:rsid w:val="006632A0"/>
    <w:rsid w:val="006634CE"/>
    <w:rsid w:val="00663562"/>
    <w:rsid w:val="00663643"/>
    <w:rsid w:val="006636E9"/>
    <w:rsid w:val="006637BB"/>
    <w:rsid w:val="00663933"/>
    <w:rsid w:val="0066397A"/>
    <w:rsid w:val="00663D1C"/>
    <w:rsid w:val="00663DA0"/>
    <w:rsid w:val="00663F57"/>
    <w:rsid w:val="00664052"/>
    <w:rsid w:val="00664395"/>
    <w:rsid w:val="0066440C"/>
    <w:rsid w:val="0066448D"/>
    <w:rsid w:val="0066476F"/>
    <w:rsid w:val="00664787"/>
    <w:rsid w:val="006647B0"/>
    <w:rsid w:val="006648D7"/>
    <w:rsid w:val="0066497D"/>
    <w:rsid w:val="00664A39"/>
    <w:rsid w:val="00664A95"/>
    <w:rsid w:val="00664C69"/>
    <w:rsid w:val="00664D58"/>
    <w:rsid w:val="00664E43"/>
    <w:rsid w:val="00664E8C"/>
    <w:rsid w:val="00664F16"/>
    <w:rsid w:val="00664F8D"/>
    <w:rsid w:val="00664FF7"/>
    <w:rsid w:val="0066503C"/>
    <w:rsid w:val="006650EB"/>
    <w:rsid w:val="0066517C"/>
    <w:rsid w:val="00665257"/>
    <w:rsid w:val="006652B8"/>
    <w:rsid w:val="00665321"/>
    <w:rsid w:val="0066574E"/>
    <w:rsid w:val="0066574F"/>
    <w:rsid w:val="0066588B"/>
    <w:rsid w:val="00665941"/>
    <w:rsid w:val="0066598A"/>
    <w:rsid w:val="00665990"/>
    <w:rsid w:val="00665C3A"/>
    <w:rsid w:val="00665D58"/>
    <w:rsid w:val="00665EBB"/>
    <w:rsid w:val="00666023"/>
    <w:rsid w:val="006661A7"/>
    <w:rsid w:val="006662CE"/>
    <w:rsid w:val="0066638A"/>
    <w:rsid w:val="006663D3"/>
    <w:rsid w:val="006665A5"/>
    <w:rsid w:val="006665D1"/>
    <w:rsid w:val="00666852"/>
    <w:rsid w:val="00666A37"/>
    <w:rsid w:val="00666ADB"/>
    <w:rsid w:val="00666C97"/>
    <w:rsid w:val="00666DF1"/>
    <w:rsid w:val="0066703F"/>
    <w:rsid w:val="00667112"/>
    <w:rsid w:val="00667227"/>
    <w:rsid w:val="0066725C"/>
    <w:rsid w:val="006674A7"/>
    <w:rsid w:val="006674BC"/>
    <w:rsid w:val="006674C6"/>
    <w:rsid w:val="00667579"/>
    <w:rsid w:val="00667588"/>
    <w:rsid w:val="00667607"/>
    <w:rsid w:val="00667625"/>
    <w:rsid w:val="006676FE"/>
    <w:rsid w:val="006677F2"/>
    <w:rsid w:val="006678BB"/>
    <w:rsid w:val="00667A07"/>
    <w:rsid w:val="00667A0D"/>
    <w:rsid w:val="00667ABA"/>
    <w:rsid w:val="00667B8E"/>
    <w:rsid w:val="00667BBB"/>
    <w:rsid w:val="00667C68"/>
    <w:rsid w:val="00667D04"/>
    <w:rsid w:val="00667D1F"/>
    <w:rsid w:val="00670187"/>
    <w:rsid w:val="0067044D"/>
    <w:rsid w:val="0067057D"/>
    <w:rsid w:val="006705B2"/>
    <w:rsid w:val="006706D3"/>
    <w:rsid w:val="006707C7"/>
    <w:rsid w:val="00670845"/>
    <w:rsid w:val="00670878"/>
    <w:rsid w:val="006708F8"/>
    <w:rsid w:val="00670ED3"/>
    <w:rsid w:val="00670F38"/>
    <w:rsid w:val="0067108D"/>
    <w:rsid w:val="00671354"/>
    <w:rsid w:val="0067135C"/>
    <w:rsid w:val="006713D0"/>
    <w:rsid w:val="0067147C"/>
    <w:rsid w:val="006716F6"/>
    <w:rsid w:val="0067180F"/>
    <w:rsid w:val="006718CD"/>
    <w:rsid w:val="006719C9"/>
    <w:rsid w:val="00671A0B"/>
    <w:rsid w:val="00671BCC"/>
    <w:rsid w:val="00671D06"/>
    <w:rsid w:val="00671D21"/>
    <w:rsid w:val="00672148"/>
    <w:rsid w:val="0067214A"/>
    <w:rsid w:val="00672178"/>
    <w:rsid w:val="0067231E"/>
    <w:rsid w:val="00672568"/>
    <w:rsid w:val="0067264C"/>
    <w:rsid w:val="006727FE"/>
    <w:rsid w:val="006728BA"/>
    <w:rsid w:val="00672944"/>
    <w:rsid w:val="00672AD5"/>
    <w:rsid w:val="00672AF6"/>
    <w:rsid w:val="00672AFA"/>
    <w:rsid w:val="00672BDD"/>
    <w:rsid w:val="00672CA9"/>
    <w:rsid w:val="00672FC6"/>
    <w:rsid w:val="00673119"/>
    <w:rsid w:val="006732EC"/>
    <w:rsid w:val="006733EE"/>
    <w:rsid w:val="00673447"/>
    <w:rsid w:val="00673562"/>
    <w:rsid w:val="0067373E"/>
    <w:rsid w:val="00673ADE"/>
    <w:rsid w:val="00673B9F"/>
    <w:rsid w:val="00673C95"/>
    <w:rsid w:val="00673CB5"/>
    <w:rsid w:val="00673DD9"/>
    <w:rsid w:val="00673F0A"/>
    <w:rsid w:val="00674058"/>
    <w:rsid w:val="0067407A"/>
    <w:rsid w:val="006740C7"/>
    <w:rsid w:val="0067411E"/>
    <w:rsid w:val="00674290"/>
    <w:rsid w:val="0067429D"/>
    <w:rsid w:val="006742D7"/>
    <w:rsid w:val="00674314"/>
    <w:rsid w:val="00674335"/>
    <w:rsid w:val="0067445C"/>
    <w:rsid w:val="006744F5"/>
    <w:rsid w:val="006746AF"/>
    <w:rsid w:val="006748B8"/>
    <w:rsid w:val="0067496F"/>
    <w:rsid w:val="00674BA1"/>
    <w:rsid w:val="00674C17"/>
    <w:rsid w:val="00674D9A"/>
    <w:rsid w:val="00674DB7"/>
    <w:rsid w:val="00674E1F"/>
    <w:rsid w:val="00674E9E"/>
    <w:rsid w:val="00674EBD"/>
    <w:rsid w:val="00674EFB"/>
    <w:rsid w:val="00674F1C"/>
    <w:rsid w:val="0067517E"/>
    <w:rsid w:val="006751A4"/>
    <w:rsid w:val="006755AC"/>
    <w:rsid w:val="00675617"/>
    <w:rsid w:val="0067586E"/>
    <w:rsid w:val="006758A8"/>
    <w:rsid w:val="00675BB6"/>
    <w:rsid w:val="00675CE4"/>
    <w:rsid w:val="00675E9C"/>
    <w:rsid w:val="00675EA7"/>
    <w:rsid w:val="006760FF"/>
    <w:rsid w:val="0067636C"/>
    <w:rsid w:val="00676468"/>
    <w:rsid w:val="006765FE"/>
    <w:rsid w:val="00676603"/>
    <w:rsid w:val="00676629"/>
    <w:rsid w:val="00676762"/>
    <w:rsid w:val="00676800"/>
    <w:rsid w:val="00676884"/>
    <w:rsid w:val="006769EE"/>
    <w:rsid w:val="006769FE"/>
    <w:rsid w:val="00676B4F"/>
    <w:rsid w:val="00676BD6"/>
    <w:rsid w:val="00676CAC"/>
    <w:rsid w:val="00676D7D"/>
    <w:rsid w:val="00676DC0"/>
    <w:rsid w:val="00676DC1"/>
    <w:rsid w:val="00676E9F"/>
    <w:rsid w:val="00676F91"/>
    <w:rsid w:val="00677147"/>
    <w:rsid w:val="0067723A"/>
    <w:rsid w:val="00677246"/>
    <w:rsid w:val="00677442"/>
    <w:rsid w:val="006774EC"/>
    <w:rsid w:val="006775C3"/>
    <w:rsid w:val="00677615"/>
    <w:rsid w:val="00677808"/>
    <w:rsid w:val="006778BD"/>
    <w:rsid w:val="00677998"/>
    <w:rsid w:val="00677A2C"/>
    <w:rsid w:val="00677AF5"/>
    <w:rsid w:val="00677B46"/>
    <w:rsid w:val="00677BBD"/>
    <w:rsid w:val="00677C49"/>
    <w:rsid w:val="00677D8D"/>
    <w:rsid w:val="00677DDA"/>
    <w:rsid w:val="00677E47"/>
    <w:rsid w:val="00680216"/>
    <w:rsid w:val="00680333"/>
    <w:rsid w:val="006804A3"/>
    <w:rsid w:val="0068054B"/>
    <w:rsid w:val="006806FA"/>
    <w:rsid w:val="00680911"/>
    <w:rsid w:val="00680A7A"/>
    <w:rsid w:val="00680AFA"/>
    <w:rsid w:val="00680CDB"/>
    <w:rsid w:val="00680D68"/>
    <w:rsid w:val="00680E16"/>
    <w:rsid w:val="00680FDA"/>
    <w:rsid w:val="0068102A"/>
    <w:rsid w:val="006810DA"/>
    <w:rsid w:val="006810E2"/>
    <w:rsid w:val="0068115B"/>
    <w:rsid w:val="00681242"/>
    <w:rsid w:val="006812E4"/>
    <w:rsid w:val="0068137D"/>
    <w:rsid w:val="0068187E"/>
    <w:rsid w:val="006819FA"/>
    <w:rsid w:val="00681B45"/>
    <w:rsid w:val="00681DBE"/>
    <w:rsid w:val="00681E5F"/>
    <w:rsid w:val="00681F32"/>
    <w:rsid w:val="00681F6A"/>
    <w:rsid w:val="00682233"/>
    <w:rsid w:val="006822D6"/>
    <w:rsid w:val="006823BA"/>
    <w:rsid w:val="006824C6"/>
    <w:rsid w:val="00682597"/>
    <w:rsid w:val="0068263A"/>
    <w:rsid w:val="0068266D"/>
    <w:rsid w:val="0068269F"/>
    <w:rsid w:val="00682840"/>
    <w:rsid w:val="00682861"/>
    <w:rsid w:val="006828CE"/>
    <w:rsid w:val="0068294B"/>
    <w:rsid w:val="0068298F"/>
    <w:rsid w:val="006829D5"/>
    <w:rsid w:val="00682A5E"/>
    <w:rsid w:val="00682B8F"/>
    <w:rsid w:val="00682C81"/>
    <w:rsid w:val="00682CCB"/>
    <w:rsid w:val="00682E46"/>
    <w:rsid w:val="00682E47"/>
    <w:rsid w:val="00682EDB"/>
    <w:rsid w:val="006831AB"/>
    <w:rsid w:val="00683294"/>
    <w:rsid w:val="00683504"/>
    <w:rsid w:val="006836FB"/>
    <w:rsid w:val="00683786"/>
    <w:rsid w:val="006837FC"/>
    <w:rsid w:val="006838D7"/>
    <w:rsid w:val="006838F7"/>
    <w:rsid w:val="006838FA"/>
    <w:rsid w:val="00683988"/>
    <w:rsid w:val="00683A0B"/>
    <w:rsid w:val="00683ACC"/>
    <w:rsid w:val="00683B37"/>
    <w:rsid w:val="00683BF3"/>
    <w:rsid w:val="00683CE5"/>
    <w:rsid w:val="00683E49"/>
    <w:rsid w:val="00683F0C"/>
    <w:rsid w:val="00683F17"/>
    <w:rsid w:val="00683FB8"/>
    <w:rsid w:val="00683FC9"/>
    <w:rsid w:val="0068400B"/>
    <w:rsid w:val="0068401E"/>
    <w:rsid w:val="00684051"/>
    <w:rsid w:val="00684135"/>
    <w:rsid w:val="00684170"/>
    <w:rsid w:val="00684336"/>
    <w:rsid w:val="0068435D"/>
    <w:rsid w:val="00684385"/>
    <w:rsid w:val="00684412"/>
    <w:rsid w:val="00684444"/>
    <w:rsid w:val="00684732"/>
    <w:rsid w:val="006847BF"/>
    <w:rsid w:val="0068482B"/>
    <w:rsid w:val="0068499B"/>
    <w:rsid w:val="00684A21"/>
    <w:rsid w:val="00684A31"/>
    <w:rsid w:val="00684CC2"/>
    <w:rsid w:val="00684E66"/>
    <w:rsid w:val="00684EB6"/>
    <w:rsid w:val="00684EB8"/>
    <w:rsid w:val="00684F6E"/>
    <w:rsid w:val="00685091"/>
    <w:rsid w:val="00685141"/>
    <w:rsid w:val="0068522F"/>
    <w:rsid w:val="00685355"/>
    <w:rsid w:val="0068535E"/>
    <w:rsid w:val="0068539E"/>
    <w:rsid w:val="0068555B"/>
    <w:rsid w:val="0068561F"/>
    <w:rsid w:val="00685657"/>
    <w:rsid w:val="00685660"/>
    <w:rsid w:val="00685702"/>
    <w:rsid w:val="00685745"/>
    <w:rsid w:val="006857C9"/>
    <w:rsid w:val="006857E4"/>
    <w:rsid w:val="00685814"/>
    <w:rsid w:val="00685865"/>
    <w:rsid w:val="00685AC2"/>
    <w:rsid w:val="00685B2D"/>
    <w:rsid w:val="00685B4A"/>
    <w:rsid w:val="00685B8A"/>
    <w:rsid w:val="00685BBB"/>
    <w:rsid w:val="00685C20"/>
    <w:rsid w:val="00686116"/>
    <w:rsid w:val="00686240"/>
    <w:rsid w:val="00686263"/>
    <w:rsid w:val="00686283"/>
    <w:rsid w:val="006862A9"/>
    <w:rsid w:val="006863CE"/>
    <w:rsid w:val="0068642B"/>
    <w:rsid w:val="006865FF"/>
    <w:rsid w:val="006867E7"/>
    <w:rsid w:val="00686805"/>
    <w:rsid w:val="00686940"/>
    <w:rsid w:val="00686CFE"/>
    <w:rsid w:val="00686D2E"/>
    <w:rsid w:val="0068709F"/>
    <w:rsid w:val="00687143"/>
    <w:rsid w:val="006871DF"/>
    <w:rsid w:val="006873B4"/>
    <w:rsid w:val="006875D3"/>
    <w:rsid w:val="006877EA"/>
    <w:rsid w:val="006879A1"/>
    <w:rsid w:val="00687A2A"/>
    <w:rsid w:val="00687A61"/>
    <w:rsid w:val="00687C8C"/>
    <w:rsid w:val="00687DE0"/>
    <w:rsid w:val="00687E52"/>
    <w:rsid w:val="00687F7D"/>
    <w:rsid w:val="0069018A"/>
    <w:rsid w:val="00690258"/>
    <w:rsid w:val="00690336"/>
    <w:rsid w:val="0069037D"/>
    <w:rsid w:val="00690385"/>
    <w:rsid w:val="006903E1"/>
    <w:rsid w:val="006906FD"/>
    <w:rsid w:val="0069078D"/>
    <w:rsid w:val="0069089C"/>
    <w:rsid w:val="00690940"/>
    <w:rsid w:val="00690941"/>
    <w:rsid w:val="0069097C"/>
    <w:rsid w:val="00690A4A"/>
    <w:rsid w:val="00690BA5"/>
    <w:rsid w:val="00690BB3"/>
    <w:rsid w:val="00690C83"/>
    <w:rsid w:val="00690CF5"/>
    <w:rsid w:val="0069100E"/>
    <w:rsid w:val="00691139"/>
    <w:rsid w:val="0069115A"/>
    <w:rsid w:val="0069139F"/>
    <w:rsid w:val="0069140C"/>
    <w:rsid w:val="00691464"/>
    <w:rsid w:val="006914F0"/>
    <w:rsid w:val="0069154F"/>
    <w:rsid w:val="0069155D"/>
    <w:rsid w:val="0069161F"/>
    <w:rsid w:val="00691763"/>
    <w:rsid w:val="006918F8"/>
    <w:rsid w:val="00691974"/>
    <w:rsid w:val="006919AC"/>
    <w:rsid w:val="006919D7"/>
    <w:rsid w:val="00691A05"/>
    <w:rsid w:val="00691D03"/>
    <w:rsid w:val="00691D1A"/>
    <w:rsid w:val="00691D85"/>
    <w:rsid w:val="00691E25"/>
    <w:rsid w:val="00691EBB"/>
    <w:rsid w:val="006920FE"/>
    <w:rsid w:val="00692177"/>
    <w:rsid w:val="00692234"/>
    <w:rsid w:val="00692240"/>
    <w:rsid w:val="00692394"/>
    <w:rsid w:val="006923D4"/>
    <w:rsid w:val="00692413"/>
    <w:rsid w:val="006926D2"/>
    <w:rsid w:val="00692711"/>
    <w:rsid w:val="006928C1"/>
    <w:rsid w:val="0069290A"/>
    <w:rsid w:val="00692C77"/>
    <w:rsid w:val="00692D6D"/>
    <w:rsid w:val="00692DF2"/>
    <w:rsid w:val="00692E12"/>
    <w:rsid w:val="00692F9B"/>
    <w:rsid w:val="006931C3"/>
    <w:rsid w:val="006936B4"/>
    <w:rsid w:val="006937CC"/>
    <w:rsid w:val="006937EE"/>
    <w:rsid w:val="006938DF"/>
    <w:rsid w:val="006939CD"/>
    <w:rsid w:val="00693AAB"/>
    <w:rsid w:val="00693C67"/>
    <w:rsid w:val="00693D58"/>
    <w:rsid w:val="00693EAB"/>
    <w:rsid w:val="00693EFB"/>
    <w:rsid w:val="00693F84"/>
    <w:rsid w:val="00693FA1"/>
    <w:rsid w:val="00693FF2"/>
    <w:rsid w:val="00694235"/>
    <w:rsid w:val="0069438C"/>
    <w:rsid w:val="006945B8"/>
    <w:rsid w:val="00694659"/>
    <w:rsid w:val="0069467A"/>
    <w:rsid w:val="006948AA"/>
    <w:rsid w:val="0069492A"/>
    <w:rsid w:val="00694A4C"/>
    <w:rsid w:val="00694A95"/>
    <w:rsid w:val="00694B20"/>
    <w:rsid w:val="00694BFA"/>
    <w:rsid w:val="00694CF1"/>
    <w:rsid w:val="00694E45"/>
    <w:rsid w:val="00694E4D"/>
    <w:rsid w:val="00694EAF"/>
    <w:rsid w:val="00694EC8"/>
    <w:rsid w:val="00694F55"/>
    <w:rsid w:val="00695059"/>
    <w:rsid w:val="0069515B"/>
    <w:rsid w:val="006951DE"/>
    <w:rsid w:val="00695231"/>
    <w:rsid w:val="0069531F"/>
    <w:rsid w:val="00695337"/>
    <w:rsid w:val="00695402"/>
    <w:rsid w:val="0069569E"/>
    <w:rsid w:val="0069570D"/>
    <w:rsid w:val="006957F8"/>
    <w:rsid w:val="006958F2"/>
    <w:rsid w:val="00695A7C"/>
    <w:rsid w:val="00695AB3"/>
    <w:rsid w:val="00695C6C"/>
    <w:rsid w:val="00695DB1"/>
    <w:rsid w:val="00695E27"/>
    <w:rsid w:val="00695FC0"/>
    <w:rsid w:val="0069612C"/>
    <w:rsid w:val="0069614E"/>
    <w:rsid w:val="0069624F"/>
    <w:rsid w:val="00696257"/>
    <w:rsid w:val="0069632F"/>
    <w:rsid w:val="00696381"/>
    <w:rsid w:val="006966E1"/>
    <w:rsid w:val="0069670F"/>
    <w:rsid w:val="006967D6"/>
    <w:rsid w:val="0069680D"/>
    <w:rsid w:val="00696907"/>
    <w:rsid w:val="00696956"/>
    <w:rsid w:val="0069699D"/>
    <w:rsid w:val="006969B9"/>
    <w:rsid w:val="006969F5"/>
    <w:rsid w:val="00696A2E"/>
    <w:rsid w:val="00696AAC"/>
    <w:rsid w:val="00696B88"/>
    <w:rsid w:val="00696BDF"/>
    <w:rsid w:val="00696C45"/>
    <w:rsid w:val="00696C59"/>
    <w:rsid w:val="00696C7A"/>
    <w:rsid w:val="00696CB6"/>
    <w:rsid w:val="00696D3C"/>
    <w:rsid w:val="00696D7F"/>
    <w:rsid w:val="00696E7E"/>
    <w:rsid w:val="00696F10"/>
    <w:rsid w:val="00696FC8"/>
    <w:rsid w:val="0069701E"/>
    <w:rsid w:val="006970A7"/>
    <w:rsid w:val="00697181"/>
    <w:rsid w:val="006972E1"/>
    <w:rsid w:val="00697327"/>
    <w:rsid w:val="0069744B"/>
    <w:rsid w:val="0069747B"/>
    <w:rsid w:val="0069762F"/>
    <w:rsid w:val="00697680"/>
    <w:rsid w:val="006976A5"/>
    <w:rsid w:val="0069771D"/>
    <w:rsid w:val="0069774E"/>
    <w:rsid w:val="0069775A"/>
    <w:rsid w:val="00697813"/>
    <w:rsid w:val="006979D0"/>
    <w:rsid w:val="006979FC"/>
    <w:rsid w:val="00697A23"/>
    <w:rsid w:val="00697B5B"/>
    <w:rsid w:val="00697DB4"/>
    <w:rsid w:val="00697EB6"/>
    <w:rsid w:val="00697FA1"/>
    <w:rsid w:val="00697FC0"/>
    <w:rsid w:val="00697FCC"/>
    <w:rsid w:val="006A002F"/>
    <w:rsid w:val="006A003D"/>
    <w:rsid w:val="006A0676"/>
    <w:rsid w:val="006A0677"/>
    <w:rsid w:val="006A0742"/>
    <w:rsid w:val="006A099F"/>
    <w:rsid w:val="006A0ABC"/>
    <w:rsid w:val="006A0ABF"/>
    <w:rsid w:val="006A0B4D"/>
    <w:rsid w:val="006A0B75"/>
    <w:rsid w:val="006A0C37"/>
    <w:rsid w:val="006A0D21"/>
    <w:rsid w:val="006A0E11"/>
    <w:rsid w:val="006A0FDD"/>
    <w:rsid w:val="006A12C7"/>
    <w:rsid w:val="006A13E8"/>
    <w:rsid w:val="006A1514"/>
    <w:rsid w:val="006A1515"/>
    <w:rsid w:val="006A1896"/>
    <w:rsid w:val="006A1A54"/>
    <w:rsid w:val="006A1F98"/>
    <w:rsid w:val="006A2039"/>
    <w:rsid w:val="006A2105"/>
    <w:rsid w:val="006A2122"/>
    <w:rsid w:val="006A2185"/>
    <w:rsid w:val="006A2199"/>
    <w:rsid w:val="006A2319"/>
    <w:rsid w:val="006A2350"/>
    <w:rsid w:val="006A23EF"/>
    <w:rsid w:val="006A25AE"/>
    <w:rsid w:val="006A2696"/>
    <w:rsid w:val="006A2740"/>
    <w:rsid w:val="006A283D"/>
    <w:rsid w:val="006A2936"/>
    <w:rsid w:val="006A29F3"/>
    <w:rsid w:val="006A2B5A"/>
    <w:rsid w:val="006A2F2C"/>
    <w:rsid w:val="006A2F2D"/>
    <w:rsid w:val="006A30B6"/>
    <w:rsid w:val="006A318F"/>
    <w:rsid w:val="006A31C5"/>
    <w:rsid w:val="006A3271"/>
    <w:rsid w:val="006A32B6"/>
    <w:rsid w:val="006A32EF"/>
    <w:rsid w:val="006A3533"/>
    <w:rsid w:val="006A373E"/>
    <w:rsid w:val="006A3894"/>
    <w:rsid w:val="006A3916"/>
    <w:rsid w:val="006A3986"/>
    <w:rsid w:val="006A3A37"/>
    <w:rsid w:val="006A3B7C"/>
    <w:rsid w:val="006A3BEF"/>
    <w:rsid w:val="006A3DD1"/>
    <w:rsid w:val="006A3E51"/>
    <w:rsid w:val="006A3EE8"/>
    <w:rsid w:val="006A40EF"/>
    <w:rsid w:val="006A40FB"/>
    <w:rsid w:val="006A424D"/>
    <w:rsid w:val="006A4392"/>
    <w:rsid w:val="006A4518"/>
    <w:rsid w:val="006A4522"/>
    <w:rsid w:val="006A4572"/>
    <w:rsid w:val="006A45E9"/>
    <w:rsid w:val="006A45F4"/>
    <w:rsid w:val="006A46BD"/>
    <w:rsid w:val="006A494C"/>
    <w:rsid w:val="006A4973"/>
    <w:rsid w:val="006A4A2B"/>
    <w:rsid w:val="006A4ABF"/>
    <w:rsid w:val="006A4AF3"/>
    <w:rsid w:val="006A4B27"/>
    <w:rsid w:val="006A4D95"/>
    <w:rsid w:val="006A4E6E"/>
    <w:rsid w:val="006A5106"/>
    <w:rsid w:val="006A52DA"/>
    <w:rsid w:val="006A5385"/>
    <w:rsid w:val="006A53DB"/>
    <w:rsid w:val="006A5403"/>
    <w:rsid w:val="006A5529"/>
    <w:rsid w:val="006A573B"/>
    <w:rsid w:val="006A585C"/>
    <w:rsid w:val="006A59B5"/>
    <w:rsid w:val="006A59D0"/>
    <w:rsid w:val="006A5A79"/>
    <w:rsid w:val="006A5B97"/>
    <w:rsid w:val="006A5C0D"/>
    <w:rsid w:val="006A5C39"/>
    <w:rsid w:val="006A5DB1"/>
    <w:rsid w:val="006A5E96"/>
    <w:rsid w:val="006A5F61"/>
    <w:rsid w:val="006A5FAC"/>
    <w:rsid w:val="006A60B0"/>
    <w:rsid w:val="006A60FD"/>
    <w:rsid w:val="006A6145"/>
    <w:rsid w:val="006A61F9"/>
    <w:rsid w:val="006A6226"/>
    <w:rsid w:val="006A62D0"/>
    <w:rsid w:val="006A63BA"/>
    <w:rsid w:val="006A682B"/>
    <w:rsid w:val="006A69E9"/>
    <w:rsid w:val="006A6AA4"/>
    <w:rsid w:val="006A6D15"/>
    <w:rsid w:val="006A6DB1"/>
    <w:rsid w:val="006A6E3E"/>
    <w:rsid w:val="006A6F48"/>
    <w:rsid w:val="006A6FA1"/>
    <w:rsid w:val="006A6FFF"/>
    <w:rsid w:val="006A7038"/>
    <w:rsid w:val="006A7087"/>
    <w:rsid w:val="006A729C"/>
    <w:rsid w:val="006A72BF"/>
    <w:rsid w:val="006A72DE"/>
    <w:rsid w:val="006A73C7"/>
    <w:rsid w:val="006A73DC"/>
    <w:rsid w:val="006A7428"/>
    <w:rsid w:val="006A745C"/>
    <w:rsid w:val="006A7498"/>
    <w:rsid w:val="006A7595"/>
    <w:rsid w:val="006A75D0"/>
    <w:rsid w:val="006A763E"/>
    <w:rsid w:val="006A7735"/>
    <w:rsid w:val="006A7769"/>
    <w:rsid w:val="006A77F0"/>
    <w:rsid w:val="006A799D"/>
    <w:rsid w:val="006A7AF9"/>
    <w:rsid w:val="006A7B20"/>
    <w:rsid w:val="006A7BBB"/>
    <w:rsid w:val="006A7C0F"/>
    <w:rsid w:val="006A7D2A"/>
    <w:rsid w:val="006A7D5F"/>
    <w:rsid w:val="006A7E25"/>
    <w:rsid w:val="006B0128"/>
    <w:rsid w:val="006B021E"/>
    <w:rsid w:val="006B02FC"/>
    <w:rsid w:val="006B03F2"/>
    <w:rsid w:val="006B0926"/>
    <w:rsid w:val="006B099C"/>
    <w:rsid w:val="006B0AA2"/>
    <w:rsid w:val="006B0B2D"/>
    <w:rsid w:val="006B0CF9"/>
    <w:rsid w:val="006B1017"/>
    <w:rsid w:val="006B127C"/>
    <w:rsid w:val="006B13DB"/>
    <w:rsid w:val="006B1463"/>
    <w:rsid w:val="006B1582"/>
    <w:rsid w:val="006B15B6"/>
    <w:rsid w:val="006B1707"/>
    <w:rsid w:val="006B177E"/>
    <w:rsid w:val="006B1796"/>
    <w:rsid w:val="006B1916"/>
    <w:rsid w:val="006B1935"/>
    <w:rsid w:val="006B1975"/>
    <w:rsid w:val="006B1A31"/>
    <w:rsid w:val="006B1A76"/>
    <w:rsid w:val="006B1B21"/>
    <w:rsid w:val="006B1B4F"/>
    <w:rsid w:val="006B1C50"/>
    <w:rsid w:val="006B1CAC"/>
    <w:rsid w:val="006B1D51"/>
    <w:rsid w:val="006B1E71"/>
    <w:rsid w:val="006B2125"/>
    <w:rsid w:val="006B2251"/>
    <w:rsid w:val="006B2365"/>
    <w:rsid w:val="006B24FA"/>
    <w:rsid w:val="006B28D4"/>
    <w:rsid w:val="006B29C4"/>
    <w:rsid w:val="006B29E0"/>
    <w:rsid w:val="006B2AF4"/>
    <w:rsid w:val="006B2DDE"/>
    <w:rsid w:val="006B2F36"/>
    <w:rsid w:val="006B2FE6"/>
    <w:rsid w:val="006B3055"/>
    <w:rsid w:val="006B31B8"/>
    <w:rsid w:val="006B32D9"/>
    <w:rsid w:val="006B335E"/>
    <w:rsid w:val="006B3393"/>
    <w:rsid w:val="006B34DF"/>
    <w:rsid w:val="006B34E1"/>
    <w:rsid w:val="006B3633"/>
    <w:rsid w:val="006B36DC"/>
    <w:rsid w:val="006B36E2"/>
    <w:rsid w:val="006B37DC"/>
    <w:rsid w:val="006B39AD"/>
    <w:rsid w:val="006B3A01"/>
    <w:rsid w:val="006B3B88"/>
    <w:rsid w:val="006B3B95"/>
    <w:rsid w:val="006B3ED7"/>
    <w:rsid w:val="006B3F84"/>
    <w:rsid w:val="006B3FA7"/>
    <w:rsid w:val="006B3FB6"/>
    <w:rsid w:val="006B4012"/>
    <w:rsid w:val="006B438F"/>
    <w:rsid w:val="006B43A3"/>
    <w:rsid w:val="006B43CA"/>
    <w:rsid w:val="006B4438"/>
    <w:rsid w:val="006B480D"/>
    <w:rsid w:val="006B48F4"/>
    <w:rsid w:val="006B4A79"/>
    <w:rsid w:val="006B4BB1"/>
    <w:rsid w:val="006B4CFD"/>
    <w:rsid w:val="006B4E17"/>
    <w:rsid w:val="006B4F11"/>
    <w:rsid w:val="006B4F68"/>
    <w:rsid w:val="006B5024"/>
    <w:rsid w:val="006B508F"/>
    <w:rsid w:val="006B5093"/>
    <w:rsid w:val="006B510E"/>
    <w:rsid w:val="006B513E"/>
    <w:rsid w:val="006B5329"/>
    <w:rsid w:val="006B53DB"/>
    <w:rsid w:val="006B54A6"/>
    <w:rsid w:val="006B5605"/>
    <w:rsid w:val="006B568B"/>
    <w:rsid w:val="006B5739"/>
    <w:rsid w:val="006B574B"/>
    <w:rsid w:val="006B57C4"/>
    <w:rsid w:val="006B5842"/>
    <w:rsid w:val="006B5AE2"/>
    <w:rsid w:val="006B5C88"/>
    <w:rsid w:val="006B5C8B"/>
    <w:rsid w:val="006B5CC5"/>
    <w:rsid w:val="006B5F09"/>
    <w:rsid w:val="006B5FF6"/>
    <w:rsid w:val="006B60C7"/>
    <w:rsid w:val="006B60D7"/>
    <w:rsid w:val="006B6117"/>
    <w:rsid w:val="006B6573"/>
    <w:rsid w:val="006B6637"/>
    <w:rsid w:val="006B66C9"/>
    <w:rsid w:val="006B674E"/>
    <w:rsid w:val="006B6CB2"/>
    <w:rsid w:val="006B6F5C"/>
    <w:rsid w:val="006B6F62"/>
    <w:rsid w:val="006B6FEC"/>
    <w:rsid w:val="006B7359"/>
    <w:rsid w:val="006B744C"/>
    <w:rsid w:val="006B7466"/>
    <w:rsid w:val="006B7623"/>
    <w:rsid w:val="006B7670"/>
    <w:rsid w:val="006B76AF"/>
    <w:rsid w:val="006B7700"/>
    <w:rsid w:val="006B77D6"/>
    <w:rsid w:val="006B7880"/>
    <w:rsid w:val="006B792C"/>
    <w:rsid w:val="006B7ACF"/>
    <w:rsid w:val="006B7B59"/>
    <w:rsid w:val="006B7C14"/>
    <w:rsid w:val="006B7D27"/>
    <w:rsid w:val="006B7D77"/>
    <w:rsid w:val="006B7E9C"/>
    <w:rsid w:val="006B7F68"/>
    <w:rsid w:val="006B7F91"/>
    <w:rsid w:val="006C00A3"/>
    <w:rsid w:val="006C0173"/>
    <w:rsid w:val="006C038A"/>
    <w:rsid w:val="006C03A5"/>
    <w:rsid w:val="006C054E"/>
    <w:rsid w:val="006C055A"/>
    <w:rsid w:val="006C0575"/>
    <w:rsid w:val="006C0592"/>
    <w:rsid w:val="006C0674"/>
    <w:rsid w:val="006C07DD"/>
    <w:rsid w:val="006C0832"/>
    <w:rsid w:val="006C096F"/>
    <w:rsid w:val="006C0B1D"/>
    <w:rsid w:val="006C0BCF"/>
    <w:rsid w:val="006C0C87"/>
    <w:rsid w:val="006C0E87"/>
    <w:rsid w:val="006C0F24"/>
    <w:rsid w:val="006C0F92"/>
    <w:rsid w:val="006C10D2"/>
    <w:rsid w:val="006C128A"/>
    <w:rsid w:val="006C13DA"/>
    <w:rsid w:val="006C1552"/>
    <w:rsid w:val="006C1569"/>
    <w:rsid w:val="006C165C"/>
    <w:rsid w:val="006C169E"/>
    <w:rsid w:val="006C170E"/>
    <w:rsid w:val="006C1714"/>
    <w:rsid w:val="006C17A0"/>
    <w:rsid w:val="006C18C6"/>
    <w:rsid w:val="006C199D"/>
    <w:rsid w:val="006C1C7C"/>
    <w:rsid w:val="006C1D49"/>
    <w:rsid w:val="006C1E9C"/>
    <w:rsid w:val="006C20AE"/>
    <w:rsid w:val="006C2391"/>
    <w:rsid w:val="006C2620"/>
    <w:rsid w:val="006C272E"/>
    <w:rsid w:val="006C2761"/>
    <w:rsid w:val="006C27D2"/>
    <w:rsid w:val="006C27E7"/>
    <w:rsid w:val="006C2857"/>
    <w:rsid w:val="006C286B"/>
    <w:rsid w:val="006C28FB"/>
    <w:rsid w:val="006C2A0E"/>
    <w:rsid w:val="006C2CE5"/>
    <w:rsid w:val="006C2D6E"/>
    <w:rsid w:val="006C2DD8"/>
    <w:rsid w:val="006C2E01"/>
    <w:rsid w:val="006C2FFF"/>
    <w:rsid w:val="006C30C7"/>
    <w:rsid w:val="006C3231"/>
    <w:rsid w:val="006C32FC"/>
    <w:rsid w:val="006C3315"/>
    <w:rsid w:val="006C3351"/>
    <w:rsid w:val="006C36E1"/>
    <w:rsid w:val="006C36FB"/>
    <w:rsid w:val="006C3830"/>
    <w:rsid w:val="006C3EA8"/>
    <w:rsid w:val="006C3F08"/>
    <w:rsid w:val="006C3F2C"/>
    <w:rsid w:val="006C400D"/>
    <w:rsid w:val="006C40BA"/>
    <w:rsid w:val="006C40E1"/>
    <w:rsid w:val="006C43CC"/>
    <w:rsid w:val="006C4452"/>
    <w:rsid w:val="006C4556"/>
    <w:rsid w:val="006C45F7"/>
    <w:rsid w:val="006C4983"/>
    <w:rsid w:val="006C49AF"/>
    <w:rsid w:val="006C4B0D"/>
    <w:rsid w:val="006C4BAB"/>
    <w:rsid w:val="006C4DB1"/>
    <w:rsid w:val="006C500F"/>
    <w:rsid w:val="006C53D4"/>
    <w:rsid w:val="006C53E8"/>
    <w:rsid w:val="006C5479"/>
    <w:rsid w:val="006C55E7"/>
    <w:rsid w:val="006C566D"/>
    <w:rsid w:val="006C5834"/>
    <w:rsid w:val="006C588D"/>
    <w:rsid w:val="006C5969"/>
    <w:rsid w:val="006C5992"/>
    <w:rsid w:val="006C5997"/>
    <w:rsid w:val="006C5A42"/>
    <w:rsid w:val="006C5A49"/>
    <w:rsid w:val="006C5B5B"/>
    <w:rsid w:val="006C5C3A"/>
    <w:rsid w:val="006C5C51"/>
    <w:rsid w:val="006C5C7C"/>
    <w:rsid w:val="006C5C8E"/>
    <w:rsid w:val="006C5CAB"/>
    <w:rsid w:val="006C5D39"/>
    <w:rsid w:val="006C5D4E"/>
    <w:rsid w:val="006C5D62"/>
    <w:rsid w:val="006C5D98"/>
    <w:rsid w:val="006C5F19"/>
    <w:rsid w:val="006C5F1D"/>
    <w:rsid w:val="006C5F57"/>
    <w:rsid w:val="006C62BC"/>
    <w:rsid w:val="006C6428"/>
    <w:rsid w:val="006C662A"/>
    <w:rsid w:val="006C677B"/>
    <w:rsid w:val="006C6806"/>
    <w:rsid w:val="006C6857"/>
    <w:rsid w:val="006C6865"/>
    <w:rsid w:val="006C6868"/>
    <w:rsid w:val="006C6B56"/>
    <w:rsid w:val="006C6E56"/>
    <w:rsid w:val="006C6F74"/>
    <w:rsid w:val="006C72DE"/>
    <w:rsid w:val="006C752A"/>
    <w:rsid w:val="006C7540"/>
    <w:rsid w:val="006C7551"/>
    <w:rsid w:val="006C7793"/>
    <w:rsid w:val="006C77A3"/>
    <w:rsid w:val="006C78A9"/>
    <w:rsid w:val="006C78F8"/>
    <w:rsid w:val="006C792C"/>
    <w:rsid w:val="006C7961"/>
    <w:rsid w:val="006C7ABD"/>
    <w:rsid w:val="006C7D47"/>
    <w:rsid w:val="006C7E51"/>
    <w:rsid w:val="006C7FAD"/>
    <w:rsid w:val="006D00B9"/>
    <w:rsid w:val="006D0176"/>
    <w:rsid w:val="006D024F"/>
    <w:rsid w:val="006D02E8"/>
    <w:rsid w:val="006D03ED"/>
    <w:rsid w:val="006D0423"/>
    <w:rsid w:val="006D0495"/>
    <w:rsid w:val="006D06D7"/>
    <w:rsid w:val="006D0724"/>
    <w:rsid w:val="006D07CA"/>
    <w:rsid w:val="006D0804"/>
    <w:rsid w:val="006D08A1"/>
    <w:rsid w:val="006D09FA"/>
    <w:rsid w:val="006D0A05"/>
    <w:rsid w:val="006D0A66"/>
    <w:rsid w:val="006D0AC6"/>
    <w:rsid w:val="006D0BEC"/>
    <w:rsid w:val="006D0EA5"/>
    <w:rsid w:val="006D0EB3"/>
    <w:rsid w:val="006D1061"/>
    <w:rsid w:val="006D1177"/>
    <w:rsid w:val="006D1205"/>
    <w:rsid w:val="006D13B5"/>
    <w:rsid w:val="006D1458"/>
    <w:rsid w:val="006D14F3"/>
    <w:rsid w:val="006D1755"/>
    <w:rsid w:val="006D1A24"/>
    <w:rsid w:val="006D1B0F"/>
    <w:rsid w:val="006D1B3A"/>
    <w:rsid w:val="006D1DE2"/>
    <w:rsid w:val="006D1FCE"/>
    <w:rsid w:val="006D2078"/>
    <w:rsid w:val="006D2149"/>
    <w:rsid w:val="006D239A"/>
    <w:rsid w:val="006D25BE"/>
    <w:rsid w:val="006D269F"/>
    <w:rsid w:val="006D297F"/>
    <w:rsid w:val="006D29B9"/>
    <w:rsid w:val="006D2B59"/>
    <w:rsid w:val="006D2B69"/>
    <w:rsid w:val="006D2C3B"/>
    <w:rsid w:val="006D2D32"/>
    <w:rsid w:val="006D2E1C"/>
    <w:rsid w:val="006D2E21"/>
    <w:rsid w:val="006D2F77"/>
    <w:rsid w:val="006D3019"/>
    <w:rsid w:val="006D30E3"/>
    <w:rsid w:val="006D331D"/>
    <w:rsid w:val="006D34F7"/>
    <w:rsid w:val="006D360C"/>
    <w:rsid w:val="006D367F"/>
    <w:rsid w:val="006D37B9"/>
    <w:rsid w:val="006D3873"/>
    <w:rsid w:val="006D398A"/>
    <w:rsid w:val="006D3A7A"/>
    <w:rsid w:val="006D3D29"/>
    <w:rsid w:val="006D3D2B"/>
    <w:rsid w:val="006D3DC7"/>
    <w:rsid w:val="006D3E4F"/>
    <w:rsid w:val="006D4002"/>
    <w:rsid w:val="006D400D"/>
    <w:rsid w:val="006D4052"/>
    <w:rsid w:val="006D4095"/>
    <w:rsid w:val="006D4505"/>
    <w:rsid w:val="006D4556"/>
    <w:rsid w:val="006D45AA"/>
    <w:rsid w:val="006D45C5"/>
    <w:rsid w:val="006D470B"/>
    <w:rsid w:val="006D48C9"/>
    <w:rsid w:val="006D493F"/>
    <w:rsid w:val="006D495E"/>
    <w:rsid w:val="006D4A78"/>
    <w:rsid w:val="006D4C95"/>
    <w:rsid w:val="006D4CF4"/>
    <w:rsid w:val="006D4D81"/>
    <w:rsid w:val="006D4DB1"/>
    <w:rsid w:val="006D517D"/>
    <w:rsid w:val="006D52EF"/>
    <w:rsid w:val="006D55E3"/>
    <w:rsid w:val="006D567A"/>
    <w:rsid w:val="006D5868"/>
    <w:rsid w:val="006D589B"/>
    <w:rsid w:val="006D58DC"/>
    <w:rsid w:val="006D5A4C"/>
    <w:rsid w:val="006D5AA7"/>
    <w:rsid w:val="006D5B4E"/>
    <w:rsid w:val="006D6104"/>
    <w:rsid w:val="006D61C9"/>
    <w:rsid w:val="006D61FF"/>
    <w:rsid w:val="006D62F5"/>
    <w:rsid w:val="006D63FB"/>
    <w:rsid w:val="006D64EE"/>
    <w:rsid w:val="006D655D"/>
    <w:rsid w:val="006D6590"/>
    <w:rsid w:val="006D65EF"/>
    <w:rsid w:val="006D65FB"/>
    <w:rsid w:val="006D6619"/>
    <w:rsid w:val="006D66A4"/>
    <w:rsid w:val="006D6A98"/>
    <w:rsid w:val="006D6B59"/>
    <w:rsid w:val="006D6BD6"/>
    <w:rsid w:val="006D6C28"/>
    <w:rsid w:val="006D6CEF"/>
    <w:rsid w:val="006D7037"/>
    <w:rsid w:val="006D70F5"/>
    <w:rsid w:val="006D72D4"/>
    <w:rsid w:val="006D75F0"/>
    <w:rsid w:val="006D7716"/>
    <w:rsid w:val="006D777D"/>
    <w:rsid w:val="006D79B3"/>
    <w:rsid w:val="006D79DB"/>
    <w:rsid w:val="006D7C65"/>
    <w:rsid w:val="006D7C80"/>
    <w:rsid w:val="006D7D80"/>
    <w:rsid w:val="006D7E74"/>
    <w:rsid w:val="006D7E75"/>
    <w:rsid w:val="006D7EA4"/>
    <w:rsid w:val="006D7FCF"/>
    <w:rsid w:val="006E0149"/>
    <w:rsid w:val="006E015E"/>
    <w:rsid w:val="006E0271"/>
    <w:rsid w:val="006E0477"/>
    <w:rsid w:val="006E055B"/>
    <w:rsid w:val="006E05EB"/>
    <w:rsid w:val="006E0626"/>
    <w:rsid w:val="006E0746"/>
    <w:rsid w:val="006E08C3"/>
    <w:rsid w:val="006E0954"/>
    <w:rsid w:val="006E0AED"/>
    <w:rsid w:val="006E0B3F"/>
    <w:rsid w:val="006E0BEB"/>
    <w:rsid w:val="006E0D3C"/>
    <w:rsid w:val="006E0E2C"/>
    <w:rsid w:val="006E0E3E"/>
    <w:rsid w:val="006E0FF0"/>
    <w:rsid w:val="006E1106"/>
    <w:rsid w:val="006E120F"/>
    <w:rsid w:val="006E12CF"/>
    <w:rsid w:val="006E12FF"/>
    <w:rsid w:val="006E177C"/>
    <w:rsid w:val="006E18FD"/>
    <w:rsid w:val="006E190F"/>
    <w:rsid w:val="006E19F8"/>
    <w:rsid w:val="006E1AEF"/>
    <w:rsid w:val="006E1B76"/>
    <w:rsid w:val="006E1BCE"/>
    <w:rsid w:val="006E1C21"/>
    <w:rsid w:val="006E1CF1"/>
    <w:rsid w:val="006E1D2B"/>
    <w:rsid w:val="006E1D52"/>
    <w:rsid w:val="006E1E86"/>
    <w:rsid w:val="006E1EE3"/>
    <w:rsid w:val="006E1F33"/>
    <w:rsid w:val="006E1FFF"/>
    <w:rsid w:val="006E212C"/>
    <w:rsid w:val="006E21A6"/>
    <w:rsid w:val="006E21E0"/>
    <w:rsid w:val="006E24DE"/>
    <w:rsid w:val="006E2651"/>
    <w:rsid w:val="006E280A"/>
    <w:rsid w:val="006E2819"/>
    <w:rsid w:val="006E282F"/>
    <w:rsid w:val="006E2898"/>
    <w:rsid w:val="006E28CF"/>
    <w:rsid w:val="006E297D"/>
    <w:rsid w:val="006E2A14"/>
    <w:rsid w:val="006E2A3E"/>
    <w:rsid w:val="006E2BAE"/>
    <w:rsid w:val="006E2BDA"/>
    <w:rsid w:val="006E2E42"/>
    <w:rsid w:val="006E2ECB"/>
    <w:rsid w:val="006E2FBD"/>
    <w:rsid w:val="006E301E"/>
    <w:rsid w:val="006E3144"/>
    <w:rsid w:val="006E3177"/>
    <w:rsid w:val="006E3195"/>
    <w:rsid w:val="006E324B"/>
    <w:rsid w:val="006E325B"/>
    <w:rsid w:val="006E3401"/>
    <w:rsid w:val="006E34B3"/>
    <w:rsid w:val="006E3575"/>
    <w:rsid w:val="006E35B3"/>
    <w:rsid w:val="006E364A"/>
    <w:rsid w:val="006E36DD"/>
    <w:rsid w:val="006E387B"/>
    <w:rsid w:val="006E398D"/>
    <w:rsid w:val="006E3B1C"/>
    <w:rsid w:val="006E3C81"/>
    <w:rsid w:val="006E3D3B"/>
    <w:rsid w:val="006E411D"/>
    <w:rsid w:val="006E41A6"/>
    <w:rsid w:val="006E430D"/>
    <w:rsid w:val="006E4483"/>
    <w:rsid w:val="006E44FA"/>
    <w:rsid w:val="006E457F"/>
    <w:rsid w:val="006E464B"/>
    <w:rsid w:val="006E46BF"/>
    <w:rsid w:val="006E4871"/>
    <w:rsid w:val="006E4B39"/>
    <w:rsid w:val="006E4B43"/>
    <w:rsid w:val="006E4B83"/>
    <w:rsid w:val="006E4C70"/>
    <w:rsid w:val="006E4C91"/>
    <w:rsid w:val="006E4C95"/>
    <w:rsid w:val="006E4DC3"/>
    <w:rsid w:val="006E4E3A"/>
    <w:rsid w:val="006E4E55"/>
    <w:rsid w:val="006E4E8E"/>
    <w:rsid w:val="006E4F1D"/>
    <w:rsid w:val="006E5031"/>
    <w:rsid w:val="006E517E"/>
    <w:rsid w:val="006E5719"/>
    <w:rsid w:val="006E57B5"/>
    <w:rsid w:val="006E5900"/>
    <w:rsid w:val="006E59D1"/>
    <w:rsid w:val="006E5B4A"/>
    <w:rsid w:val="006E5CA3"/>
    <w:rsid w:val="006E5D0A"/>
    <w:rsid w:val="006E5E19"/>
    <w:rsid w:val="006E5ED8"/>
    <w:rsid w:val="006E5F74"/>
    <w:rsid w:val="006E607E"/>
    <w:rsid w:val="006E614A"/>
    <w:rsid w:val="006E6201"/>
    <w:rsid w:val="006E6262"/>
    <w:rsid w:val="006E62AA"/>
    <w:rsid w:val="006E62AE"/>
    <w:rsid w:val="006E6466"/>
    <w:rsid w:val="006E6576"/>
    <w:rsid w:val="006E65D1"/>
    <w:rsid w:val="006E670A"/>
    <w:rsid w:val="006E6827"/>
    <w:rsid w:val="006E6970"/>
    <w:rsid w:val="006E6979"/>
    <w:rsid w:val="006E6B85"/>
    <w:rsid w:val="006E6D75"/>
    <w:rsid w:val="006E6E1C"/>
    <w:rsid w:val="006E6E99"/>
    <w:rsid w:val="006E6FB4"/>
    <w:rsid w:val="006E6FFA"/>
    <w:rsid w:val="006E727F"/>
    <w:rsid w:val="006E7280"/>
    <w:rsid w:val="006E73DA"/>
    <w:rsid w:val="006E73EE"/>
    <w:rsid w:val="006E73FE"/>
    <w:rsid w:val="006E745D"/>
    <w:rsid w:val="006E747F"/>
    <w:rsid w:val="006E75A0"/>
    <w:rsid w:val="006E75F8"/>
    <w:rsid w:val="006E786D"/>
    <w:rsid w:val="006E7879"/>
    <w:rsid w:val="006E7AB0"/>
    <w:rsid w:val="006E7C07"/>
    <w:rsid w:val="006E7D05"/>
    <w:rsid w:val="006E7D07"/>
    <w:rsid w:val="006E7D5F"/>
    <w:rsid w:val="006E7D67"/>
    <w:rsid w:val="006E7EE8"/>
    <w:rsid w:val="006E7F46"/>
    <w:rsid w:val="006E7F85"/>
    <w:rsid w:val="006E7FB2"/>
    <w:rsid w:val="006F0086"/>
    <w:rsid w:val="006F01A6"/>
    <w:rsid w:val="006F02D3"/>
    <w:rsid w:val="006F033F"/>
    <w:rsid w:val="006F0440"/>
    <w:rsid w:val="006F05F9"/>
    <w:rsid w:val="006F06FE"/>
    <w:rsid w:val="006F07AD"/>
    <w:rsid w:val="006F0929"/>
    <w:rsid w:val="006F096B"/>
    <w:rsid w:val="006F096F"/>
    <w:rsid w:val="006F0A03"/>
    <w:rsid w:val="006F0AAC"/>
    <w:rsid w:val="006F0FD7"/>
    <w:rsid w:val="006F117D"/>
    <w:rsid w:val="006F11A0"/>
    <w:rsid w:val="006F122D"/>
    <w:rsid w:val="006F126A"/>
    <w:rsid w:val="006F1314"/>
    <w:rsid w:val="006F13FF"/>
    <w:rsid w:val="006F144C"/>
    <w:rsid w:val="006F1469"/>
    <w:rsid w:val="006F1556"/>
    <w:rsid w:val="006F15B1"/>
    <w:rsid w:val="006F1748"/>
    <w:rsid w:val="006F18F7"/>
    <w:rsid w:val="006F19A4"/>
    <w:rsid w:val="006F1A54"/>
    <w:rsid w:val="006F1A89"/>
    <w:rsid w:val="006F1B28"/>
    <w:rsid w:val="006F1B8A"/>
    <w:rsid w:val="006F1D28"/>
    <w:rsid w:val="006F1D71"/>
    <w:rsid w:val="006F1D73"/>
    <w:rsid w:val="006F1F39"/>
    <w:rsid w:val="006F1FF2"/>
    <w:rsid w:val="006F2030"/>
    <w:rsid w:val="006F219C"/>
    <w:rsid w:val="006F21FD"/>
    <w:rsid w:val="006F227E"/>
    <w:rsid w:val="006F22D4"/>
    <w:rsid w:val="006F23B5"/>
    <w:rsid w:val="006F23F0"/>
    <w:rsid w:val="006F25FC"/>
    <w:rsid w:val="006F261E"/>
    <w:rsid w:val="006F2628"/>
    <w:rsid w:val="006F2659"/>
    <w:rsid w:val="006F2830"/>
    <w:rsid w:val="006F2ABB"/>
    <w:rsid w:val="006F2AFF"/>
    <w:rsid w:val="006F2CCB"/>
    <w:rsid w:val="006F2F19"/>
    <w:rsid w:val="006F2F23"/>
    <w:rsid w:val="006F30EA"/>
    <w:rsid w:val="006F332E"/>
    <w:rsid w:val="006F3399"/>
    <w:rsid w:val="006F3496"/>
    <w:rsid w:val="006F35BF"/>
    <w:rsid w:val="006F3698"/>
    <w:rsid w:val="006F3719"/>
    <w:rsid w:val="006F3A62"/>
    <w:rsid w:val="006F3A8C"/>
    <w:rsid w:val="006F3A9A"/>
    <w:rsid w:val="006F3B29"/>
    <w:rsid w:val="006F3BAE"/>
    <w:rsid w:val="006F3E4F"/>
    <w:rsid w:val="006F3E90"/>
    <w:rsid w:val="006F3EEE"/>
    <w:rsid w:val="006F4052"/>
    <w:rsid w:val="006F4059"/>
    <w:rsid w:val="006F40ED"/>
    <w:rsid w:val="006F414E"/>
    <w:rsid w:val="006F4258"/>
    <w:rsid w:val="006F4393"/>
    <w:rsid w:val="006F441F"/>
    <w:rsid w:val="006F44D5"/>
    <w:rsid w:val="006F4544"/>
    <w:rsid w:val="006F45A3"/>
    <w:rsid w:val="006F461B"/>
    <w:rsid w:val="006F4646"/>
    <w:rsid w:val="006F4776"/>
    <w:rsid w:val="006F4951"/>
    <w:rsid w:val="006F497A"/>
    <w:rsid w:val="006F49E0"/>
    <w:rsid w:val="006F49EF"/>
    <w:rsid w:val="006F4A4B"/>
    <w:rsid w:val="006F4B1A"/>
    <w:rsid w:val="006F4B79"/>
    <w:rsid w:val="006F4BAF"/>
    <w:rsid w:val="006F4C94"/>
    <w:rsid w:val="006F4D11"/>
    <w:rsid w:val="006F4D58"/>
    <w:rsid w:val="006F4F2A"/>
    <w:rsid w:val="006F4F9E"/>
    <w:rsid w:val="006F5025"/>
    <w:rsid w:val="006F548D"/>
    <w:rsid w:val="006F5529"/>
    <w:rsid w:val="006F5632"/>
    <w:rsid w:val="006F563D"/>
    <w:rsid w:val="006F5784"/>
    <w:rsid w:val="006F58BA"/>
    <w:rsid w:val="006F5B0C"/>
    <w:rsid w:val="006F5B88"/>
    <w:rsid w:val="006F5DCC"/>
    <w:rsid w:val="006F5EF9"/>
    <w:rsid w:val="006F5F8E"/>
    <w:rsid w:val="006F5FEB"/>
    <w:rsid w:val="006F6022"/>
    <w:rsid w:val="006F6092"/>
    <w:rsid w:val="006F60CD"/>
    <w:rsid w:val="006F61C8"/>
    <w:rsid w:val="006F62D8"/>
    <w:rsid w:val="006F6354"/>
    <w:rsid w:val="006F64F0"/>
    <w:rsid w:val="006F6558"/>
    <w:rsid w:val="006F65D8"/>
    <w:rsid w:val="006F669D"/>
    <w:rsid w:val="006F66D8"/>
    <w:rsid w:val="006F6709"/>
    <w:rsid w:val="006F6B6E"/>
    <w:rsid w:val="006F6D4E"/>
    <w:rsid w:val="006F6E27"/>
    <w:rsid w:val="006F6E32"/>
    <w:rsid w:val="006F6F7D"/>
    <w:rsid w:val="006F6FC5"/>
    <w:rsid w:val="006F711E"/>
    <w:rsid w:val="006F7268"/>
    <w:rsid w:val="006F72C1"/>
    <w:rsid w:val="006F73BC"/>
    <w:rsid w:val="006F7516"/>
    <w:rsid w:val="006F777C"/>
    <w:rsid w:val="006F7872"/>
    <w:rsid w:val="006F79E0"/>
    <w:rsid w:val="006F7A88"/>
    <w:rsid w:val="006F7AC3"/>
    <w:rsid w:val="006F7B8C"/>
    <w:rsid w:val="006F7D2F"/>
    <w:rsid w:val="006F7DB6"/>
    <w:rsid w:val="0070012F"/>
    <w:rsid w:val="00700456"/>
    <w:rsid w:val="00700457"/>
    <w:rsid w:val="007006F8"/>
    <w:rsid w:val="007007F4"/>
    <w:rsid w:val="00700997"/>
    <w:rsid w:val="00700A04"/>
    <w:rsid w:val="00700ADA"/>
    <w:rsid w:val="00700AEF"/>
    <w:rsid w:val="00700BEA"/>
    <w:rsid w:val="00700D0C"/>
    <w:rsid w:val="00700D5A"/>
    <w:rsid w:val="007010E2"/>
    <w:rsid w:val="007012AB"/>
    <w:rsid w:val="0070144E"/>
    <w:rsid w:val="00701561"/>
    <w:rsid w:val="00701564"/>
    <w:rsid w:val="00701651"/>
    <w:rsid w:val="007016CB"/>
    <w:rsid w:val="007017AB"/>
    <w:rsid w:val="00701925"/>
    <w:rsid w:val="0070192C"/>
    <w:rsid w:val="00701ACF"/>
    <w:rsid w:val="00701FDD"/>
    <w:rsid w:val="00702036"/>
    <w:rsid w:val="00702056"/>
    <w:rsid w:val="00702095"/>
    <w:rsid w:val="007021E0"/>
    <w:rsid w:val="00702270"/>
    <w:rsid w:val="00702316"/>
    <w:rsid w:val="00702353"/>
    <w:rsid w:val="00702629"/>
    <w:rsid w:val="0070263B"/>
    <w:rsid w:val="007026B3"/>
    <w:rsid w:val="0070277F"/>
    <w:rsid w:val="0070279B"/>
    <w:rsid w:val="007028C0"/>
    <w:rsid w:val="00702956"/>
    <w:rsid w:val="007029E5"/>
    <w:rsid w:val="00702AB1"/>
    <w:rsid w:val="00702CE6"/>
    <w:rsid w:val="00702DB2"/>
    <w:rsid w:val="00702DBB"/>
    <w:rsid w:val="00702E3C"/>
    <w:rsid w:val="00702EC7"/>
    <w:rsid w:val="007031A4"/>
    <w:rsid w:val="0070320C"/>
    <w:rsid w:val="0070323E"/>
    <w:rsid w:val="0070329F"/>
    <w:rsid w:val="0070330F"/>
    <w:rsid w:val="0070332D"/>
    <w:rsid w:val="0070336B"/>
    <w:rsid w:val="0070357C"/>
    <w:rsid w:val="0070363A"/>
    <w:rsid w:val="007036B2"/>
    <w:rsid w:val="00703712"/>
    <w:rsid w:val="007038F6"/>
    <w:rsid w:val="00703936"/>
    <w:rsid w:val="007039A1"/>
    <w:rsid w:val="007039FD"/>
    <w:rsid w:val="0070401D"/>
    <w:rsid w:val="007040B9"/>
    <w:rsid w:val="00704165"/>
    <w:rsid w:val="007041ED"/>
    <w:rsid w:val="00704229"/>
    <w:rsid w:val="007042EC"/>
    <w:rsid w:val="0070430A"/>
    <w:rsid w:val="00704339"/>
    <w:rsid w:val="007043E3"/>
    <w:rsid w:val="0070451F"/>
    <w:rsid w:val="00704669"/>
    <w:rsid w:val="007046B4"/>
    <w:rsid w:val="00704737"/>
    <w:rsid w:val="0070480F"/>
    <w:rsid w:val="00704A0D"/>
    <w:rsid w:val="00704AEB"/>
    <w:rsid w:val="00704B4E"/>
    <w:rsid w:val="00704B5D"/>
    <w:rsid w:val="00704E59"/>
    <w:rsid w:val="00704EA7"/>
    <w:rsid w:val="00704EFC"/>
    <w:rsid w:val="00705029"/>
    <w:rsid w:val="007050CC"/>
    <w:rsid w:val="007052B8"/>
    <w:rsid w:val="007052E1"/>
    <w:rsid w:val="0070538B"/>
    <w:rsid w:val="007053F4"/>
    <w:rsid w:val="0070554B"/>
    <w:rsid w:val="007055A7"/>
    <w:rsid w:val="00705663"/>
    <w:rsid w:val="0070592D"/>
    <w:rsid w:val="00705932"/>
    <w:rsid w:val="007059FE"/>
    <w:rsid w:val="00705B1A"/>
    <w:rsid w:val="00705B48"/>
    <w:rsid w:val="00705B52"/>
    <w:rsid w:val="00705B6F"/>
    <w:rsid w:val="00705B8C"/>
    <w:rsid w:val="00705BEC"/>
    <w:rsid w:val="00705DD0"/>
    <w:rsid w:val="00705DEF"/>
    <w:rsid w:val="00705EEF"/>
    <w:rsid w:val="00705F40"/>
    <w:rsid w:val="00706066"/>
    <w:rsid w:val="0070611C"/>
    <w:rsid w:val="00706342"/>
    <w:rsid w:val="007063FA"/>
    <w:rsid w:val="007066BC"/>
    <w:rsid w:val="007066E1"/>
    <w:rsid w:val="007066FF"/>
    <w:rsid w:val="00706780"/>
    <w:rsid w:val="007068C3"/>
    <w:rsid w:val="00706ADF"/>
    <w:rsid w:val="00706C5D"/>
    <w:rsid w:val="00706CE6"/>
    <w:rsid w:val="00706D4C"/>
    <w:rsid w:val="00706D5D"/>
    <w:rsid w:val="00706DC0"/>
    <w:rsid w:val="00706EF3"/>
    <w:rsid w:val="00706FE0"/>
    <w:rsid w:val="007070E5"/>
    <w:rsid w:val="00707294"/>
    <w:rsid w:val="0070730E"/>
    <w:rsid w:val="007074D4"/>
    <w:rsid w:val="0070752C"/>
    <w:rsid w:val="00707564"/>
    <w:rsid w:val="007075ED"/>
    <w:rsid w:val="007076D4"/>
    <w:rsid w:val="007076F1"/>
    <w:rsid w:val="007077C8"/>
    <w:rsid w:val="007078D5"/>
    <w:rsid w:val="007078E1"/>
    <w:rsid w:val="007078E8"/>
    <w:rsid w:val="007078F4"/>
    <w:rsid w:val="00707A08"/>
    <w:rsid w:val="00707A3F"/>
    <w:rsid w:val="00707BA0"/>
    <w:rsid w:val="00707F09"/>
    <w:rsid w:val="00707F76"/>
    <w:rsid w:val="007100B3"/>
    <w:rsid w:val="007100D9"/>
    <w:rsid w:val="0071015B"/>
    <w:rsid w:val="00710226"/>
    <w:rsid w:val="007102DF"/>
    <w:rsid w:val="007103A9"/>
    <w:rsid w:val="007106AB"/>
    <w:rsid w:val="0071076E"/>
    <w:rsid w:val="007108D3"/>
    <w:rsid w:val="007109B0"/>
    <w:rsid w:val="00710A19"/>
    <w:rsid w:val="00710BDC"/>
    <w:rsid w:val="00710D67"/>
    <w:rsid w:val="00710D7A"/>
    <w:rsid w:val="00710DC7"/>
    <w:rsid w:val="00710E93"/>
    <w:rsid w:val="00710F6D"/>
    <w:rsid w:val="0071100C"/>
    <w:rsid w:val="00711038"/>
    <w:rsid w:val="00711140"/>
    <w:rsid w:val="00711151"/>
    <w:rsid w:val="0071163E"/>
    <w:rsid w:val="0071168E"/>
    <w:rsid w:val="007116E8"/>
    <w:rsid w:val="007116EE"/>
    <w:rsid w:val="00711771"/>
    <w:rsid w:val="0071187D"/>
    <w:rsid w:val="007118CD"/>
    <w:rsid w:val="00711935"/>
    <w:rsid w:val="00711AF0"/>
    <w:rsid w:val="00711C93"/>
    <w:rsid w:val="00711D0B"/>
    <w:rsid w:val="00711EAA"/>
    <w:rsid w:val="00711F9C"/>
    <w:rsid w:val="00711FD9"/>
    <w:rsid w:val="00711FDD"/>
    <w:rsid w:val="00712074"/>
    <w:rsid w:val="007121C4"/>
    <w:rsid w:val="00712282"/>
    <w:rsid w:val="00712288"/>
    <w:rsid w:val="00712396"/>
    <w:rsid w:val="00712480"/>
    <w:rsid w:val="0071268F"/>
    <w:rsid w:val="007126BE"/>
    <w:rsid w:val="007126DF"/>
    <w:rsid w:val="0071271A"/>
    <w:rsid w:val="0071274F"/>
    <w:rsid w:val="0071286B"/>
    <w:rsid w:val="00712910"/>
    <w:rsid w:val="00712CB1"/>
    <w:rsid w:val="00712D00"/>
    <w:rsid w:val="00712D01"/>
    <w:rsid w:val="00712EB1"/>
    <w:rsid w:val="00712EC4"/>
    <w:rsid w:val="00713022"/>
    <w:rsid w:val="00713087"/>
    <w:rsid w:val="00713136"/>
    <w:rsid w:val="00713386"/>
    <w:rsid w:val="00713403"/>
    <w:rsid w:val="007139B3"/>
    <w:rsid w:val="007139D6"/>
    <w:rsid w:val="00713A54"/>
    <w:rsid w:val="00713A64"/>
    <w:rsid w:val="00713AF8"/>
    <w:rsid w:val="00713B45"/>
    <w:rsid w:val="00713BC6"/>
    <w:rsid w:val="00713C00"/>
    <w:rsid w:val="00713C83"/>
    <w:rsid w:val="00713D63"/>
    <w:rsid w:val="00713D7A"/>
    <w:rsid w:val="00714049"/>
    <w:rsid w:val="00714067"/>
    <w:rsid w:val="00714072"/>
    <w:rsid w:val="007140BB"/>
    <w:rsid w:val="00714116"/>
    <w:rsid w:val="007142AF"/>
    <w:rsid w:val="00714627"/>
    <w:rsid w:val="00714660"/>
    <w:rsid w:val="00714712"/>
    <w:rsid w:val="007147A4"/>
    <w:rsid w:val="007149E2"/>
    <w:rsid w:val="00714D54"/>
    <w:rsid w:val="0071506C"/>
    <w:rsid w:val="00715078"/>
    <w:rsid w:val="00715285"/>
    <w:rsid w:val="007153DF"/>
    <w:rsid w:val="00715554"/>
    <w:rsid w:val="007155D4"/>
    <w:rsid w:val="00715ACF"/>
    <w:rsid w:val="00715AF5"/>
    <w:rsid w:val="00715CFE"/>
    <w:rsid w:val="00715D38"/>
    <w:rsid w:val="00715D54"/>
    <w:rsid w:val="00715D56"/>
    <w:rsid w:val="00715F4B"/>
    <w:rsid w:val="0071614C"/>
    <w:rsid w:val="007162F9"/>
    <w:rsid w:val="00716346"/>
    <w:rsid w:val="0071637B"/>
    <w:rsid w:val="007163EA"/>
    <w:rsid w:val="007164B1"/>
    <w:rsid w:val="007166BC"/>
    <w:rsid w:val="0071677E"/>
    <w:rsid w:val="007167C4"/>
    <w:rsid w:val="00716CD3"/>
    <w:rsid w:val="00716D5A"/>
    <w:rsid w:val="00716E53"/>
    <w:rsid w:val="00716EF8"/>
    <w:rsid w:val="00717094"/>
    <w:rsid w:val="0071726C"/>
    <w:rsid w:val="007172DE"/>
    <w:rsid w:val="00717379"/>
    <w:rsid w:val="00717639"/>
    <w:rsid w:val="007176EA"/>
    <w:rsid w:val="00717837"/>
    <w:rsid w:val="007179D9"/>
    <w:rsid w:val="00717A87"/>
    <w:rsid w:val="00717EB3"/>
    <w:rsid w:val="00717F54"/>
    <w:rsid w:val="00720136"/>
    <w:rsid w:val="00720149"/>
    <w:rsid w:val="007202E1"/>
    <w:rsid w:val="0072030A"/>
    <w:rsid w:val="00720346"/>
    <w:rsid w:val="007203F3"/>
    <w:rsid w:val="00720474"/>
    <w:rsid w:val="00720629"/>
    <w:rsid w:val="00720639"/>
    <w:rsid w:val="0072071C"/>
    <w:rsid w:val="00720865"/>
    <w:rsid w:val="00720988"/>
    <w:rsid w:val="007209CB"/>
    <w:rsid w:val="00720BD2"/>
    <w:rsid w:val="00720C21"/>
    <w:rsid w:val="00720E42"/>
    <w:rsid w:val="00720FC8"/>
    <w:rsid w:val="007210EF"/>
    <w:rsid w:val="00721100"/>
    <w:rsid w:val="00721234"/>
    <w:rsid w:val="0072126B"/>
    <w:rsid w:val="00721504"/>
    <w:rsid w:val="00721509"/>
    <w:rsid w:val="007215AE"/>
    <w:rsid w:val="007217C1"/>
    <w:rsid w:val="00721921"/>
    <w:rsid w:val="00721970"/>
    <w:rsid w:val="00721B5D"/>
    <w:rsid w:val="00721BBD"/>
    <w:rsid w:val="00721ECC"/>
    <w:rsid w:val="00721FD4"/>
    <w:rsid w:val="00721FD5"/>
    <w:rsid w:val="007220E6"/>
    <w:rsid w:val="0072211F"/>
    <w:rsid w:val="007221F9"/>
    <w:rsid w:val="00722351"/>
    <w:rsid w:val="007224DA"/>
    <w:rsid w:val="007226D7"/>
    <w:rsid w:val="00722706"/>
    <w:rsid w:val="00722777"/>
    <w:rsid w:val="007229A4"/>
    <w:rsid w:val="007229E7"/>
    <w:rsid w:val="00722D6F"/>
    <w:rsid w:val="00722E07"/>
    <w:rsid w:val="00723075"/>
    <w:rsid w:val="00723097"/>
    <w:rsid w:val="00723306"/>
    <w:rsid w:val="0072342A"/>
    <w:rsid w:val="007235CE"/>
    <w:rsid w:val="007235E8"/>
    <w:rsid w:val="0072363E"/>
    <w:rsid w:val="00723762"/>
    <w:rsid w:val="007237BD"/>
    <w:rsid w:val="00723C19"/>
    <w:rsid w:val="00723F43"/>
    <w:rsid w:val="00723FD4"/>
    <w:rsid w:val="00723FE8"/>
    <w:rsid w:val="00723FFF"/>
    <w:rsid w:val="00724039"/>
    <w:rsid w:val="00724273"/>
    <w:rsid w:val="00724295"/>
    <w:rsid w:val="00724357"/>
    <w:rsid w:val="007244E3"/>
    <w:rsid w:val="0072453C"/>
    <w:rsid w:val="0072463A"/>
    <w:rsid w:val="007246A7"/>
    <w:rsid w:val="007248D1"/>
    <w:rsid w:val="0072490E"/>
    <w:rsid w:val="0072496E"/>
    <w:rsid w:val="00724B90"/>
    <w:rsid w:val="00724C15"/>
    <w:rsid w:val="00724E1C"/>
    <w:rsid w:val="00724F24"/>
    <w:rsid w:val="00724FD0"/>
    <w:rsid w:val="00725090"/>
    <w:rsid w:val="00725198"/>
    <w:rsid w:val="007251E4"/>
    <w:rsid w:val="0072523C"/>
    <w:rsid w:val="00725295"/>
    <w:rsid w:val="007252E2"/>
    <w:rsid w:val="0072542C"/>
    <w:rsid w:val="00725721"/>
    <w:rsid w:val="00725842"/>
    <w:rsid w:val="007258CE"/>
    <w:rsid w:val="007259D3"/>
    <w:rsid w:val="00725B64"/>
    <w:rsid w:val="00725D7D"/>
    <w:rsid w:val="00725EA3"/>
    <w:rsid w:val="00725F29"/>
    <w:rsid w:val="007264D8"/>
    <w:rsid w:val="0072656E"/>
    <w:rsid w:val="00726972"/>
    <w:rsid w:val="007269C5"/>
    <w:rsid w:val="00726A4E"/>
    <w:rsid w:val="00726A68"/>
    <w:rsid w:val="00726D61"/>
    <w:rsid w:val="00726E52"/>
    <w:rsid w:val="00726E8B"/>
    <w:rsid w:val="00726E9E"/>
    <w:rsid w:val="00727061"/>
    <w:rsid w:val="00727068"/>
    <w:rsid w:val="0072707F"/>
    <w:rsid w:val="007270BC"/>
    <w:rsid w:val="00727206"/>
    <w:rsid w:val="0072733B"/>
    <w:rsid w:val="007275E9"/>
    <w:rsid w:val="00727750"/>
    <w:rsid w:val="00727785"/>
    <w:rsid w:val="007277A0"/>
    <w:rsid w:val="00727B2D"/>
    <w:rsid w:val="00727B97"/>
    <w:rsid w:val="00727C06"/>
    <w:rsid w:val="00727C11"/>
    <w:rsid w:val="00727C51"/>
    <w:rsid w:val="00727CB8"/>
    <w:rsid w:val="00727D77"/>
    <w:rsid w:val="00727F11"/>
    <w:rsid w:val="00730108"/>
    <w:rsid w:val="00730159"/>
    <w:rsid w:val="00730172"/>
    <w:rsid w:val="00730283"/>
    <w:rsid w:val="0073028D"/>
    <w:rsid w:val="007302FC"/>
    <w:rsid w:val="00730402"/>
    <w:rsid w:val="00730419"/>
    <w:rsid w:val="007305EC"/>
    <w:rsid w:val="007306AD"/>
    <w:rsid w:val="00730750"/>
    <w:rsid w:val="007307C6"/>
    <w:rsid w:val="00730857"/>
    <w:rsid w:val="007308B1"/>
    <w:rsid w:val="00730982"/>
    <w:rsid w:val="00730A7C"/>
    <w:rsid w:val="00730AC5"/>
    <w:rsid w:val="00730B8E"/>
    <w:rsid w:val="00730BAD"/>
    <w:rsid w:val="00730D32"/>
    <w:rsid w:val="00730F71"/>
    <w:rsid w:val="007313AA"/>
    <w:rsid w:val="007313F8"/>
    <w:rsid w:val="0073143F"/>
    <w:rsid w:val="00731873"/>
    <w:rsid w:val="0073198C"/>
    <w:rsid w:val="0073198D"/>
    <w:rsid w:val="00731B2F"/>
    <w:rsid w:val="00731BEE"/>
    <w:rsid w:val="00731C88"/>
    <w:rsid w:val="00731F2B"/>
    <w:rsid w:val="0073204E"/>
    <w:rsid w:val="00732086"/>
    <w:rsid w:val="007320CF"/>
    <w:rsid w:val="007321DE"/>
    <w:rsid w:val="00732315"/>
    <w:rsid w:val="007324CD"/>
    <w:rsid w:val="0073267E"/>
    <w:rsid w:val="00732701"/>
    <w:rsid w:val="007327AE"/>
    <w:rsid w:val="0073281E"/>
    <w:rsid w:val="00732922"/>
    <w:rsid w:val="00732AE5"/>
    <w:rsid w:val="00732D43"/>
    <w:rsid w:val="00732D8B"/>
    <w:rsid w:val="00732DA2"/>
    <w:rsid w:val="00732E65"/>
    <w:rsid w:val="00732F81"/>
    <w:rsid w:val="007330E8"/>
    <w:rsid w:val="00733232"/>
    <w:rsid w:val="007332D5"/>
    <w:rsid w:val="0073347F"/>
    <w:rsid w:val="007337E9"/>
    <w:rsid w:val="00733958"/>
    <w:rsid w:val="00733979"/>
    <w:rsid w:val="007339DA"/>
    <w:rsid w:val="00733A37"/>
    <w:rsid w:val="00733CF1"/>
    <w:rsid w:val="00733D1E"/>
    <w:rsid w:val="00733DC4"/>
    <w:rsid w:val="00733E25"/>
    <w:rsid w:val="00733E4B"/>
    <w:rsid w:val="00733E5C"/>
    <w:rsid w:val="00733ED6"/>
    <w:rsid w:val="00734211"/>
    <w:rsid w:val="007343F2"/>
    <w:rsid w:val="0073448A"/>
    <w:rsid w:val="0073494E"/>
    <w:rsid w:val="00734985"/>
    <w:rsid w:val="007349A4"/>
    <w:rsid w:val="00734B0E"/>
    <w:rsid w:val="00734CA5"/>
    <w:rsid w:val="00734CD3"/>
    <w:rsid w:val="00734CF8"/>
    <w:rsid w:val="00734D0C"/>
    <w:rsid w:val="00734D31"/>
    <w:rsid w:val="00734D75"/>
    <w:rsid w:val="00734FE2"/>
    <w:rsid w:val="00735089"/>
    <w:rsid w:val="007350B0"/>
    <w:rsid w:val="007351DF"/>
    <w:rsid w:val="00735336"/>
    <w:rsid w:val="0073564A"/>
    <w:rsid w:val="007357A7"/>
    <w:rsid w:val="007357CC"/>
    <w:rsid w:val="00735928"/>
    <w:rsid w:val="00735AA7"/>
    <w:rsid w:val="00735AC6"/>
    <w:rsid w:val="00735B7F"/>
    <w:rsid w:val="00735BE1"/>
    <w:rsid w:val="00735C03"/>
    <w:rsid w:val="00735C34"/>
    <w:rsid w:val="00735C4E"/>
    <w:rsid w:val="00735D5D"/>
    <w:rsid w:val="00735E22"/>
    <w:rsid w:val="00735E90"/>
    <w:rsid w:val="00735F3E"/>
    <w:rsid w:val="007360AF"/>
    <w:rsid w:val="0073635A"/>
    <w:rsid w:val="0073644D"/>
    <w:rsid w:val="007365D0"/>
    <w:rsid w:val="00736640"/>
    <w:rsid w:val="00736696"/>
    <w:rsid w:val="00736914"/>
    <w:rsid w:val="00736927"/>
    <w:rsid w:val="00736A4C"/>
    <w:rsid w:val="00736BD7"/>
    <w:rsid w:val="00736E5E"/>
    <w:rsid w:val="00736F84"/>
    <w:rsid w:val="00736FF3"/>
    <w:rsid w:val="00737024"/>
    <w:rsid w:val="0073703A"/>
    <w:rsid w:val="00737101"/>
    <w:rsid w:val="0073716F"/>
    <w:rsid w:val="0073720F"/>
    <w:rsid w:val="007372BB"/>
    <w:rsid w:val="007373DE"/>
    <w:rsid w:val="00737495"/>
    <w:rsid w:val="007376CC"/>
    <w:rsid w:val="0073780D"/>
    <w:rsid w:val="00737A27"/>
    <w:rsid w:val="00737B11"/>
    <w:rsid w:val="00737CDD"/>
    <w:rsid w:val="00737E79"/>
    <w:rsid w:val="00737F5E"/>
    <w:rsid w:val="00737FCA"/>
    <w:rsid w:val="00740036"/>
    <w:rsid w:val="00740072"/>
    <w:rsid w:val="00740215"/>
    <w:rsid w:val="0074029F"/>
    <w:rsid w:val="00740303"/>
    <w:rsid w:val="0074032A"/>
    <w:rsid w:val="007404A5"/>
    <w:rsid w:val="00740542"/>
    <w:rsid w:val="00740572"/>
    <w:rsid w:val="00740698"/>
    <w:rsid w:val="007406C5"/>
    <w:rsid w:val="00740802"/>
    <w:rsid w:val="00740856"/>
    <w:rsid w:val="007408F9"/>
    <w:rsid w:val="00740BDF"/>
    <w:rsid w:val="00740C1B"/>
    <w:rsid w:val="00740D6F"/>
    <w:rsid w:val="00740E15"/>
    <w:rsid w:val="00740E47"/>
    <w:rsid w:val="00740E86"/>
    <w:rsid w:val="0074117F"/>
    <w:rsid w:val="00741254"/>
    <w:rsid w:val="0074127F"/>
    <w:rsid w:val="00741294"/>
    <w:rsid w:val="0074144F"/>
    <w:rsid w:val="007414BD"/>
    <w:rsid w:val="00741668"/>
    <w:rsid w:val="00741811"/>
    <w:rsid w:val="00741834"/>
    <w:rsid w:val="007418EC"/>
    <w:rsid w:val="00741AA0"/>
    <w:rsid w:val="00741C2C"/>
    <w:rsid w:val="00741CAF"/>
    <w:rsid w:val="00741D47"/>
    <w:rsid w:val="00741E8E"/>
    <w:rsid w:val="00741F0F"/>
    <w:rsid w:val="0074204D"/>
    <w:rsid w:val="007422D2"/>
    <w:rsid w:val="00742351"/>
    <w:rsid w:val="0074255F"/>
    <w:rsid w:val="00742638"/>
    <w:rsid w:val="0074268F"/>
    <w:rsid w:val="007427E0"/>
    <w:rsid w:val="007429AC"/>
    <w:rsid w:val="007429FC"/>
    <w:rsid w:val="00742AD9"/>
    <w:rsid w:val="00742B6D"/>
    <w:rsid w:val="00742C5E"/>
    <w:rsid w:val="00742D2F"/>
    <w:rsid w:val="00742D54"/>
    <w:rsid w:val="00742EC0"/>
    <w:rsid w:val="007430A9"/>
    <w:rsid w:val="007434E1"/>
    <w:rsid w:val="007436BD"/>
    <w:rsid w:val="0074379B"/>
    <w:rsid w:val="007438DA"/>
    <w:rsid w:val="00743916"/>
    <w:rsid w:val="00743A8B"/>
    <w:rsid w:val="00743B6D"/>
    <w:rsid w:val="00743BCA"/>
    <w:rsid w:val="00743D68"/>
    <w:rsid w:val="00743E0B"/>
    <w:rsid w:val="00743E7E"/>
    <w:rsid w:val="00743F98"/>
    <w:rsid w:val="0074404C"/>
    <w:rsid w:val="007440F9"/>
    <w:rsid w:val="00744212"/>
    <w:rsid w:val="007442F5"/>
    <w:rsid w:val="007443AE"/>
    <w:rsid w:val="007444FD"/>
    <w:rsid w:val="0074452E"/>
    <w:rsid w:val="0074454D"/>
    <w:rsid w:val="007448F2"/>
    <w:rsid w:val="00744AE6"/>
    <w:rsid w:val="00744D56"/>
    <w:rsid w:val="00744E5B"/>
    <w:rsid w:val="00744F5F"/>
    <w:rsid w:val="00744FD4"/>
    <w:rsid w:val="00745067"/>
    <w:rsid w:val="0074544C"/>
    <w:rsid w:val="007454BE"/>
    <w:rsid w:val="00745564"/>
    <w:rsid w:val="00745592"/>
    <w:rsid w:val="00745665"/>
    <w:rsid w:val="0074583D"/>
    <w:rsid w:val="00745896"/>
    <w:rsid w:val="00745BDF"/>
    <w:rsid w:val="00745C4F"/>
    <w:rsid w:val="00745C6C"/>
    <w:rsid w:val="00745C93"/>
    <w:rsid w:val="00745CD7"/>
    <w:rsid w:val="00745F4A"/>
    <w:rsid w:val="00745FE2"/>
    <w:rsid w:val="00746085"/>
    <w:rsid w:val="007461DF"/>
    <w:rsid w:val="0074624C"/>
    <w:rsid w:val="007462C1"/>
    <w:rsid w:val="0074635B"/>
    <w:rsid w:val="007463B5"/>
    <w:rsid w:val="007463E3"/>
    <w:rsid w:val="007464CC"/>
    <w:rsid w:val="007464D4"/>
    <w:rsid w:val="00746612"/>
    <w:rsid w:val="00746763"/>
    <w:rsid w:val="007469A0"/>
    <w:rsid w:val="00746A20"/>
    <w:rsid w:val="00746A41"/>
    <w:rsid w:val="00746A5F"/>
    <w:rsid w:val="00746AD2"/>
    <w:rsid w:val="00746B33"/>
    <w:rsid w:val="00746E0E"/>
    <w:rsid w:val="00746E37"/>
    <w:rsid w:val="00746FD3"/>
    <w:rsid w:val="0074704E"/>
    <w:rsid w:val="00747408"/>
    <w:rsid w:val="0074751A"/>
    <w:rsid w:val="0074772F"/>
    <w:rsid w:val="00747830"/>
    <w:rsid w:val="00747925"/>
    <w:rsid w:val="00747A0A"/>
    <w:rsid w:val="00747A7C"/>
    <w:rsid w:val="00747A88"/>
    <w:rsid w:val="00747A94"/>
    <w:rsid w:val="00747BE5"/>
    <w:rsid w:val="007501D4"/>
    <w:rsid w:val="00750251"/>
    <w:rsid w:val="007503B0"/>
    <w:rsid w:val="007504ED"/>
    <w:rsid w:val="0075056E"/>
    <w:rsid w:val="007508DB"/>
    <w:rsid w:val="00750B59"/>
    <w:rsid w:val="00750BB6"/>
    <w:rsid w:val="00750DBC"/>
    <w:rsid w:val="00751023"/>
    <w:rsid w:val="0075120A"/>
    <w:rsid w:val="0075126F"/>
    <w:rsid w:val="00751310"/>
    <w:rsid w:val="0075131C"/>
    <w:rsid w:val="007514A8"/>
    <w:rsid w:val="007514B8"/>
    <w:rsid w:val="00751558"/>
    <w:rsid w:val="007515A0"/>
    <w:rsid w:val="007515FF"/>
    <w:rsid w:val="0075162E"/>
    <w:rsid w:val="0075163F"/>
    <w:rsid w:val="007516B6"/>
    <w:rsid w:val="007516DD"/>
    <w:rsid w:val="00751754"/>
    <w:rsid w:val="007517FD"/>
    <w:rsid w:val="00751932"/>
    <w:rsid w:val="00752024"/>
    <w:rsid w:val="0075203B"/>
    <w:rsid w:val="00752146"/>
    <w:rsid w:val="00752258"/>
    <w:rsid w:val="0075229C"/>
    <w:rsid w:val="0075252F"/>
    <w:rsid w:val="00752548"/>
    <w:rsid w:val="0075261E"/>
    <w:rsid w:val="00752981"/>
    <w:rsid w:val="00752A9A"/>
    <w:rsid w:val="00752B2A"/>
    <w:rsid w:val="00752C36"/>
    <w:rsid w:val="00752C49"/>
    <w:rsid w:val="00752C58"/>
    <w:rsid w:val="00752CC4"/>
    <w:rsid w:val="00752D32"/>
    <w:rsid w:val="00752F79"/>
    <w:rsid w:val="00752FBE"/>
    <w:rsid w:val="0075305B"/>
    <w:rsid w:val="00753136"/>
    <w:rsid w:val="00753411"/>
    <w:rsid w:val="007534C0"/>
    <w:rsid w:val="00753775"/>
    <w:rsid w:val="007537E6"/>
    <w:rsid w:val="007538CA"/>
    <w:rsid w:val="00753993"/>
    <w:rsid w:val="00753A48"/>
    <w:rsid w:val="00753A4D"/>
    <w:rsid w:val="00753A98"/>
    <w:rsid w:val="00753B16"/>
    <w:rsid w:val="00753C56"/>
    <w:rsid w:val="00753D3B"/>
    <w:rsid w:val="00753D9E"/>
    <w:rsid w:val="00753E2F"/>
    <w:rsid w:val="00753F11"/>
    <w:rsid w:val="0075401F"/>
    <w:rsid w:val="00754034"/>
    <w:rsid w:val="00754093"/>
    <w:rsid w:val="00754168"/>
    <w:rsid w:val="007541B3"/>
    <w:rsid w:val="007541D6"/>
    <w:rsid w:val="00754232"/>
    <w:rsid w:val="007543C9"/>
    <w:rsid w:val="007543DE"/>
    <w:rsid w:val="00754501"/>
    <w:rsid w:val="0075454F"/>
    <w:rsid w:val="00754628"/>
    <w:rsid w:val="007549EA"/>
    <w:rsid w:val="00754B5C"/>
    <w:rsid w:val="00754C89"/>
    <w:rsid w:val="00754C92"/>
    <w:rsid w:val="00754CCD"/>
    <w:rsid w:val="00754D92"/>
    <w:rsid w:val="0075521D"/>
    <w:rsid w:val="007555E4"/>
    <w:rsid w:val="00755622"/>
    <w:rsid w:val="00755717"/>
    <w:rsid w:val="0075572F"/>
    <w:rsid w:val="0075586A"/>
    <w:rsid w:val="007558C8"/>
    <w:rsid w:val="007558DD"/>
    <w:rsid w:val="0075592E"/>
    <w:rsid w:val="00755AC5"/>
    <w:rsid w:val="00755B62"/>
    <w:rsid w:val="00755CA6"/>
    <w:rsid w:val="00755DB1"/>
    <w:rsid w:val="00755EF6"/>
    <w:rsid w:val="00755F5B"/>
    <w:rsid w:val="00755FC5"/>
    <w:rsid w:val="00756062"/>
    <w:rsid w:val="0075611F"/>
    <w:rsid w:val="007563B3"/>
    <w:rsid w:val="00756556"/>
    <w:rsid w:val="007567E2"/>
    <w:rsid w:val="007569E3"/>
    <w:rsid w:val="007569F5"/>
    <w:rsid w:val="00756A01"/>
    <w:rsid w:val="00756AA0"/>
    <w:rsid w:val="00756AD6"/>
    <w:rsid w:val="00756B02"/>
    <w:rsid w:val="00756C8B"/>
    <w:rsid w:val="00756D1B"/>
    <w:rsid w:val="00756D83"/>
    <w:rsid w:val="00757092"/>
    <w:rsid w:val="007571ED"/>
    <w:rsid w:val="00757235"/>
    <w:rsid w:val="0075728E"/>
    <w:rsid w:val="00757520"/>
    <w:rsid w:val="0075752D"/>
    <w:rsid w:val="007576F4"/>
    <w:rsid w:val="00757724"/>
    <w:rsid w:val="007579FE"/>
    <w:rsid w:val="00757BDE"/>
    <w:rsid w:val="00757CF3"/>
    <w:rsid w:val="00757EBC"/>
    <w:rsid w:val="00757F64"/>
    <w:rsid w:val="0076004D"/>
    <w:rsid w:val="0076007A"/>
    <w:rsid w:val="007600F1"/>
    <w:rsid w:val="00760260"/>
    <w:rsid w:val="00760294"/>
    <w:rsid w:val="0076033E"/>
    <w:rsid w:val="00760348"/>
    <w:rsid w:val="00760353"/>
    <w:rsid w:val="00760383"/>
    <w:rsid w:val="007603CA"/>
    <w:rsid w:val="00760458"/>
    <w:rsid w:val="007604F9"/>
    <w:rsid w:val="00760755"/>
    <w:rsid w:val="007607B5"/>
    <w:rsid w:val="007608AF"/>
    <w:rsid w:val="007608E3"/>
    <w:rsid w:val="00760971"/>
    <w:rsid w:val="007609E3"/>
    <w:rsid w:val="00760B3E"/>
    <w:rsid w:val="00760BC0"/>
    <w:rsid w:val="00760BFC"/>
    <w:rsid w:val="00760C98"/>
    <w:rsid w:val="00760CFD"/>
    <w:rsid w:val="007610D8"/>
    <w:rsid w:val="0076125F"/>
    <w:rsid w:val="007612B1"/>
    <w:rsid w:val="00761448"/>
    <w:rsid w:val="00761487"/>
    <w:rsid w:val="007614B9"/>
    <w:rsid w:val="00761561"/>
    <w:rsid w:val="0076180D"/>
    <w:rsid w:val="007618C4"/>
    <w:rsid w:val="00761BEF"/>
    <w:rsid w:val="00761D9E"/>
    <w:rsid w:val="00761F0B"/>
    <w:rsid w:val="00762052"/>
    <w:rsid w:val="00762061"/>
    <w:rsid w:val="0076206D"/>
    <w:rsid w:val="007620FE"/>
    <w:rsid w:val="00762173"/>
    <w:rsid w:val="007622A2"/>
    <w:rsid w:val="00762514"/>
    <w:rsid w:val="00762766"/>
    <w:rsid w:val="00762931"/>
    <w:rsid w:val="007629BF"/>
    <w:rsid w:val="007629F3"/>
    <w:rsid w:val="00762AE5"/>
    <w:rsid w:val="00762BBE"/>
    <w:rsid w:val="00762BFA"/>
    <w:rsid w:val="00762D6B"/>
    <w:rsid w:val="00762D94"/>
    <w:rsid w:val="00762DC2"/>
    <w:rsid w:val="00762E9A"/>
    <w:rsid w:val="00762F6B"/>
    <w:rsid w:val="00762FE1"/>
    <w:rsid w:val="00763108"/>
    <w:rsid w:val="0076312E"/>
    <w:rsid w:val="00763144"/>
    <w:rsid w:val="007631E1"/>
    <w:rsid w:val="007632A4"/>
    <w:rsid w:val="007632ED"/>
    <w:rsid w:val="00763319"/>
    <w:rsid w:val="007633A0"/>
    <w:rsid w:val="007633EA"/>
    <w:rsid w:val="00763400"/>
    <w:rsid w:val="0076341E"/>
    <w:rsid w:val="007636AF"/>
    <w:rsid w:val="007636B6"/>
    <w:rsid w:val="00763911"/>
    <w:rsid w:val="00763A08"/>
    <w:rsid w:val="00763A4C"/>
    <w:rsid w:val="00763BB7"/>
    <w:rsid w:val="00763C10"/>
    <w:rsid w:val="00763C20"/>
    <w:rsid w:val="00763EAE"/>
    <w:rsid w:val="00764296"/>
    <w:rsid w:val="0076445C"/>
    <w:rsid w:val="0076460A"/>
    <w:rsid w:val="00764650"/>
    <w:rsid w:val="0076475A"/>
    <w:rsid w:val="0076476A"/>
    <w:rsid w:val="00764886"/>
    <w:rsid w:val="007648EA"/>
    <w:rsid w:val="00764931"/>
    <w:rsid w:val="00764B98"/>
    <w:rsid w:val="00764BE8"/>
    <w:rsid w:val="00764D04"/>
    <w:rsid w:val="00764DAE"/>
    <w:rsid w:val="00764E3F"/>
    <w:rsid w:val="0076507E"/>
    <w:rsid w:val="0076509C"/>
    <w:rsid w:val="00765132"/>
    <w:rsid w:val="00765357"/>
    <w:rsid w:val="00765383"/>
    <w:rsid w:val="007653E0"/>
    <w:rsid w:val="007655CB"/>
    <w:rsid w:val="007655CD"/>
    <w:rsid w:val="007656FF"/>
    <w:rsid w:val="00765729"/>
    <w:rsid w:val="00765794"/>
    <w:rsid w:val="0076587E"/>
    <w:rsid w:val="007658B9"/>
    <w:rsid w:val="00765973"/>
    <w:rsid w:val="00765982"/>
    <w:rsid w:val="00765AB8"/>
    <w:rsid w:val="00765D2F"/>
    <w:rsid w:val="00765D4E"/>
    <w:rsid w:val="00765E47"/>
    <w:rsid w:val="00765E4E"/>
    <w:rsid w:val="007662BF"/>
    <w:rsid w:val="00766320"/>
    <w:rsid w:val="007665AF"/>
    <w:rsid w:val="00766614"/>
    <w:rsid w:val="007666BF"/>
    <w:rsid w:val="007666E1"/>
    <w:rsid w:val="00766988"/>
    <w:rsid w:val="00766A2C"/>
    <w:rsid w:val="00766ADA"/>
    <w:rsid w:val="00766D97"/>
    <w:rsid w:val="007670A9"/>
    <w:rsid w:val="0076723E"/>
    <w:rsid w:val="0076728C"/>
    <w:rsid w:val="0076740A"/>
    <w:rsid w:val="0076743C"/>
    <w:rsid w:val="007674DA"/>
    <w:rsid w:val="007675B5"/>
    <w:rsid w:val="007675BA"/>
    <w:rsid w:val="007676C5"/>
    <w:rsid w:val="007677C2"/>
    <w:rsid w:val="0076797C"/>
    <w:rsid w:val="00767980"/>
    <w:rsid w:val="007679B8"/>
    <w:rsid w:val="00767A20"/>
    <w:rsid w:val="00767A42"/>
    <w:rsid w:val="00767A53"/>
    <w:rsid w:val="00767C40"/>
    <w:rsid w:val="00767D99"/>
    <w:rsid w:val="00767EDD"/>
    <w:rsid w:val="00767F5F"/>
    <w:rsid w:val="00770069"/>
    <w:rsid w:val="00770144"/>
    <w:rsid w:val="0077025F"/>
    <w:rsid w:val="0077026F"/>
    <w:rsid w:val="007702C9"/>
    <w:rsid w:val="007702D5"/>
    <w:rsid w:val="00770366"/>
    <w:rsid w:val="00770367"/>
    <w:rsid w:val="007703FC"/>
    <w:rsid w:val="00770412"/>
    <w:rsid w:val="007704A5"/>
    <w:rsid w:val="00770602"/>
    <w:rsid w:val="007706D7"/>
    <w:rsid w:val="007707F4"/>
    <w:rsid w:val="0077088A"/>
    <w:rsid w:val="0077097F"/>
    <w:rsid w:val="00770986"/>
    <w:rsid w:val="00770ABA"/>
    <w:rsid w:val="00770B19"/>
    <w:rsid w:val="00770CE3"/>
    <w:rsid w:val="00770DEE"/>
    <w:rsid w:val="00771046"/>
    <w:rsid w:val="007711FD"/>
    <w:rsid w:val="007714B7"/>
    <w:rsid w:val="00771517"/>
    <w:rsid w:val="007716DC"/>
    <w:rsid w:val="00771801"/>
    <w:rsid w:val="007719BA"/>
    <w:rsid w:val="007719C2"/>
    <w:rsid w:val="00771B52"/>
    <w:rsid w:val="00771C5C"/>
    <w:rsid w:val="00771E12"/>
    <w:rsid w:val="00771E51"/>
    <w:rsid w:val="00771E7B"/>
    <w:rsid w:val="00771EB7"/>
    <w:rsid w:val="007720CF"/>
    <w:rsid w:val="007720FB"/>
    <w:rsid w:val="00772277"/>
    <w:rsid w:val="00772405"/>
    <w:rsid w:val="00772489"/>
    <w:rsid w:val="007724CB"/>
    <w:rsid w:val="007725E5"/>
    <w:rsid w:val="0077279D"/>
    <w:rsid w:val="007727B1"/>
    <w:rsid w:val="00772811"/>
    <w:rsid w:val="007728C5"/>
    <w:rsid w:val="00772905"/>
    <w:rsid w:val="007729EA"/>
    <w:rsid w:val="00772AAB"/>
    <w:rsid w:val="00772B13"/>
    <w:rsid w:val="00772B86"/>
    <w:rsid w:val="00772CF6"/>
    <w:rsid w:val="00772D88"/>
    <w:rsid w:val="00772D9E"/>
    <w:rsid w:val="00772FB3"/>
    <w:rsid w:val="0077325E"/>
    <w:rsid w:val="007732D2"/>
    <w:rsid w:val="00773473"/>
    <w:rsid w:val="007735C5"/>
    <w:rsid w:val="00773713"/>
    <w:rsid w:val="00773846"/>
    <w:rsid w:val="007738CB"/>
    <w:rsid w:val="00773988"/>
    <w:rsid w:val="00773DAE"/>
    <w:rsid w:val="00774017"/>
    <w:rsid w:val="00774023"/>
    <w:rsid w:val="00774042"/>
    <w:rsid w:val="00774277"/>
    <w:rsid w:val="007745D4"/>
    <w:rsid w:val="0077463F"/>
    <w:rsid w:val="007746FA"/>
    <w:rsid w:val="0077473B"/>
    <w:rsid w:val="00774803"/>
    <w:rsid w:val="00774967"/>
    <w:rsid w:val="00774997"/>
    <w:rsid w:val="00774A6D"/>
    <w:rsid w:val="00774A77"/>
    <w:rsid w:val="00774B2C"/>
    <w:rsid w:val="00774B63"/>
    <w:rsid w:val="00774BE9"/>
    <w:rsid w:val="00774CC4"/>
    <w:rsid w:val="00774CFA"/>
    <w:rsid w:val="00774FA3"/>
    <w:rsid w:val="0077501D"/>
    <w:rsid w:val="00775119"/>
    <w:rsid w:val="0077514A"/>
    <w:rsid w:val="0077521F"/>
    <w:rsid w:val="00775242"/>
    <w:rsid w:val="00775528"/>
    <w:rsid w:val="00775565"/>
    <w:rsid w:val="00775660"/>
    <w:rsid w:val="00775757"/>
    <w:rsid w:val="00775A5C"/>
    <w:rsid w:val="00775B5F"/>
    <w:rsid w:val="00775E7A"/>
    <w:rsid w:val="0077604E"/>
    <w:rsid w:val="007761DE"/>
    <w:rsid w:val="0077649D"/>
    <w:rsid w:val="007765E6"/>
    <w:rsid w:val="007766E7"/>
    <w:rsid w:val="00776724"/>
    <w:rsid w:val="0077678A"/>
    <w:rsid w:val="00776983"/>
    <w:rsid w:val="00776B0C"/>
    <w:rsid w:val="00776B9B"/>
    <w:rsid w:val="00776C12"/>
    <w:rsid w:val="00776C16"/>
    <w:rsid w:val="00776C24"/>
    <w:rsid w:val="00776C3B"/>
    <w:rsid w:val="00776CDA"/>
    <w:rsid w:val="00776D24"/>
    <w:rsid w:val="00776F25"/>
    <w:rsid w:val="00777025"/>
    <w:rsid w:val="0077708F"/>
    <w:rsid w:val="007770DF"/>
    <w:rsid w:val="00777354"/>
    <w:rsid w:val="0077763B"/>
    <w:rsid w:val="007776CF"/>
    <w:rsid w:val="007776F0"/>
    <w:rsid w:val="007777C1"/>
    <w:rsid w:val="00777A2C"/>
    <w:rsid w:val="00777A41"/>
    <w:rsid w:val="00777B37"/>
    <w:rsid w:val="00777BB8"/>
    <w:rsid w:val="00777C23"/>
    <w:rsid w:val="00777C6B"/>
    <w:rsid w:val="00777DC6"/>
    <w:rsid w:val="00777F09"/>
    <w:rsid w:val="00777F1F"/>
    <w:rsid w:val="007801C5"/>
    <w:rsid w:val="0078046B"/>
    <w:rsid w:val="0078071E"/>
    <w:rsid w:val="00780796"/>
    <w:rsid w:val="00780837"/>
    <w:rsid w:val="007808E7"/>
    <w:rsid w:val="00780A24"/>
    <w:rsid w:val="00780B72"/>
    <w:rsid w:val="00780D45"/>
    <w:rsid w:val="00780E53"/>
    <w:rsid w:val="00780EA7"/>
    <w:rsid w:val="00780EB9"/>
    <w:rsid w:val="00780FDC"/>
    <w:rsid w:val="00780FE2"/>
    <w:rsid w:val="007812FD"/>
    <w:rsid w:val="0078137B"/>
    <w:rsid w:val="0078137F"/>
    <w:rsid w:val="007814A5"/>
    <w:rsid w:val="0078152D"/>
    <w:rsid w:val="0078194C"/>
    <w:rsid w:val="007819CC"/>
    <w:rsid w:val="007819D5"/>
    <w:rsid w:val="00781AFB"/>
    <w:rsid w:val="00781B10"/>
    <w:rsid w:val="00781BC1"/>
    <w:rsid w:val="00781D10"/>
    <w:rsid w:val="00781D45"/>
    <w:rsid w:val="00781DD0"/>
    <w:rsid w:val="00781FFB"/>
    <w:rsid w:val="00782115"/>
    <w:rsid w:val="007821B9"/>
    <w:rsid w:val="00782353"/>
    <w:rsid w:val="0078255C"/>
    <w:rsid w:val="0078256A"/>
    <w:rsid w:val="007825BC"/>
    <w:rsid w:val="00782896"/>
    <w:rsid w:val="007828C9"/>
    <w:rsid w:val="0078296E"/>
    <w:rsid w:val="00782A18"/>
    <w:rsid w:val="00782A23"/>
    <w:rsid w:val="00782C09"/>
    <w:rsid w:val="00782D5D"/>
    <w:rsid w:val="00782F49"/>
    <w:rsid w:val="00782FCA"/>
    <w:rsid w:val="00782FCD"/>
    <w:rsid w:val="0078345F"/>
    <w:rsid w:val="007836EA"/>
    <w:rsid w:val="007839B1"/>
    <w:rsid w:val="00783A1C"/>
    <w:rsid w:val="00783B82"/>
    <w:rsid w:val="00783BA3"/>
    <w:rsid w:val="00783EF6"/>
    <w:rsid w:val="00783EFD"/>
    <w:rsid w:val="0078407F"/>
    <w:rsid w:val="007840D5"/>
    <w:rsid w:val="007841E3"/>
    <w:rsid w:val="00784278"/>
    <w:rsid w:val="007842D6"/>
    <w:rsid w:val="007844C4"/>
    <w:rsid w:val="0078452E"/>
    <w:rsid w:val="007845C4"/>
    <w:rsid w:val="007846CB"/>
    <w:rsid w:val="007846D0"/>
    <w:rsid w:val="0078478F"/>
    <w:rsid w:val="007848E1"/>
    <w:rsid w:val="00784A3C"/>
    <w:rsid w:val="00784A3E"/>
    <w:rsid w:val="00784A93"/>
    <w:rsid w:val="00784B53"/>
    <w:rsid w:val="00784B61"/>
    <w:rsid w:val="00784C36"/>
    <w:rsid w:val="00784C44"/>
    <w:rsid w:val="00784CC0"/>
    <w:rsid w:val="00784CDA"/>
    <w:rsid w:val="00784E10"/>
    <w:rsid w:val="00784F1F"/>
    <w:rsid w:val="00784FEE"/>
    <w:rsid w:val="00785177"/>
    <w:rsid w:val="0078523F"/>
    <w:rsid w:val="007852D1"/>
    <w:rsid w:val="0078547E"/>
    <w:rsid w:val="007854FE"/>
    <w:rsid w:val="00785515"/>
    <w:rsid w:val="007855C7"/>
    <w:rsid w:val="007855F3"/>
    <w:rsid w:val="00785B00"/>
    <w:rsid w:val="00785B02"/>
    <w:rsid w:val="00785CBF"/>
    <w:rsid w:val="00785CD6"/>
    <w:rsid w:val="00785E0D"/>
    <w:rsid w:val="00785FA4"/>
    <w:rsid w:val="00785FF3"/>
    <w:rsid w:val="00786120"/>
    <w:rsid w:val="00786166"/>
    <w:rsid w:val="0078636B"/>
    <w:rsid w:val="00786461"/>
    <w:rsid w:val="0078651A"/>
    <w:rsid w:val="0078661F"/>
    <w:rsid w:val="00786722"/>
    <w:rsid w:val="007867BE"/>
    <w:rsid w:val="007867CB"/>
    <w:rsid w:val="0078688D"/>
    <w:rsid w:val="00786896"/>
    <w:rsid w:val="00786990"/>
    <w:rsid w:val="007869F4"/>
    <w:rsid w:val="00786A60"/>
    <w:rsid w:val="00786A78"/>
    <w:rsid w:val="00786B8B"/>
    <w:rsid w:val="00786D23"/>
    <w:rsid w:val="00786DE4"/>
    <w:rsid w:val="00786DEE"/>
    <w:rsid w:val="007870CA"/>
    <w:rsid w:val="00787122"/>
    <w:rsid w:val="0078727F"/>
    <w:rsid w:val="0078732A"/>
    <w:rsid w:val="00787372"/>
    <w:rsid w:val="0078770E"/>
    <w:rsid w:val="00787782"/>
    <w:rsid w:val="007877F2"/>
    <w:rsid w:val="00787874"/>
    <w:rsid w:val="007878F9"/>
    <w:rsid w:val="00787922"/>
    <w:rsid w:val="007879AA"/>
    <w:rsid w:val="007879D2"/>
    <w:rsid w:val="007879D4"/>
    <w:rsid w:val="00787C04"/>
    <w:rsid w:val="00787C85"/>
    <w:rsid w:val="00787D50"/>
    <w:rsid w:val="00787DDF"/>
    <w:rsid w:val="00787EA5"/>
    <w:rsid w:val="00787EC9"/>
    <w:rsid w:val="00787EE1"/>
    <w:rsid w:val="00787FAB"/>
    <w:rsid w:val="00787FDB"/>
    <w:rsid w:val="00790027"/>
    <w:rsid w:val="00790045"/>
    <w:rsid w:val="00790068"/>
    <w:rsid w:val="007900AE"/>
    <w:rsid w:val="007901FC"/>
    <w:rsid w:val="00790348"/>
    <w:rsid w:val="007903AB"/>
    <w:rsid w:val="007903DC"/>
    <w:rsid w:val="0079041C"/>
    <w:rsid w:val="00790428"/>
    <w:rsid w:val="007904B3"/>
    <w:rsid w:val="007906AD"/>
    <w:rsid w:val="007906C4"/>
    <w:rsid w:val="00790773"/>
    <w:rsid w:val="007909EA"/>
    <w:rsid w:val="007909EB"/>
    <w:rsid w:val="00790A25"/>
    <w:rsid w:val="00790A65"/>
    <w:rsid w:val="00790D54"/>
    <w:rsid w:val="00790E15"/>
    <w:rsid w:val="00790EDE"/>
    <w:rsid w:val="00790F17"/>
    <w:rsid w:val="0079109C"/>
    <w:rsid w:val="007910C6"/>
    <w:rsid w:val="007910D8"/>
    <w:rsid w:val="00791108"/>
    <w:rsid w:val="00791160"/>
    <w:rsid w:val="00791194"/>
    <w:rsid w:val="007911C7"/>
    <w:rsid w:val="007913D0"/>
    <w:rsid w:val="0079155E"/>
    <w:rsid w:val="007915F2"/>
    <w:rsid w:val="0079163E"/>
    <w:rsid w:val="00791965"/>
    <w:rsid w:val="0079198B"/>
    <w:rsid w:val="00791B19"/>
    <w:rsid w:val="00791B36"/>
    <w:rsid w:val="00791C13"/>
    <w:rsid w:val="00791CD2"/>
    <w:rsid w:val="00791D2C"/>
    <w:rsid w:val="00791DF9"/>
    <w:rsid w:val="00791F64"/>
    <w:rsid w:val="00791F83"/>
    <w:rsid w:val="00791F88"/>
    <w:rsid w:val="00792193"/>
    <w:rsid w:val="007921AE"/>
    <w:rsid w:val="00792230"/>
    <w:rsid w:val="007923AE"/>
    <w:rsid w:val="0079243A"/>
    <w:rsid w:val="007925C6"/>
    <w:rsid w:val="00792662"/>
    <w:rsid w:val="0079281F"/>
    <w:rsid w:val="0079285A"/>
    <w:rsid w:val="0079294F"/>
    <w:rsid w:val="00792980"/>
    <w:rsid w:val="00792992"/>
    <w:rsid w:val="00792D3C"/>
    <w:rsid w:val="00792D4F"/>
    <w:rsid w:val="00792D86"/>
    <w:rsid w:val="00792E11"/>
    <w:rsid w:val="00792E78"/>
    <w:rsid w:val="00792E9C"/>
    <w:rsid w:val="00792EBB"/>
    <w:rsid w:val="00792F91"/>
    <w:rsid w:val="007932D4"/>
    <w:rsid w:val="007932F0"/>
    <w:rsid w:val="007933AC"/>
    <w:rsid w:val="007934E1"/>
    <w:rsid w:val="00793592"/>
    <w:rsid w:val="007935BC"/>
    <w:rsid w:val="007936F4"/>
    <w:rsid w:val="007937B9"/>
    <w:rsid w:val="00793825"/>
    <w:rsid w:val="00793A83"/>
    <w:rsid w:val="00793E4F"/>
    <w:rsid w:val="00793F7E"/>
    <w:rsid w:val="00793FF2"/>
    <w:rsid w:val="007940EA"/>
    <w:rsid w:val="00794190"/>
    <w:rsid w:val="007941CB"/>
    <w:rsid w:val="00794289"/>
    <w:rsid w:val="007943C1"/>
    <w:rsid w:val="007943D1"/>
    <w:rsid w:val="00794401"/>
    <w:rsid w:val="00794472"/>
    <w:rsid w:val="00794506"/>
    <w:rsid w:val="0079456F"/>
    <w:rsid w:val="007945B8"/>
    <w:rsid w:val="007947D5"/>
    <w:rsid w:val="007948A0"/>
    <w:rsid w:val="00794984"/>
    <w:rsid w:val="00794A25"/>
    <w:rsid w:val="00794A8E"/>
    <w:rsid w:val="00794B5F"/>
    <w:rsid w:val="00794BA2"/>
    <w:rsid w:val="00794D75"/>
    <w:rsid w:val="00794DAA"/>
    <w:rsid w:val="00794E02"/>
    <w:rsid w:val="00794ECC"/>
    <w:rsid w:val="00794F52"/>
    <w:rsid w:val="007950B8"/>
    <w:rsid w:val="007950FB"/>
    <w:rsid w:val="007951AB"/>
    <w:rsid w:val="007951D5"/>
    <w:rsid w:val="007954F7"/>
    <w:rsid w:val="00795585"/>
    <w:rsid w:val="007956D6"/>
    <w:rsid w:val="007956EC"/>
    <w:rsid w:val="00795796"/>
    <w:rsid w:val="00795870"/>
    <w:rsid w:val="007958A1"/>
    <w:rsid w:val="00795A8C"/>
    <w:rsid w:val="00795AC6"/>
    <w:rsid w:val="00795B07"/>
    <w:rsid w:val="00795BFE"/>
    <w:rsid w:val="00795C5A"/>
    <w:rsid w:val="00795D22"/>
    <w:rsid w:val="00795D56"/>
    <w:rsid w:val="00795DBE"/>
    <w:rsid w:val="00795E48"/>
    <w:rsid w:val="00795E62"/>
    <w:rsid w:val="00795EBA"/>
    <w:rsid w:val="007960C2"/>
    <w:rsid w:val="0079618B"/>
    <w:rsid w:val="00796198"/>
    <w:rsid w:val="00796225"/>
    <w:rsid w:val="007962B7"/>
    <w:rsid w:val="007963B4"/>
    <w:rsid w:val="00796764"/>
    <w:rsid w:val="0079677B"/>
    <w:rsid w:val="007967E8"/>
    <w:rsid w:val="00796804"/>
    <w:rsid w:val="00796978"/>
    <w:rsid w:val="00796AAD"/>
    <w:rsid w:val="00796CD6"/>
    <w:rsid w:val="00796EDE"/>
    <w:rsid w:val="00796FC9"/>
    <w:rsid w:val="00796FF9"/>
    <w:rsid w:val="0079705C"/>
    <w:rsid w:val="00797086"/>
    <w:rsid w:val="007970A0"/>
    <w:rsid w:val="007971A6"/>
    <w:rsid w:val="007973BA"/>
    <w:rsid w:val="00797428"/>
    <w:rsid w:val="0079757E"/>
    <w:rsid w:val="0079769A"/>
    <w:rsid w:val="007977E3"/>
    <w:rsid w:val="0079784D"/>
    <w:rsid w:val="00797881"/>
    <w:rsid w:val="00797B76"/>
    <w:rsid w:val="00797D2C"/>
    <w:rsid w:val="00797D2F"/>
    <w:rsid w:val="007A01A3"/>
    <w:rsid w:val="007A01C8"/>
    <w:rsid w:val="007A0247"/>
    <w:rsid w:val="007A0254"/>
    <w:rsid w:val="007A07CC"/>
    <w:rsid w:val="007A08FC"/>
    <w:rsid w:val="007A0904"/>
    <w:rsid w:val="007A09AA"/>
    <w:rsid w:val="007A0A7D"/>
    <w:rsid w:val="007A0D4A"/>
    <w:rsid w:val="007A0DEE"/>
    <w:rsid w:val="007A1127"/>
    <w:rsid w:val="007A119C"/>
    <w:rsid w:val="007A1227"/>
    <w:rsid w:val="007A15CF"/>
    <w:rsid w:val="007A16A1"/>
    <w:rsid w:val="007A174E"/>
    <w:rsid w:val="007A17FE"/>
    <w:rsid w:val="007A19D4"/>
    <w:rsid w:val="007A1A9E"/>
    <w:rsid w:val="007A1B65"/>
    <w:rsid w:val="007A1C42"/>
    <w:rsid w:val="007A1E39"/>
    <w:rsid w:val="007A1ECF"/>
    <w:rsid w:val="007A1F08"/>
    <w:rsid w:val="007A1F39"/>
    <w:rsid w:val="007A1FB8"/>
    <w:rsid w:val="007A2071"/>
    <w:rsid w:val="007A2091"/>
    <w:rsid w:val="007A2170"/>
    <w:rsid w:val="007A2206"/>
    <w:rsid w:val="007A22BF"/>
    <w:rsid w:val="007A2304"/>
    <w:rsid w:val="007A2344"/>
    <w:rsid w:val="007A2374"/>
    <w:rsid w:val="007A237C"/>
    <w:rsid w:val="007A24CD"/>
    <w:rsid w:val="007A2844"/>
    <w:rsid w:val="007A286D"/>
    <w:rsid w:val="007A2916"/>
    <w:rsid w:val="007A29F5"/>
    <w:rsid w:val="007A2C5C"/>
    <w:rsid w:val="007A2C83"/>
    <w:rsid w:val="007A2CD7"/>
    <w:rsid w:val="007A2D48"/>
    <w:rsid w:val="007A2F4A"/>
    <w:rsid w:val="007A2F9A"/>
    <w:rsid w:val="007A31E2"/>
    <w:rsid w:val="007A31F5"/>
    <w:rsid w:val="007A3323"/>
    <w:rsid w:val="007A337D"/>
    <w:rsid w:val="007A3758"/>
    <w:rsid w:val="007A3784"/>
    <w:rsid w:val="007A3795"/>
    <w:rsid w:val="007A38AF"/>
    <w:rsid w:val="007A38C3"/>
    <w:rsid w:val="007A3B88"/>
    <w:rsid w:val="007A3BA7"/>
    <w:rsid w:val="007A3C9A"/>
    <w:rsid w:val="007A3DC3"/>
    <w:rsid w:val="007A3EC2"/>
    <w:rsid w:val="007A4023"/>
    <w:rsid w:val="007A40C5"/>
    <w:rsid w:val="007A40E5"/>
    <w:rsid w:val="007A42BC"/>
    <w:rsid w:val="007A44F6"/>
    <w:rsid w:val="007A45E1"/>
    <w:rsid w:val="007A4653"/>
    <w:rsid w:val="007A46D8"/>
    <w:rsid w:val="007A475B"/>
    <w:rsid w:val="007A47BA"/>
    <w:rsid w:val="007A4815"/>
    <w:rsid w:val="007A48D4"/>
    <w:rsid w:val="007A4909"/>
    <w:rsid w:val="007A493F"/>
    <w:rsid w:val="007A49B8"/>
    <w:rsid w:val="007A4BB3"/>
    <w:rsid w:val="007A4CE0"/>
    <w:rsid w:val="007A4DE6"/>
    <w:rsid w:val="007A4F9A"/>
    <w:rsid w:val="007A502A"/>
    <w:rsid w:val="007A5040"/>
    <w:rsid w:val="007A505F"/>
    <w:rsid w:val="007A5113"/>
    <w:rsid w:val="007A5283"/>
    <w:rsid w:val="007A5348"/>
    <w:rsid w:val="007A5545"/>
    <w:rsid w:val="007A55C0"/>
    <w:rsid w:val="007A5683"/>
    <w:rsid w:val="007A5867"/>
    <w:rsid w:val="007A599E"/>
    <w:rsid w:val="007A59C7"/>
    <w:rsid w:val="007A5AA1"/>
    <w:rsid w:val="007A5B48"/>
    <w:rsid w:val="007A5C46"/>
    <w:rsid w:val="007A5DBA"/>
    <w:rsid w:val="007A5F23"/>
    <w:rsid w:val="007A6186"/>
    <w:rsid w:val="007A6213"/>
    <w:rsid w:val="007A6229"/>
    <w:rsid w:val="007A639A"/>
    <w:rsid w:val="007A646E"/>
    <w:rsid w:val="007A64FB"/>
    <w:rsid w:val="007A6660"/>
    <w:rsid w:val="007A66BF"/>
    <w:rsid w:val="007A6725"/>
    <w:rsid w:val="007A6753"/>
    <w:rsid w:val="007A6757"/>
    <w:rsid w:val="007A676E"/>
    <w:rsid w:val="007A6775"/>
    <w:rsid w:val="007A6876"/>
    <w:rsid w:val="007A687C"/>
    <w:rsid w:val="007A6942"/>
    <w:rsid w:val="007A6990"/>
    <w:rsid w:val="007A69AD"/>
    <w:rsid w:val="007A6A8F"/>
    <w:rsid w:val="007A6ACF"/>
    <w:rsid w:val="007A6BCE"/>
    <w:rsid w:val="007A6D1D"/>
    <w:rsid w:val="007A6D8B"/>
    <w:rsid w:val="007A6E0A"/>
    <w:rsid w:val="007A6E6F"/>
    <w:rsid w:val="007A6EC2"/>
    <w:rsid w:val="007A6F07"/>
    <w:rsid w:val="007A6F72"/>
    <w:rsid w:val="007A6F9F"/>
    <w:rsid w:val="007A7081"/>
    <w:rsid w:val="007A71D5"/>
    <w:rsid w:val="007A7317"/>
    <w:rsid w:val="007A73B7"/>
    <w:rsid w:val="007A75F2"/>
    <w:rsid w:val="007A7638"/>
    <w:rsid w:val="007A7651"/>
    <w:rsid w:val="007A77A8"/>
    <w:rsid w:val="007A7882"/>
    <w:rsid w:val="007A78F0"/>
    <w:rsid w:val="007A79EC"/>
    <w:rsid w:val="007A7BCD"/>
    <w:rsid w:val="007A7E34"/>
    <w:rsid w:val="007A7EA5"/>
    <w:rsid w:val="007A7F84"/>
    <w:rsid w:val="007B00CE"/>
    <w:rsid w:val="007B00F2"/>
    <w:rsid w:val="007B0157"/>
    <w:rsid w:val="007B02A8"/>
    <w:rsid w:val="007B0358"/>
    <w:rsid w:val="007B05B0"/>
    <w:rsid w:val="007B0639"/>
    <w:rsid w:val="007B0676"/>
    <w:rsid w:val="007B0700"/>
    <w:rsid w:val="007B07E1"/>
    <w:rsid w:val="007B0D59"/>
    <w:rsid w:val="007B0DFE"/>
    <w:rsid w:val="007B0F96"/>
    <w:rsid w:val="007B0FC7"/>
    <w:rsid w:val="007B11DD"/>
    <w:rsid w:val="007B1337"/>
    <w:rsid w:val="007B1367"/>
    <w:rsid w:val="007B142A"/>
    <w:rsid w:val="007B14A8"/>
    <w:rsid w:val="007B151A"/>
    <w:rsid w:val="007B152E"/>
    <w:rsid w:val="007B1565"/>
    <w:rsid w:val="007B15EA"/>
    <w:rsid w:val="007B1837"/>
    <w:rsid w:val="007B1882"/>
    <w:rsid w:val="007B1AB1"/>
    <w:rsid w:val="007B1B71"/>
    <w:rsid w:val="007B1C00"/>
    <w:rsid w:val="007B1F1F"/>
    <w:rsid w:val="007B214F"/>
    <w:rsid w:val="007B22BC"/>
    <w:rsid w:val="007B2377"/>
    <w:rsid w:val="007B23A1"/>
    <w:rsid w:val="007B23AE"/>
    <w:rsid w:val="007B2469"/>
    <w:rsid w:val="007B250C"/>
    <w:rsid w:val="007B257B"/>
    <w:rsid w:val="007B25AA"/>
    <w:rsid w:val="007B2631"/>
    <w:rsid w:val="007B28DF"/>
    <w:rsid w:val="007B290A"/>
    <w:rsid w:val="007B2A47"/>
    <w:rsid w:val="007B2C61"/>
    <w:rsid w:val="007B2D7D"/>
    <w:rsid w:val="007B2EBB"/>
    <w:rsid w:val="007B2F2E"/>
    <w:rsid w:val="007B2F9D"/>
    <w:rsid w:val="007B2FAB"/>
    <w:rsid w:val="007B2FFA"/>
    <w:rsid w:val="007B3067"/>
    <w:rsid w:val="007B3091"/>
    <w:rsid w:val="007B30E7"/>
    <w:rsid w:val="007B31C6"/>
    <w:rsid w:val="007B31D2"/>
    <w:rsid w:val="007B34C0"/>
    <w:rsid w:val="007B34D2"/>
    <w:rsid w:val="007B3527"/>
    <w:rsid w:val="007B359A"/>
    <w:rsid w:val="007B35EE"/>
    <w:rsid w:val="007B3795"/>
    <w:rsid w:val="007B393B"/>
    <w:rsid w:val="007B3981"/>
    <w:rsid w:val="007B3988"/>
    <w:rsid w:val="007B3B25"/>
    <w:rsid w:val="007B3B3A"/>
    <w:rsid w:val="007B3E14"/>
    <w:rsid w:val="007B40C3"/>
    <w:rsid w:val="007B42A7"/>
    <w:rsid w:val="007B441A"/>
    <w:rsid w:val="007B463B"/>
    <w:rsid w:val="007B46BD"/>
    <w:rsid w:val="007B475B"/>
    <w:rsid w:val="007B489E"/>
    <w:rsid w:val="007B48BD"/>
    <w:rsid w:val="007B498A"/>
    <w:rsid w:val="007B4AB7"/>
    <w:rsid w:val="007B4BC5"/>
    <w:rsid w:val="007B4C8D"/>
    <w:rsid w:val="007B4D78"/>
    <w:rsid w:val="007B4F65"/>
    <w:rsid w:val="007B4FE3"/>
    <w:rsid w:val="007B51A9"/>
    <w:rsid w:val="007B53C4"/>
    <w:rsid w:val="007B53E0"/>
    <w:rsid w:val="007B5456"/>
    <w:rsid w:val="007B5531"/>
    <w:rsid w:val="007B55BA"/>
    <w:rsid w:val="007B55FC"/>
    <w:rsid w:val="007B5633"/>
    <w:rsid w:val="007B5A06"/>
    <w:rsid w:val="007B5A86"/>
    <w:rsid w:val="007B5AC8"/>
    <w:rsid w:val="007B5ADE"/>
    <w:rsid w:val="007B5D5C"/>
    <w:rsid w:val="007B5E5B"/>
    <w:rsid w:val="007B6286"/>
    <w:rsid w:val="007B630D"/>
    <w:rsid w:val="007B636A"/>
    <w:rsid w:val="007B6490"/>
    <w:rsid w:val="007B64A9"/>
    <w:rsid w:val="007B6593"/>
    <w:rsid w:val="007B66B7"/>
    <w:rsid w:val="007B698D"/>
    <w:rsid w:val="007B6A8E"/>
    <w:rsid w:val="007B6BCF"/>
    <w:rsid w:val="007B6BD6"/>
    <w:rsid w:val="007B6C63"/>
    <w:rsid w:val="007B6D39"/>
    <w:rsid w:val="007B6F75"/>
    <w:rsid w:val="007B7026"/>
    <w:rsid w:val="007B703C"/>
    <w:rsid w:val="007B711D"/>
    <w:rsid w:val="007B71C0"/>
    <w:rsid w:val="007B71D2"/>
    <w:rsid w:val="007B722B"/>
    <w:rsid w:val="007B72B8"/>
    <w:rsid w:val="007B7403"/>
    <w:rsid w:val="007B74C4"/>
    <w:rsid w:val="007B76EA"/>
    <w:rsid w:val="007B799B"/>
    <w:rsid w:val="007B79A8"/>
    <w:rsid w:val="007B79CB"/>
    <w:rsid w:val="007B7A58"/>
    <w:rsid w:val="007B7A86"/>
    <w:rsid w:val="007B7A8E"/>
    <w:rsid w:val="007B7AA4"/>
    <w:rsid w:val="007B7BB6"/>
    <w:rsid w:val="007B7C91"/>
    <w:rsid w:val="007B7D32"/>
    <w:rsid w:val="007B7FB7"/>
    <w:rsid w:val="007B7FE0"/>
    <w:rsid w:val="007B7FED"/>
    <w:rsid w:val="007C0043"/>
    <w:rsid w:val="007C009F"/>
    <w:rsid w:val="007C0185"/>
    <w:rsid w:val="007C0273"/>
    <w:rsid w:val="007C0372"/>
    <w:rsid w:val="007C041A"/>
    <w:rsid w:val="007C0499"/>
    <w:rsid w:val="007C051D"/>
    <w:rsid w:val="007C0733"/>
    <w:rsid w:val="007C077D"/>
    <w:rsid w:val="007C0829"/>
    <w:rsid w:val="007C0833"/>
    <w:rsid w:val="007C084C"/>
    <w:rsid w:val="007C089B"/>
    <w:rsid w:val="007C0981"/>
    <w:rsid w:val="007C09C2"/>
    <w:rsid w:val="007C09E7"/>
    <w:rsid w:val="007C0A0C"/>
    <w:rsid w:val="007C0CE9"/>
    <w:rsid w:val="007C0E0C"/>
    <w:rsid w:val="007C0E73"/>
    <w:rsid w:val="007C0E98"/>
    <w:rsid w:val="007C0F7A"/>
    <w:rsid w:val="007C128E"/>
    <w:rsid w:val="007C12C2"/>
    <w:rsid w:val="007C12E2"/>
    <w:rsid w:val="007C143A"/>
    <w:rsid w:val="007C14B3"/>
    <w:rsid w:val="007C14DF"/>
    <w:rsid w:val="007C1506"/>
    <w:rsid w:val="007C163E"/>
    <w:rsid w:val="007C17D2"/>
    <w:rsid w:val="007C1880"/>
    <w:rsid w:val="007C19B9"/>
    <w:rsid w:val="007C1B99"/>
    <w:rsid w:val="007C1C18"/>
    <w:rsid w:val="007C1C92"/>
    <w:rsid w:val="007C1F1F"/>
    <w:rsid w:val="007C1F54"/>
    <w:rsid w:val="007C1F69"/>
    <w:rsid w:val="007C1FAD"/>
    <w:rsid w:val="007C21AC"/>
    <w:rsid w:val="007C21B5"/>
    <w:rsid w:val="007C247A"/>
    <w:rsid w:val="007C25A8"/>
    <w:rsid w:val="007C26D3"/>
    <w:rsid w:val="007C2765"/>
    <w:rsid w:val="007C29A4"/>
    <w:rsid w:val="007C2A55"/>
    <w:rsid w:val="007C2D49"/>
    <w:rsid w:val="007C2E9A"/>
    <w:rsid w:val="007C2FC0"/>
    <w:rsid w:val="007C30F0"/>
    <w:rsid w:val="007C3175"/>
    <w:rsid w:val="007C3265"/>
    <w:rsid w:val="007C35EE"/>
    <w:rsid w:val="007C3754"/>
    <w:rsid w:val="007C38DF"/>
    <w:rsid w:val="007C3996"/>
    <w:rsid w:val="007C3ACC"/>
    <w:rsid w:val="007C3B15"/>
    <w:rsid w:val="007C3B2F"/>
    <w:rsid w:val="007C3B70"/>
    <w:rsid w:val="007C3BCC"/>
    <w:rsid w:val="007C3CB1"/>
    <w:rsid w:val="007C4006"/>
    <w:rsid w:val="007C4029"/>
    <w:rsid w:val="007C4196"/>
    <w:rsid w:val="007C41F8"/>
    <w:rsid w:val="007C42E2"/>
    <w:rsid w:val="007C4A55"/>
    <w:rsid w:val="007C4A9F"/>
    <w:rsid w:val="007C4D34"/>
    <w:rsid w:val="007C4D36"/>
    <w:rsid w:val="007C501C"/>
    <w:rsid w:val="007C503A"/>
    <w:rsid w:val="007C51D1"/>
    <w:rsid w:val="007C51F3"/>
    <w:rsid w:val="007C5274"/>
    <w:rsid w:val="007C529A"/>
    <w:rsid w:val="007C529D"/>
    <w:rsid w:val="007C5367"/>
    <w:rsid w:val="007C53A5"/>
    <w:rsid w:val="007C53D0"/>
    <w:rsid w:val="007C55E2"/>
    <w:rsid w:val="007C5621"/>
    <w:rsid w:val="007C56FB"/>
    <w:rsid w:val="007C581C"/>
    <w:rsid w:val="007C58E1"/>
    <w:rsid w:val="007C5A65"/>
    <w:rsid w:val="007C5A90"/>
    <w:rsid w:val="007C5C1F"/>
    <w:rsid w:val="007C5C6E"/>
    <w:rsid w:val="007C5D97"/>
    <w:rsid w:val="007C5E26"/>
    <w:rsid w:val="007C5EB8"/>
    <w:rsid w:val="007C5EBC"/>
    <w:rsid w:val="007C5EF1"/>
    <w:rsid w:val="007C5FB9"/>
    <w:rsid w:val="007C60D5"/>
    <w:rsid w:val="007C60DD"/>
    <w:rsid w:val="007C6102"/>
    <w:rsid w:val="007C61ED"/>
    <w:rsid w:val="007C6203"/>
    <w:rsid w:val="007C6215"/>
    <w:rsid w:val="007C6415"/>
    <w:rsid w:val="007C64C6"/>
    <w:rsid w:val="007C64EA"/>
    <w:rsid w:val="007C667E"/>
    <w:rsid w:val="007C66F9"/>
    <w:rsid w:val="007C6874"/>
    <w:rsid w:val="007C6B41"/>
    <w:rsid w:val="007C6B59"/>
    <w:rsid w:val="007C6C65"/>
    <w:rsid w:val="007C6C66"/>
    <w:rsid w:val="007C6D08"/>
    <w:rsid w:val="007C6E39"/>
    <w:rsid w:val="007C6E85"/>
    <w:rsid w:val="007C7141"/>
    <w:rsid w:val="007C7445"/>
    <w:rsid w:val="007C74F8"/>
    <w:rsid w:val="007C7C1F"/>
    <w:rsid w:val="007C7D63"/>
    <w:rsid w:val="007C7DE4"/>
    <w:rsid w:val="007C7E07"/>
    <w:rsid w:val="007C7E0A"/>
    <w:rsid w:val="007C7E70"/>
    <w:rsid w:val="007C7FF2"/>
    <w:rsid w:val="007D0110"/>
    <w:rsid w:val="007D0117"/>
    <w:rsid w:val="007D020B"/>
    <w:rsid w:val="007D0447"/>
    <w:rsid w:val="007D0476"/>
    <w:rsid w:val="007D054C"/>
    <w:rsid w:val="007D055B"/>
    <w:rsid w:val="007D055C"/>
    <w:rsid w:val="007D0573"/>
    <w:rsid w:val="007D0574"/>
    <w:rsid w:val="007D05AC"/>
    <w:rsid w:val="007D05B9"/>
    <w:rsid w:val="007D0729"/>
    <w:rsid w:val="007D076F"/>
    <w:rsid w:val="007D077C"/>
    <w:rsid w:val="007D0802"/>
    <w:rsid w:val="007D082A"/>
    <w:rsid w:val="007D0A27"/>
    <w:rsid w:val="007D0AA9"/>
    <w:rsid w:val="007D0AAE"/>
    <w:rsid w:val="007D0ABB"/>
    <w:rsid w:val="007D0B1A"/>
    <w:rsid w:val="007D0B6F"/>
    <w:rsid w:val="007D0C84"/>
    <w:rsid w:val="007D0F03"/>
    <w:rsid w:val="007D0FE9"/>
    <w:rsid w:val="007D10AC"/>
    <w:rsid w:val="007D1173"/>
    <w:rsid w:val="007D130F"/>
    <w:rsid w:val="007D136E"/>
    <w:rsid w:val="007D13FC"/>
    <w:rsid w:val="007D1664"/>
    <w:rsid w:val="007D17D6"/>
    <w:rsid w:val="007D18B3"/>
    <w:rsid w:val="007D1970"/>
    <w:rsid w:val="007D19C9"/>
    <w:rsid w:val="007D1A0E"/>
    <w:rsid w:val="007D1B37"/>
    <w:rsid w:val="007D1D16"/>
    <w:rsid w:val="007D1D18"/>
    <w:rsid w:val="007D1D28"/>
    <w:rsid w:val="007D1DA1"/>
    <w:rsid w:val="007D1EEB"/>
    <w:rsid w:val="007D1FE8"/>
    <w:rsid w:val="007D20BE"/>
    <w:rsid w:val="007D224A"/>
    <w:rsid w:val="007D2520"/>
    <w:rsid w:val="007D27C6"/>
    <w:rsid w:val="007D28AA"/>
    <w:rsid w:val="007D2930"/>
    <w:rsid w:val="007D2B82"/>
    <w:rsid w:val="007D2C08"/>
    <w:rsid w:val="007D2CF0"/>
    <w:rsid w:val="007D2D19"/>
    <w:rsid w:val="007D2E99"/>
    <w:rsid w:val="007D2FE7"/>
    <w:rsid w:val="007D313E"/>
    <w:rsid w:val="007D3298"/>
    <w:rsid w:val="007D3416"/>
    <w:rsid w:val="007D3461"/>
    <w:rsid w:val="007D3465"/>
    <w:rsid w:val="007D3573"/>
    <w:rsid w:val="007D35AE"/>
    <w:rsid w:val="007D35BB"/>
    <w:rsid w:val="007D3730"/>
    <w:rsid w:val="007D3759"/>
    <w:rsid w:val="007D38D1"/>
    <w:rsid w:val="007D3913"/>
    <w:rsid w:val="007D3CC8"/>
    <w:rsid w:val="007D3E29"/>
    <w:rsid w:val="007D3EBB"/>
    <w:rsid w:val="007D3EF8"/>
    <w:rsid w:val="007D3F09"/>
    <w:rsid w:val="007D4378"/>
    <w:rsid w:val="007D450F"/>
    <w:rsid w:val="007D472C"/>
    <w:rsid w:val="007D481D"/>
    <w:rsid w:val="007D482A"/>
    <w:rsid w:val="007D4905"/>
    <w:rsid w:val="007D4952"/>
    <w:rsid w:val="007D497C"/>
    <w:rsid w:val="007D497D"/>
    <w:rsid w:val="007D49A5"/>
    <w:rsid w:val="007D49B7"/>
    <w:rsid w:val="007D4AC1"/>
    <w:rsid w:val="007D4C68"/>
    <w:rsid w:val="007D4D18"/>
    <w:rsid w:val="007D4F35"/>
    <w:rsid w:val="007D4FB8"/>
    <w:rsid w:val="007D4FF4"/>
    <w:rsid w:val="007D5120"/>
    <w:rsid w:val="007D519F"/>
    <w:rsid w:val="007D51E1"/>
    <w:rsid w:val="007D5331"/>
    <w:rsid w:val="007D5380"/>
    <w:rsid w:val="007D543A"/>
    <w:rsid w:val="007D555D"/>
    <w:rsid w:val="007D5651"/>
    <w:rsid w:val="007D568A"/>
    <w:rsid w:val="007D5808"/>
    <w:rsid w:val="007D58CF"/>
    <w:rsid w:val="007D5B56"/>
    <w:rsid w:val="007D5B97"/>
    <w:rsid w:val="007D607B"/>
    <w:rsid w:val="007D60DA"/>
    <w:rsid w:val="007D613A"/>
    <w:rsid w:val="007D61BF"/>
    <w:rsid w:val="007D63B6"/>
    <w:rsid w:val="007D6614"/>
    <w:rsid w:val="007D6978"/>
    <w:rsid w:val="007D6A02"/>
    <w:rsid w:val="007D6A4A"/>
    <w:rsid w:val="007D6C35"/>
    <w:rsid w:val="007D6D98"/>
    <w:rsid w:val="007D6DF3"/>
    <w:rsid w:val="007D6F56"/>
    <w:rsid w:val="007D6FB2"/>
    <w:rsid w:val="007D710C"/>
    <w:rsid w:val="007D7197"/>
    <w:rsid w:val="007D719A"/>
    <w:rsid w:val="007D71DE"/>
    <w:rsid w:val="007D7275"/>
    <w:rsid w:val="007D727F"/>
    <w:rsid w:val="007D72C2"/>
    <w:rsid w:val="007D731B"/>
    <w:rsid w:val="007D73DE"/>
    <w:rsid w:val="007D73DF"/>
    <w:rsid w:val="007D752F"/>
    <w:rsid w:val="007D75FB"/>
    <w:rsid w:val="007D7628"/>
    <w:rsid w:val="007D76D7"/>
    <w:rsid w:val="007D7732"/>
    <w:rsid w:val="007D77FC"/>
    <w:rsid w:val="007D7A9B"/>
    <w:rsid w:val="007D7E44"/>
    <w:rsid w:val="007D7FC7"/>
    <w:rsid w:val="007E0014"/>
    <w:rsid w:val="007E0118"/>
    <w:rsid w:val="007E0306"/>
    <w:rsid w:val="007E040F"/>
    <w:rsid w:val="007E0474"/>
    <w:rsid w:val="007E04E7"/>
    <w:rsid w:val="007E06DE"/>
    <w:rsid w:val="007E0924"/>
    <w:rsid w:val="007E0A56"/>
    <w:rsid w:val="007E0A6D"/>
    <w:rsid w:val="007E0AC1"/>
    <w:rsid w:val="007E0B14"/>
    <w:rsid w:val="007E0E60"/>
    <w:rsid w:val="007E0EC0"/>
    <w:rsid w:val="007E0F8C"/>
    <w:rsid w:val="007E0FC1"/>
    <w:rsid w:val="007E10E0"/>
    <w:rsid w:val="007E1100"/>
    <w:rsid w:val="007E12B8"/>
    <w:rsid w:val="007E12C6"/>
    <w:rsid w:val="007E12CC"/>
    <w:rsid w:val="007E1393"/>
    <w:rsid w:val="007E1460"/>
    <w:rsid w:val="007E14AF"/>
    <w:rsid w:val="007E1564"/>
    <w:rsid w:val="007E1572"/>
    <w:rsid w:val="007E15CE"/>
    <w:rsid w:val="007E1843"/>
    <w:rsid w:val="007E1A39"/>
    <w:rsid w:val="007E1B57"/>
    <w:rsid w:val="007E1C6D"/>
    <w:rsid w:val="007E1C81"/>
    <w:rsid w:val="007E1F41"/>
    <w:rsid w:val="007E2248"/>
    <w:rsid w:val="007E228F"/>
    <w:rsid w:val="007E23CA"/>
    <w:rsid w:val="007E2411"/>
    <w:rsid w:val="007E24D6"/>
    <w:rsid w:val="007E25B4"/>
    <w:rsid w:val="007E262E"/>
    <w:rsid w:val="007E27EC"/>
    <w:rsid w:val="007E27ED"/>
    <w:rsid w:val="007E2BDB"/>
    <w:rsid w:val="007E2BF7"/>
    <w:rsid w:val="007E2CC0"/>
    <w:rsid w:val="007E2E67"/>
    <w:rsid w:val="007E2E96"/>
    <w:rsid w:val="007E2F19"/>
    <w:rsid w:val="007E31B6"/>
    <w:rsid w:val="007E3413"/>
    <w:rsid w:val="007E3483"/>
    <w:rsid w:val="007E3550"/>
    <w:rsid w:val="007E35B9"/>
    <w:rsid w:val="007E3BBE"/>
    <w:rsid w:val="007E3D0F"/>
    <w:rsid w:val="007E3DAE"/>
    <w:rsid w:val="007E3F1D"/>
    <w:rsid w:val="007E3F84"/>
    <w:rsid w:val="007E3F97"/>
    <w:rsid w:val="007E4062"/>
    <w:rsid w:val="007E410B"/>
    <w:rsid w:val="007E4454"/>
    <w:rsid w:val="007E445B"/>
    <w:rsid w:val="007E44EC"/>
    <w:rsid w:val="007E462B"/>
    <w:rsid w:val="007E46D5"/>
    <w:rsid w:val="007E46D8"/>
    <w:rsid w:val="007E47FF"/>
    <w:rsid w:val="007E48E8"/>
    <w:rsid w:val="007E4BD2"/>
    <w:rsid w:val="007E4BE0"/>
    <w:rsid w:val="007E4CD1"/>
    <w:rsid w:val="007E4E45"/>
    <w:rsid w:val="007E4FD1"/>
    <w:rsid w:val="007E505A"/>
    <w:rsid w:val="007E5089"/>
    <w:rsid w:val="007E50DB"/>
    <w:rsid w:val="007E5391"/>
    <w:rsid w:val="007E5450"/>
    <w:rsid w:val="007E5609"/>
    <w:rsid w:val="007E5623"/>
    <w:rsid w:val="007E56B9"/>
    <w:rsid w:val="007E56EB"/>
    <w:rsid w:val="007E5781"/>
    <w:rsid w:val="007E57A8"/>
    <w:rsid w:val="007E594B"/>
    <w:rsid w:val="007E5BEA"/>
    <w:rsid w:val="007E5C2E"/>
    <w:rsid w:val="007E5CCA"/>
    <w:rsid w:val="007E5EC6"/>
    <w:rsid w:val="007E5FA0"/>
    <w:rsid w:val="007E614D"/>
    <w:rsid w:val="007E6280"/>
    <w:rsid w:val="007E642A"/>
    <w:rsid w:val="007E6630"/>
    <w:rsid w:val="007E6634"/>
    <w:rsid w:val="007E6655"/>
    <w:rsid w:val="007E6670"/>
    <w:rsid w:val="007E6750"/>
    <w:rsid w:val="007E6781"/>
    <w:rsid w:val="007E689D"/>
    <w:rsid w:val="007E6B65"/>
    <w:rsid w:val="007E6BF0"/>
    <w:rsid w:val="007E6FCE"/>
    <w:rsid w:val="007E7003"/>
    <w:rsid w:val="007E70BE"/>
    <w:rsid w:val="007E7101"/>
    <w:rsid w:val="007E7170"/>
    <w:rsid w:val="007E71DB"/>
    <w:rsid w:val="007E7211"/>
    <w:rsid w:val="007E7217"/>
    <w:rsid w:val="007E7756"/>
    <w:rsid w:val="007E7861"/>
    <w:rsid w:val="007E7A5B"/>
    <w:rsid w:val="007E7ADE"/>
    <w:rsid w:val="007E7C18"/>
    <w:rsid w:val="007E7C86"/>
    <w:rsid w:val="007E7CAC"/>
    <w:rsid w:val="007E7D9A"/>
    <w:rsid w:val="007E7DFD"/>
    <w:rsid w:val="007E7E19"/>
    <w:rsid w:val="007E7FAE"/>
    <w:rsid w:val="007E7FAF"/>
    <w:rsid w:val="007F0010"/>
    <w:rsid w:val="007F0025"/>
    <w:rsid w:val="007F00B1"/>
    <w:rsid w:val="007F02B3"/>
    <w:rsid w:val="007F032B"/>
    <w:rsid w:val="007F04D4"/>
    <w:rsid w:val="007F0633"/>
    <w:rsid w:val="007F0643"/>
    <w:rsid w:val="007F066F"/>
    <w:rsid w:val="007F0740"/>
    <w:rsid w:val="007F0798"/>
    <w:rsid w:val="007F0CD9"/>
    <w:rsid w:val="007F10CE"/>
    <w:rsid w:val="007F10EB"/>
    <w:rsid w:val="007F118B"/>
    <w:rsid w:val="007F12E1"/>
    <w:rsid w:val="007F1308"/>
    <w:rsid w:val="007F1607"/>
    <w:rsid w:val="007F1650"/>
    <w:rsid w:val="007F165B"/>
    <w:rsid w:val="007F176C"/>
    <w:rsid w:val="007F17EB"/>
    <w:rsid w:val="007F1A3D"/>
    <w:rsid w:val="007F1ABE"/>
    <w:rsid w:val="007F1AF2"/>
    <w:rsid w:val="007F1BFE"/>
    <w:rsid w:val="007F1CCD"/>
    <w:rsid w:val="007F1DA0"/>
    <w:rsid w:val="007F1DB9"/>
    <w:rsid w:val="007F2221"/>
    <w:rsid w:val="007F23D6"/>
    <w:rsid w:val="007F2403"/>
    <w:rsid w:val="007F2551"/>
    <w:rsid w:val="007F2675"/>
    <w:rsid w:val="007F2892"/>
    <w:rsid w:val="007F2951"/>
    <w:rsid w:val="007F2968"/>
    <w:rsid w:val="007F2C1B"/>
    <w:rsid w:val="007F2CB0"/>
    <w:rsid w:val="007F2D81"/>
    <w:rsid w:val="007F2FB7"/>
    <w:rsid w:val="007F3066"/>
    <w:rsid w:val="007F3156"/>
    <w:rsid w:val="007F31BD"/>
    <w:rsid w:val="007F31F2"/>
    <w:rsid w:val="007F3302"/>
    <w:rsid w:val="007F342B"/>
    <w:rsid w:val="007F3454"/>
    <w:rsid w:val="007F3518"/>
    <w:rsid w:val="007F35F5"/>
    <w:rsid w:val="007F3838"/>
    <w:rsid w:val="007F3A65"/>
    <w:rsid w:val="007F3B83"/>
    <w:rsid w:val="007F3D6B"/>
    <w:rsid w:val="007F3E0C"/>
    <w:rsid w:val="007F3EC0"/>
    <w:rsid w:val="007F41E4"/>
    <w:rsid w:val="007F4220"/>
    <w:rsid w:val="007F425D"/>
    <w:rsid w:val="007F42B4"/>
    <w:rsid w:val="007F42CD"/>
    <w:rsid w:val="007F42D6"/>
    <w:rsid w:val="007F4449"/>
    <w:rsid w:val="007F4459"/>
    <w:rsid w:val="007F468C"/>
    <w:rsid w:val="007F4691"/>
    <w:rsid w:val="007F4A21"/>
    <w:rsid w:val="007F4A9A"/>
    <w:rsid w:val="007F4B27"/>
    <w:rsid w:val="007F4BB4"/>
    <w:rsid w:val="007F4C90"/>
    <w:rsid w:val="007F4DA5"/>
    <w:rsid w:val="007F4F4E"/>
    <w:rsid w:val="007F5140"/>
    <w:rsid w:val="007F514B"/>
    <w:rsid w:val="007F55AF"/>
    <w:rsid w:val="007F55ED"/>
    <w:rsid w:val="007F58C4"/>
    <w:rsid w:val="007F5AB8"/>
    <w:rsid w:val="007F5B12"/>
    <w:rsid w:val="007F5B1B"/>
    <w:rsid w:val="007F5C16"/>
    <w:rsid w:val="007F5C6B"/>
    <w:rsid w:val="007F5CE2"/>
    <w:rsid w:val="007F5D78"/>
    <w:rsid w:val="007F5E39"/>
    <w:rsid w:val="007F61E7"/>
    <w:rsid w:val="007F63C0"/>
    <w:rsid w:val="007F63F8"/>
    <w:rsid w:val="007F664C"/>
    <w:rsid w:val="007F687E"/>
    <w:rsid w:val="007F6AEB"/>
    <w:rsid w:val="007F6B67"/>
    <w:rsid w:val="007F6C78"/>
    <w:rsid w:val="007F6EBB"/>
    <w:rsid w:val="007F6F5D"/>
    <w:rsid w:val="007F6F74"/>
    <w:rsid w:val="007F7193"/>
    <w:rsid w:val="007F723C"/>
    <w:rsid w:val="007F727A"/>
    <w:rsid w:val="007F736F"/>
    <w:rsid w:val="007F75E4"/>
    <w:rsid w:val="007F76D6"/>
    <w:rsid w:val="007F79E0"/>
    <w:rsid w:val="007F7A4C"/>
    <w:rsid w:val="007F7A82"/>
    <w:rsid w:val="007F7B49"/>
    <w:rsid w:val="007F7C59"/>
    <w:rsid w:val="007F7C94"/>
    <w:rsid w:val="007F7E94"/>
    <w:rsid w:val="007F7ECB"/>
    <w:rsid w:val="00800144"/>
    <w:rsid w:val="00800450"/>
    <w:rsid w:val="00800481"/>
    <w:rsid w:val="008005D0"/>
    <w:rsid w:val="00800900"/>
    <w:rsid w:val="0080091F"/>
    <w:rsid w:val="00800A6B"/>
    <w:rsid w:val="00800E86"/>
    <w:rsid w:val="00800EFE"/>
    <w:rsid w:val="00801094"/>
    <w:rsid w:val="0080133A"/>
    <w:rsid w:val="00801393"/>
    <w:rsid w:val="00801516"/>
    <w:rsid w:val="00801551"/>
    <w:rsid w:val="00801790"/>
    <w:rsid w:val="00801817"/>
    <w:rsid w:val="00801863"/>
    <w:rsid w:val="008018D1"/>
    <w:rsid w:val="008019E0"/>
    <w:rsid w:val="00801C70"/>
    <w:rsid w:val="00801C78"/>
    <w:rsid w:val="00801C7B"/>
    <w:rsid w:val="00801D50"/>
    <w:rsid w:val="00801E15"/>
    <w:rsid w:val="00801F1C"/>
    <w:rsid w:val="008020B3"/>
    <w:rsid w:val="008020F3"/>
    <w:rsid w:val="00802107"/>
    <w:rsid w:val="0080239A"/>
    <w:rsid w:val="0080247A"/>
    <w:rsid w:val="00802483"/>
    <w:rsid w:val="008026E9"/>
    <w:rsid w:val="008028AB"/>
    <w:rsid w:val="008028BA"/>
    <w:rsid w:val="00802B1B"/>
    <w:rsid w:val="00802D14"/>
    <w:rsid w:val="00802D3D"/>
    <w:rsid w:val="00802D9B"/>
    <w:rsid w:val="00802DFF"/>
    <w:rsid w:val="00802F21"/>
    <w:rsid w:val="00802F27"/>
    <w:rsid w:val="00802F88"/>
    <w:rsid w:val="0080318A"/>
    <w:rsid w:val="008031A1"/>
    <w:rsid w:val="00803304"/>
    <w:rsid w:val="0080335E"/>
    <w:rsid w:val="008034F2"/>
    <w:rsid w:val="00803597"/>
    <w:rsid w:val="008035F5"/>
    <w:rsid w:val="0080376E"/>
    <w:rsid w:val="00803831"/>
    <w:rsid w:val="008038E0"/>
    <w:rsid w:val="00803949"/>
    <w:rsid w:val="00803A23"/>
    <w:rsid w:val="00803AFF"/>
    <w:rsid w:val="00803E2C"/>
    <w:rsid w:val="00803F4B"/>
    <w:rsid w:val="00804136"/>
    <w:rsid w:val="0080413C"/>
    <w:rsid w:val="008041BA"/>
    <w:rsid w:val="008046C7"/>
    <w:rsid w:val="00804947"/>
    <w:rsid w:val="00804AB9"/>
    <w:rsid w:val="00804C21"/>
    <w:rsid w:val="00804DAB"/>
    <w:rsid w:val="00804E23"/>
    <w:rsid w:val="00804E86"/>
    <w:rsid w:val="00805324"/>
    <w:rsid w:val="008053D1"/>
    <w:rsid w:val="00805592"/>
    <w:rsid w:val="008055B9"/>
    <w:rsid w:val="0080576B"/>
    <w:rsid w:val="00805783"/>
    <w:rsid w:val="008058D9"/>
    <w:rsid w:val="008059B7"/>
    <w:rsid w:val="00805A2A"/>
    <w:rsid w:val="00805A4F"/>
    <w:rsid w:val="00805A86"/>
    <w:rsid w:val="00805A92"/>
    <w:rsid w:val="00805DF7"/>
    <w:rsid w:val="00805FCC"/>
    <w:rsid w:val="00805FFC"/>
    <w:rsid w:val="00806001"/>
    <w:rsid w:val="00806142"/>
    <w:rsid w:val="0080615F"/>
    <w:rsid w:val="0080666A"/>
    <w:rsid w:val="008066F4"/>
    <w:rsid w:val="0080682F"/>
    <w:rsid w:val="00806900"/>
    <w:rsid w:val="00806CFB"/>
    <w:rsid w:val="00806F1C"/>
    <w:rsid w:val="00806FE6"/>
    <w:rsid w:val="00806FFF"/>
    <w:rsid w:val="00807116"/>
    <w:rsid w:val="00807256"/>
    <w:rsid w:val="00807301"/>
    <w:rsid w:val="008074C8"/>
    <w:rsid w:val="008076E8"/>
    <w:rsid w:val="0080772E"/>
    <w:rsid w:val="008077BC"/>
    <w:rsid w:val="00807834"/>
    <w:rsid w:val="00807871"/>
    <w:rsid w:val="008079F9"/>
    <w:rsid w:val="00807AB1"/>
    <w:rsid w:val="00807AEA"/>
    <w:rsid w:val="00807C06"/>
    <w:rsid w:val="00807DBF"/>
    <w:rsid w:val="00807EED"/>
    <w:rsid w:val="00807F13"/>
    <w:rsid w:val="00807FD4"/>
    <w:rsid w:val="008100E2"/>
    <w:rsid w:val="0081010F"/>
    <w:rsid w:val="00810591"/>
    <w:rsid w:val="0081072B"/>
    <w:rsid w:val="0081076B"/>
    <w:rsid w:val="00810895"/>
    <w:rsid w:val="00810898"/>
    <w:rsid w:val="00810A5C"/>
    <w:rsid w:val="00810D1D"/>
    <w:rsid w:val="00810D26"/>
    <w:rsid w:val="00810E04"/>
    <w:rsid w:val="00810EB2"/>
    <w:rsid w:val="00810FA6"/>
    <w:rsid w:val="0081104C"/>
    <w:rsid w:val="00811155"/>
    <w:rsid w:val="008111D0"/>
    <w:rsid w:val="00811238"/>
    <w:rsid w:val="008113E0"/>
    <w:rsid w:val="00811422"/>
    <w:rsid w:val="008114C3"/>
    <w:rsid w:val="008114C8"/>
    <w:rsid w:val="0081161C"/>
    <w:rsid w:val="00811632"/>
    <w:rsid w:val="008118CA"/>
    <w:rsid w:val="008119DD"/>
    <w:rsid w:val="008119FF"/>
    <w:rsid w:val="00811BB4"/>
    <w:rsid w:val="00811BBF"/>
    <w:rsid w:val="00811BCB"/>
    <w:rsid w:val="00811E28"/>
    <w:rsid w:val="00812006"/>
    <w:rsid w:val="008121C9"/>
    <w:rsid w:val="00812284"/>
    <w:rsid w:val="008125BC"/>
    <w:rsid w:val="008127F8"/>
    <w:rsid w:val="0081293E"/>
    <w:rsid w:val="00812A60"/>
    <w:rsid w:val="00812AD0"/>
    <w:rsid w:val="00812BDD"/>
    <w:rsid w:val="00812BFA"/>
    <w:rsid w:val="00812C03"/>
    <w:rsid w:val="00812C54"/>
    <w:rsid w:val="00812D25"/>
    <w:rsid w:val="00812D3F"/>
    <w:rsid w:val="00812E19"/>
    <w:rsid w:val="00812FA6"/>
    <w:rsid w:val="00812FFC"/>
    <w:rsid w:val="00813077"/>
    <w:rsid w:val="008130A7"/>
    <w:rsid w:val="008131F2"/>
    <w:rsid w:val="008132D9"/>
    <w:rsid w:val="00813385"/>
    <w:rsid w:val="0081353E"/>
    <w:rsid w:val="00813612"/>
    <w:rsid w:val="0081374D"/>
    <w:rsid w:val="00813760"/>
    <w:rsid w:val="0081376D"/>
    <w:rsid w:val="008137A0"/>
    <w:rsid w:val="008137B9"/>
    <w:rsid w:val="00813850"/>
    <w:rsid w:val="008138C4"/>
    <w:rsid w:val="00813A1F"/>
    <w:rsid w:val="00813A6B"/>
    <w:rsid w:val="00813A6F"/>
    <w:rsid w:val="00813C7F"/>
    <w:rsid w:val="00813CDF"/>
    <w:rsid w:val="00813D24"/>
    <w:rsid w:val="00813DBA"/>
    <w:rsid w:val="00813E54"/>
    <w:rsid w:val="00813E96"/>
    <w:rsid w:val="00814115"/>
    <w:rsid w:val="008143D2"/>
    <w:rsid w:val="008143F8"/>
    <w:rsid w:val="008144B2"/>
    <w:rsid w:val="00814518"/>
    <w:rsid w:val="00814558"/>
    <w:rsid w:val="008146A5"/>
    <w:rsid w:val="008146AF"/>
    <w:rsid w:val="008146F8"/>
    <w:rsid w:val="00814AF8"/>
    <w:rsid w:val="00814BAE"/>
    <w:rsid w:val="00814C4A"/>
    <w:rsid w:val="00814C91"/>
    <w:rsid w:val="00814CEE"/>
    <w:rsid w:val="00814E4A"/>
    <w:rsid w:val="00814EDC"/>
    <w:rsid w:val="00815250"/>
    <w:rsid w:val="008152FC"/>
    <w:rsid w:val="00815322"/>
    <w:rsid w:val="00815388"/>
    <w:rsid w:val="008153F0"/>
    <w:rsid w:val="00815465"/>
    <w:rsid w:val="0081558B"/>
    <w:rsid w:val="00815635"/>
    <w:rsid w:val="00815689"/>
    <w:rsid w:val="008156BC"/>
    <w:rsid w:val="008156D7"/>
    <w:rsid w:val="008157BE"/>
    <w:rsid w:val="008157E7"/>
    <w:rsid w:val="0081580F"/>
    <w:rsid w:val="00815A27"/>
    <w:rsid w:val="00815CD4"/>
    <w:rsid w:val="00815EAC"/>
    <w:rsid w:val="00815EB5"/>
    <w:rsid w:val="00815F52"/>
    <w:rsid w:val="00816006"/>
    <w:rsid w:val="0081622E"/>
    <w:rsid w:val="0081629F"/>
    <w:rsid w:val="008162E1"/>
    <w:rsid w:val="008162F1"/>
    <w:rsid w:val="008164C0"/>
    <w:rsid w:val="008165D9"/>
    <w:rsid w:val="0081674C"/>
    <w:rsid w:val="00816824"/>
    <w:rsid w:val="008168AB"/>
    <w:rsid w:val="00816966"/>
    <w:rsid w:val="00816A37"/>
    <w:rsid w:val="00816D4F"/>
    <w:rsid w:val="00816DD2"/>
    <w:rsid w:val="00816E83"/>
    <w:rsid w:val="00816EA8"/>
    <w:rsid w:val="00816F3F"/>
    <w:rsid w:val="00817057"/>
    <w:rsid w:val="0081717A"/>
    <w:rsid w:val="008171D1"/>
    <w:rsid w:val="008171DE"/>
    <w:rsid w:val="00817266"/>
    <w:rsid w:val="00817472"/>
    <w:rsid w:val="008178F5"/>
    <w:rsid w:val="00817950"/>
    <w:rsid w:val="008179B4"/>
    <w:rsid w:val="00817A2C"/>
    <w:rsid w:val="00817AC3"/>
    <w:rsid w:val="00817B29"/>
    <w:rsid w:val="00817BDC"/>
    <w:rsid w:val="00817E9A"/>
    <w:rsid w:val="008201D2"/>
    <w:rsid w:val="008202E4"/>
    <w:rsid w:val="008203A1"/>
    <w:rsid w:val="008203A6"/>
    <w:rsid w:val="008204F3"/>
    <w:rsid w:val="0082060A"/>
    <w:rsid w:val="008208E3"/>
    <w:rsid w:val="00820904"/>
    <w:rsid w:val="00820AE2"/>
    <w:rsid w:val="00820B08"/>
    <w:rsid w:val="00820D7D"/>
    <w:rsid w:val="00820F55"/>
    <w:rsid w:val="00820FBC"/>
    <w:rsid w:val="00821203"/>
    <w:rsid w:val="00821390"/>
    <w:rsid w:val="0082147E"/>
    <w:rsid w:val="008216C6"/>
    <w:rsid w:val="008216CE"/>
    <w:rsid w:val="008218A3"/>
    <w:rsid w:val="00821B52"/>
    <w:rsid w:val="00821B8D"/>
    <w:rsid w:val="00821CDA"/>
    <w:rsid w:val="00821CF5"/>
    <w:rsid w:val="00821D9B"/>
    <w:rsid w:val="00821FB9"/>
    <w:rsid w:val="00821FFC"/>
    <w:rsid w:val="00822230"/>
    <w:rsid w:val="0082261C"/>
    <w:rsid w:val="00822719"/>
    <w:rsid w:val="00822748"/>
    <w:rsid w:val="00822766"/>
    <w:rsid w:val="0082280D"/>
    <w:rsid w:val="00822812"/>
    <w:rsid w:val="0082282E"/>
    <w:rsid w:val="00822A6F"/>
    <w:rsid w:val="00822A74"/>
    <w:rsid w:val="00822B30"/>
    <w:rsid w:val="00822B4C"/>
    <w:rsid w:val="00822E8A"/>
    <w:rsid w:val="00822EA1"/>
    <w:rsid w:val="00823603"/>
    <w:rsid w:val="0082363B"/>
    <w:rsid w:val="008236B4"/>
    <w:rsid w:val="00823963"/>
    <w:rsid w:val="00823B75"/>
    <w:rsid w:val="00823C0B"/>
    <w:rsid w:val="00823D6F"/>
    <w:rsid w:val="00823E33"/>
    <w:rsid w:val="00823E99"/>
    <w:rsid w:val="00823EFF"/>
    <w:rsid w:val="0082409E"/>
    <w:rsid w:val="00824157"/>
    <w:rsid w:val="0082432B"/>
    <w:rsid w:val="008243B9"/>
    <w:rsid w:val="008243D9"/>
    <w:rsid w:val="00824498"/>
    <w:rsid w:val="008244B9"/>
    <w:rsid w:val="008245ED"/>
    <w:rsid w:val="0082462B"/>
    <w:rsid w:val="00824665"/>
    <w:rsid w:val="008246CB"/>
    <w:rsid w:val="00824718"/>
    <w:rsid w:val="008247B6"/>
    <w:rsid w:val="008248B0"/>
    <w:rsid w:val="00824A9C"/>
    <w:rsid w:val="00824C85"/>
    <w:rsid w:val="00824D8A"/>
    <w:rsid w:val="00824E3E"/>
    <w:rsid w:val="00824E7E"/>
    <w:rsid w:val="00824E8A"/>
    <w:rsid w:val="00825077"/>
    <w:rsid w:val="00825103"/>
    <w:rsid w:val="008252E0"/>
    <w:rsid w:val="00825453"/>
    <w:rsid w:val="00825598"/>
    <w:rsid w:val="00825782"/>
    <w:rsid w:val="00825846"/>
    <w:rsid w:val="008258C5"/>
    <w:rsid w:val="00825A47"/>
    <w:rsid w:val="00825AD2"/>
    <w:rsid w:val="00825BBC"/>
    <w:rsid w:val="00825E84"/>
    <w:rsid w:val="00825E8A"/>
    <w:rsid w:val="00825F22"/>
    <w:rsid w:val="00825F50"/>
    <w:rsid w:val="00825F96"/>
    <w:rsid w:val="00826068"/>
    <w:rsid w:val="00826377"/>
    <w:rsid w:val="008264D2"/>
    <w:rsid w:val="00826571"/>
    <w:rsid w:val="0082661C"/>
    <w:rsid w:val="00826707"/>
    <w:rsid w:val="008267D8"/>
    <w:rsid w:val="00826862"/>
    <w:rsid w:val="008269B9"/>
    <w:rsid w:val="008269C4"/>
    <w:rsid w:val="00826A8A"/>
    <w:rsid w:val="00826D89"/>
    <w:rsid w:val="00826DA1"/>
    <w:rsid w:val="00826F3C"/>
    <w:rsid w:val="00827027"/>
    <w:rsid w:val="00827102"/>
    <w:rsid w:val="0082715A"/>
    <w:rsid w:val="00827426"/>
    <w:rsid w:val="008274C0"/>
    <w:rsid w:val="00827544"/>
    <w:rsid w:val="008279C6"/>
    <w:rsid w:val="00827A50"/>
    <w:rsid w:val="00827B92"/>
    <w:rsid w:val="00827D83"/>
    <w:rsid w:val="00827D90"/>
    <w:rsid w:val="00827F35"/>
    <w:rsid w:val="008301E5"/>
    <w:rsid w:val="00830277"/>
    <w:rsid w:val="00830287"/>
    <w:rsid w:val="008302B0"/>
    <w:rsid w:val="008302BE"/>
    <w:rsid w:val="00830310"/>
    <w:rsid w:val="008303AF"/>
    <w:rsid w:val="008303D5"/>
    <w:rsid w:val="0083055D"/>
    <w:rsid w:val="00830636"/>
    <w:rsid w:val="00830642"/>
    <w:rsid w:val="00830678"/>
    <w:rsid w:val="00830681"/>
    <w:rsid w:val="008306BD"/>
    <w:rsid w:val="00830765"/>
    <w:rsid w:val="008307B3"/>
    <w:rsid w:val="00830803"/>
    <w:rsid w:val="00830A3A"/>
    <w:rsid w:val="00830BFD"/>
    <w:rsid w:val="00830C7A"/>
    <w:rsid w:val="00830D36"/>
    <w:rsid w:val="008310E9"/>
    <w:rsid w:val="00831193"/>
    <w:rsid w:val="00831207"/>
    <w:rsid w:val="0083124D"/>
    <w:rsid w:val="00831356"/>
    <w:rsid w:val="008314E5"/>
    <w:rsid w:val="00831601"/>
    <w:rsid w:val="008319E3"/>
    <w:rsid w:val="00831A43"/>
    <w:rsid w:val="00831A80"/>
    <w:rsid w:val="00831AF1"/>
    <w:rsid w:val="00831B1C"/>
    <w:rsid w:val="00831BAE"/>
    <w:rsid w:val="00831C15"/>
    <w:rsid w:val="00831C28"/>
    <w:rsid w:val="00831E99"/>
    <w:rsid w:val="00831F3B"/>
    <w:rsid w:val="00831F5C"/>
    <w:rsid w:val="00831FDB"/>
    <w:rsid w:val="00831FDC"/>
    <w:rsid w:val="0083208F"/>
    <w:rsid w:val="008321F6"/>
    <w:rsid w:val="0083221B"/>
    <w:rsid w:val="00832363"/>
    <w:rsid w:val="008323AE"/>
    <w:rsid w:val="00832429"/>
    <w:rsid w:val="00832793"/>
    <w:rsid w:val="00832887"/>
    <w:rsid w:val="00832918"/>
    <w:rsid w:val="0083293F"/>
    <w:rsid w:val="008329BA"/>
    <w:rsid w:val="00832A26"/>
    <w:rsid w:val="00832AAA"/>
    <w:rsid w:val="00832E83"/>
    <w:rsid w:val="00832F89"/>
    <w:rsid w:val="008330DC"/>
    <w:rsid w:val="0083318B"/>
    <w:rsid w:val="00833271"/>
    <w:rsid w:val="008334E5"/>
    <w:rsid w:val="008334F6"/>
    <w:rsid w:val="0083358D"/>
    <w:rsid w:val="00833625"/>
    <w:rsid w:val="00833687"/>
    <w:rsid w:val="00833743"/>
    <w:rsid w:val="008337AA"/>
    <w:rsid w:val="00833815"/>
    <w:rsid w:val="0083396F"/>
    <w:rsid w:val="008339B4"/>
    <w:rsid w:val="00833AF7"/>
    <w:rsid w:val="00833B11"/>
    <w:rsid w:val="00833B33"/>
    <w:rsid w:val="00833C3B"/>
    <w:rsid w:val="00833F93"/>
    <w:rsid w:val="008340A4"/>
    <w:rsid w:val="008340FE"/>
    <w:rsid w:val="00834100"/>
    <w:rsid w:val="0083416F"/>
    <w:rsid w:val="008342D5"/>
    <w:rsid w:val="008342FD"/>
    <w:rsid w:val="00834507"/>
    <w:rsid w:val="00834565"/>
    <w:rsid w:val="008345BA"/>
    <w:rsid w:val="008345CC"/>
    <w:rsid w:val="00834897"/>
    <w:rsid w:val="008348CC"/>
    <w:rsid w:val="00834912"/>
    <w:rsid w:val="008349F9"/>
    <w:rsid w:val="00834AB4"/>
    <w:rsid w:val="00834B43"/>
    <w:rsid w:val="00834B7D"/>
    <w:rsid w:val="00834B8C"/>
    <w:rsid w:val="00834C62"/>
    <w:rsid w:val="00834CBB"/>
    <w:rsid w:val="00834DC1"/>
    <w:rsid w:val="008350CB"/>
    <w:rsid w:val="0083525F"/>
    <w:rsid w:val="00835298"/>
    <w:rsid w:val="008353A9"/>
    <w:rsid w:val="00835422"/>
    <w:rsid w:val="008354B2"/>
    <w:rsid w:val="008354EF"/>
    <w:rsid w:val="00835610"/>
    <w:rsid w:val="00835664"/>
    <w:rsid w:val="008357E6"/>
    <w:rsid w:val="0083599A"/>
    <w:rsid w:val="008359E0"/>
    <w:rsid w:val="008359F4"/>
    <w:rsid w:val="00835A38"/>
    <w:rsid w:val="00835AA6"/>
    <w:rsid w:val="00835AA8"/>
    <w:rsid w:val="00835B43"/>
    <w:rsid w:val="00835C4C"/>
    <w:rsid w:val="00835D01"/>
    <w:rsid w:val="00835DAD"/>
    <w:rsid w:val="00835E12"/>
    <w:rsid w:val="00835E89"/>
    <w:rsid w:val="00836036"/>
    <w:rsid w:val="008360DC"/>
    <w:rsid w:val="008361ED"/>
    <w:rsid w:val="008367E2"/>
    <w:rsid w:val="0083680E"/>
    <w:rsid w:val="00836938"/>
    <w:rsid w:val="00836949"/>
    <w:rsid w:val="00836A04"/>
    <w:rsid w:val="00836B4B"/>
    <w:rsid w:val="00836B60"/>
    <w:rsid w:val="00836BA4"/>
    <w:rsid w:val="00836C26"/>
    <w:rsid w:val="00836E89"/>
    <w:rsid w:val="00837002"/>
    <w:rsid w:val="00837147"/>
    <w:rsid w:val="00837163"/>
    <w:rsid w:val="008371DC"/>
    <w:rsid w:val="008372D1"/>
    <w:rsid w:val="00837686"/>
    <w:rsid w:val="008376C0"/>
    <w:rsid w:val="00837756"/>
    <w:rsid w:val="00837831"/>
    <w:rsid w:val="00837863"/>
    <w:rsid w:val="00837938"/>
    <w:rsid w:val="00837950"/>
    <w:rsid w:val="00837974"/>
    <w:rsid w:val="008379D7"/>
    <w:rsid w:val="00837A71"/>
    <w:rsid w:val="00837B07"/>
    <w:rsid w:val="00837BC6"/>
    <w:rsid w:val="00837BEC"/>
    <w:rsid w:val="00837D0A"/>
    <w:rsid w:val="00837E93"/>
    <w:rsid w:val="00837F1D"/>
    <w:rsid w:val="0084014F"/>
    <w:rsid w:val="00840151"/>
    <w:rsid w:val="008404CF"/>
    <w:rsid w:val="00840569"/>
    <w:rsid w:val="00840D21"/>
    <w:rsid w:val="00840D81"/>
    <w:rsid w:val="00840DDA"/>
    <w:rsid w:val="008410CC"/>
    <w:rsid w:val="00841240"/>
    <w:rsid w:val="0084137C"/>
    <w:rsid w:val="00841714"/>
    <w:rsid w:val="008417BD"/>
    <w:rsid w:val="0084187A"/>
    <w:rsid w:val="0084189E"/>
    <w:rsid w:val="008419E4"/>
    <w:rsid w:val="00841AC2"/>
    <w:rsid w:val="00841C19"/>
    <w:rsid w:val="00841EB8"/>
    <w:rsid w:val="00841EEC"/>
    <w:rsid w:val="00841F9F"/>
    <w:rsid w:val="00841FB9"/>
    <w:rsid w:val="00842018"/>
    <w:rsid w:val="00842298"/>
    <w:rsid w:val="008422F0"/>
    <w:rsid w:val="00842347"/>
    <w:rsid w:val="00842360"/>
    <w:rsid w:val="008423BA"/>
    <w:rsid w:val="008425E9"/>
    <w:rsid w:val="00842828"/>
    <w:rsid w:val="00842A3A"/>
    <w:rsid w:val="00842A9D"/>
    <w:rsid w:val="00842AE1"/>
    <w:rsid w:val="00842B48"/>
    <w:rsid w:val="00842D0D"/>
    <w:rsid w:val="00842DF1"/>
    <w:rsid w:val="00842E2D"/>
    <w:rsid w:val="00842E2F"/>
    <w:rsid w:val="00842F7C"/>
    <w:rsid w:val="008430CA"/>
    <w:rsid w:val="00843120"/>
    <w:rsid w:val="00843279"/>
    <w:rsid w:val="0084340F"/>
    <w:rsid w:val="0084349E"/>
    <w:rsid w:val="008434B0"/>
    <w:rsid w:val="00843553"/>
    <w:rsid w:val="008435BF"/>
    <w:rsid w:val="008436AF"/>
    <w:rsid w:val="008436D9"/>
    <w:rsid w:val="008437DC"/>
    <w:rsid w:val="0084382A"/>
    <w:rsid w:val="008438F7"/>
    <w:rsid w:val="00843A66"/>
    <w:rsid w:val="00843ADD"/>
    <w:rsid w:val="00843CD9"/>
    <w:rsid w:val="00843E2E"/>
    <w:rsid w:val="00843E41"/>
    <w:rsid w:val="00843E46"/>
    <w:rsid w:val="00843F15"/>
    <w:rsid w:val="00844194"/>
    <w:rsid w:val="0084421E"/>
    <w:rsid w:val="008443A2"/>
    <w:rsid w:val="0084448F"/>
    <w:rsid w:val="00844515"/>
    <w:rsid w:val="00844663"/>
    <w:rsid w:val="00844705"/>
    <w:rsid w:val="00844808"/>
    <w:rsid w:val="00844892"/>
    <w:rsid w:val="008448CA"/>
    <w:rsid w:val="00844B7A"/>
    <w:rsid w:val="00844C8D"/>
    <w:rsid w:val="00844CC7"/>
    <w:rsid w:val="00844E34"/>
    <w:rsid w:val="00844E51"/>
    <w:rsid w:val="00844EAD"/>
    <w:rsid w:val="00844F01"/>
    <w:rsid w:val="008450E8"/>
    <w:rsid w:val="0084514E"/>
    <w:rsid w:val="00845150"/>
    <w:rsid w:val="008453E9"/>
    <w:rsid w:val="0084560D"/>
    <w:rsid w:val="00845699"/>
    <w:rsid w:val="0084570B"/>
    <w:rsid w:val="008457CB"/>
    <w:rsid w:val="0084590F"/>
    <w:rsid w:val="00845A05"/>
    <w:rsid w:val="00845A1F"/>
    <w:rsid w:val="00845C6E"/>
    <w:rsid w:val="00845CD8"/>
    <w:rsid w:val="00845FE3"/>
    <w:rsid w:val="008464E1"/>
    <w:rsid w:val="0084661F"/>
    <w:rsid w:val="00846682"/>
    <w:rsid w:val="00846767"/>
    <w:rsid w:val="008467C5"/>
    <w:rsid w:val="00846879"/>
    <w:rsid w:val="00846A47"/>
    <w:rsid w:val="00846B9C"/>
    <w:rsid w:val="00846BC0"/>
    <w:rsid w:val="00846F42"/>
    <w:rsid w:val="00847067"/>
    <w:rsid w:val="008470D3"/>
    <w:rsid w:val="00847340"/>
    <w:rsid w:val="0084740B"/>
    <w:rsid w:val="008474E2"/>
    <w:rsid w:val="00847574"/>
    <w:rsid w:val="00847659"/>
    <w:rsid w:val="00847896"/>
    <w:rsid w:val="00847B4F"/>
    <w:rsid w:val="00847BA5"/>
    <w:rsid w:val="00847D74"/>
    <w:rsid w:val="00847EDA"/>
    <w:rsid w:val="00847F52"/>
    <w:rsid w:val="00850198"/>
    <w:rsid w:val="008502B1"/>
    <w:rsid w:val="0085049D"/>
    <w:rsid w:val="00850558"/>
    <w:rsid w:val="008508FD"/>
    <w:rsid w:val="00850979"/>
    <w:rsid w:val="008509D6"/>
    <w:rsid w:val="00850A6A"/>
    <w:rsid w:val="00850A91"/>
    <w:rsid w:val="00850AC0"/>
    <w:rsid w:val="00850C32"/>
    <w:rsid w:val="00850C4D"/>
    <w:rsid w:val="00850D02"/>
    <w:rsid w:val="00850D5C"/>
    <w:rsid w:val="00850F37"/>
    <w:rsid w:val="00850FB2"/>
    <w:rsid w:val="00851179"/>
    <w:rsid w:val="008511F7"/>
    <w:rsid w:val="00851273"/>
    <w:rsid w:val="00851291"/>
    <w:rsid w:val="00851355"/>
    <w:rsid w:val="0085142D"/>
    <w:rsid w:val="008514B2"/>
    <w:rsid w:val="00851671"/>
    <w:rsid w:val="00851725"/>
    <w:rsid w:val="0085179F"/>
    <w:rsid w:val="008517C7"/>
    <w:rsid w:val="008519B2"/>
    <w:rsid w:val="00851C0E"/>
    <w:rsid w:val="00851C99"/>
    <w:rsid w:val="00851CF6"/>
    <w:rsid w:val="00851F79"/>
    <w:rsid w:val="00852014"/>
    <w:rsid w:val="0085222F"/>
    <w:rsid w:val="00852268"/>
    <w:rsid w:val="00852576"/>
    <w:rsid w:val="0085266B"/>
    <w:rsid w:val="00852906"/>
    <w:rsid w:val="00852911"/>
    <w:rsid w:val="00852A16"/>
    <w:rsid w:val="00852B25"/>
    <w:rsid w:val="00852C11"/>
    <w:rsid w:val="00852D6D"/>
    <w:rsid w:val="00853134"/>
    <w:rsid w:val="0085318C"/>
    <w:rsid w:val="00853193"/>
    <w:rsid w:val="00853194"/>
    <w:rsid w:val="0085325D"/>
    <w:rsid w:val="0085329E"/>
    <w:rsid w:val="00853343"/>
    <w:rsid w:val="00853384"/>
    <w:rsid w:val="00853433"/>
    <w:rsid w:val="00853525"/>
    <w:rsid w:val="0085358A"/>
    <w:rsid w:val="0085363E"/>
    <w:rsid w:val="00853781"/>
    <w:rsid w:val="008537C0"/>
    <w:rsid w:val="0085382F"/>
    <w:rsid w:val="00853B5B"/>
    <w:rsid w:val="00853D3A"/>
    <w:rsid w:val="00853DAC"/>
    <w:rsid w:val="00853F56"/>
    <w:rsid w:val="00853FC0"/>
    <w:rsid w:val="00854123"/>
    <w:rsid w:val="0085422C"/>
    <w:rsid w:val="00854241"/>
    <w:rsid w:val="008543FA"/>
    <w:rsid w:val="0085444B"/>
    <w:rsid w:val="0085458C"/>
    <w:rsid w:val="008545D0"/>
    <w:rsid w:val="00854646"/>
    <w:rsid w:val="008546CD"/>
    <w:rsid w:val="00854748"/>
    <w:rsid w:val="008547E5"/>
    <w:rsid w:val="00854ABD"/>
    <w:rsid w:val="00854AEA"/>
    <w:rsid w:val="00854C8A"/>
    <w:rsid w:val="00854DC8"/>
    <w:rsid w:val="00854EA3"/>
    <w:rsid w:val="00854F7C"/>
    <w:rsid w:val="00855114"/>
    <w:rsid w:val="008553B5"/>
    <w:rsid w:val="008553FC"/>
    <w:rsid w:val="00855464"/>
    <w:rsid w:val="008557AF"/>
    <w:rsid w:val="008557D3"/>
    <w:rsid w:val="008558D6"/>
    <w:rsid w:val="008559B8"/>
    <w:rsid w:val="00855D48"/>
    <w:rsid w:val="00855E14"/>
    <w:rsid w:val="008560B5"/>
    <w:rsid w:val="0085613E"/>
    <w:rsid w:val="00856232"/>
    <w:rsid w:val="00856293"/>
    <w:rsid w:val="0085642A"/>
    <w:rsid w:val="00856654"/>
    <w:rsid w:val="0085666C"/>
    <w:rsid w:val="00856703"/>
    <w:rsid w:val="008567B2"/>
    <w:rsid w:val="008567E4"/>
    <w:rsid w:val="0085686F"/>
    <w:rsid w:val="00856909"/>
    <w:rsid w:val="0085690F"/>
    <w:rsid w:val="00856A76"/>
    <w:rsid w:val="00856B35"/>
    <w:rsid w:val="00856B49"/>
    <w:rsid w:val="00856B86"/>
    <w:rsid w:val="00856CBA"/>
    <w:rsid w:val="00856CDC"/>
    <w:rsid w:val="00856D9D"/>
    <w:rsid w:val="00856ED8"/>
    <w:rsid w:val="00856F29"/>
    <w:rsid w:val="00856F98"/>
    <w:rsid w:val="00856FA5"/>
    <w:rsid w:val="00857094"/>
    <w:rsid w:val="008571CF"/>
    <w:rsid w:val="008572A1"/>
    <w:rsid w:val="00857584"/>
    <w:rsid w:val="00857645"/>
    <w:rsid w:val="00857767"/>
    <w:rsid w:val="008578E0"/>
    <w:rsid w:val="008578FA"/>
    <w:rsid w:val="0085796B"/>
    <w:rsid w:val="00857A31"/>
    <w:rsid w:val="00857B9C"/>
    <w:rsid w:val="00857D06"/>
    <w:rsid w:val="00857DAA"/>
    <w:rsid w:val="00860078"/>
    <w:rsid w:val="008601E8"/>
    <w:rsid w:val="00860332"/>
    <w:rsid w:val="0086037C"/>
    <w:rsid w:val="008604D1"/>
    <w:rsid w:val="00860657"/>
    <w:rsid w:val="0086065C"/>
    <w:rsid w:val="0086065D"/>
    <w:rsid w:val="00860693"/>
    <w:rsid w:val="00860894"/>
    <w:rsid w:val="008608D1"/>
    <w:rsid w:val="00860CC6"/>
    <w:rsid w:val="00860D55"/>
    <w:rsid w:val="00860ECE"/>
    <w:rsid w:val="00860F4C"/>
    <w:rsid w:val="008612AB"/>
    <w:rsid w:val="008612B2"/>
    <w:rsid w:val="008612CB"/>
    <w:rsid w:val="00861406"/>
    <w:rsid w:val="00861649"/>
    <w:rsid w:val="00861663"/>
    <w:rsid w:val="00861A21"/>
    <w:rsid w:val="00861A6A"/>
    <w:rsid w:val="00861ADF"/>
    <w:rsid w:val="00861E77"/>
    <w:rsid w:val="00861E8D"/>
    <w:rsid w:val="00861EBD"/>
    <w:rsid w:val="00861F45"/>
    <w:rsid w:val="00861F8B"/>
    <w:rsid w:val="00861FEB"/>
    <w:rsid w:val="00862066"/>
    <w:rsid w:val="0086213E"/>
    <w:rsid w:val="00862245"/>
    <w:rsid w:val="0086226A"/>
    <w:rsid w:val="0086227B"/>
    <w:rsid w:val="008623B1"/>
    <w:rsid w:val="00862607"/>
    <w:rsid w:val="00862775"/>
    <w:rsid w:val="00862784"/>
    <w:rsid w:val="00862A38"/>
    <w:rsid w:val="00862A4D"/>
    <w:rsid w:val="00862A65"/>
    <w:rsid w:val="00862AC8"/>
    <w:rsid w:val="00862B93"/>
    <w:rsid w:val="00862C52"/>
    <w:rsid w:val="00862D56"/>
    <w:rsid w:val="00862DA0"/>
    <w:rsid w:val="00862F35"/>
    <w:rsid w:val="00862F6F"/>
    <w:rsid w:val="00863204"/>
    <w:rsid w:val="008633EC"/>
    <w:rsid w:val="00863433"/>
    <w:rsid w:val="0086351E"/>
    <w:rsid w:val="008637A8"/>
    <w:rsid w:val="00863931"/>
    <w:rsid w:val="0086399D"/>
    <w:rsid w:val="008639A8"/>
    <w:rsid w:val="00863B6A"/>
    <w:rsid w:val="00863C83"/>
    <w:rsid w:val="00863C89"/>
    <w:rsid w:val="00863CAE"/>
    <w:rsid w:val="00863CB2"/>
    <w:rsid w:val="00863DB3"/>
    <w:rsid w:val="00863E56"/>
    <w:rsid w:val="00863E8F"/>
    <w:rsid w:val="00863FCD"/>
    <w:rsid w:val="008640F3"/>
    <w:rsid w:val="008643F9"/>
    <w:rsid w:val="00864481"/>
    <w:rsid w:val="0086448E"/>
    <w:rsid w:val="008644D6"/>
    <w:rsid w:val="008645A7"/>
    <w:rsid w:val="0086470C"/>
    <w:rsid w:val="0086487C"/>
    <w:rsid w:val="0086487E"/>
    <w:rsid w:val="008648A5"/>
    <w:rsid w:val="008648BA"/>
    <w:rsid w:val="008649B3"/>
    <w:rsid w:val="00864B09"/>
    <w:rsid w:val="00864B54"/>
    <w:rsid w:val="00864D72"/>
    <w:rsid w:val="00864E85"/>
    <w:rsid w:val="00864F0C"/>
    <w:rsid w:val="00865071"/>
    <w:rsid w:val="00865273"/>
    <w:rsid w:val="00865338"/>
    <w:rsid w:val="00865560"/>
    <w:rsid w:val="00865644"/>
    <w:rsid w:val="008656B9"/>
    <w:rsid w:val="008656F5"/>
    <w:rsid w:val="0086572B"/>
    <w:rsid w:val="00865948"/>
    <w:rsid w:val="00865982"/>
    <w:rsid w:val="00865A54"/>
    <w:rsid w:val="00865AB5"/>
    <w:rsid w:val="00865B34"/>
    <w:rsid w:val="00865FF2"/>
    <w:rsid w:val="0086609D"/>
    <w:rsid w:val="00866109"/>
    <w:rsid w:val="00866185"/>
    <w:rsid w:val="008661A4"/>
    <w:rsid w:val="008662EE"/>
    <w:rsid w:val="00866436"/>
    <w:rsid w:val="0086659A"/>
    <w:rsid w:val="00866849"/>
    <w:rsid w:val="00866A24"/>
    <w:rsid w:val="00866D63"/>
    <w:rsid w:val="00866DA0"/>
    <w:rsid w:val="00866E5E"/>
    <w:rsid w:val="00866F21"/>
    <w:rsid w:val="00866FCE"/>
    <w:rsid w:val="008670A3"/>
    <w:rsid w:val="00867204"/>
    <w:rsid w:val="00867242"/>
    <w:rsid w:val="008672C8"/>
    <w:rsid w:val="008673B9"/>
    <w:rsid w:val="00867418"/>
    <w:rsid w:val="00867439"/>
    <w:rsid w:val="0086753B"/>
    <w:rsid w:val="00867593"/>
    <w:rsid w:val="00867598"/>
    <w:rsid w:val="00867723"/>
    <w:rsid w:val="00867734"/>
    <w:rsid w:val="0086791B"/>
    <w:rsid w:val="00867B90"/>
    <w:rsid w:val="00867BE4"/>
    <w:rsid w:val="00867C4F"/>
    <w:rsid w:val="00867CF6"/>
    <w:rsid w:val="00867D13"/>
    <w:rsid w:val="00867DA5"/>
    <w:rsid w:val="00870133"/>
    <w:rsid w:val="0087033C"/>
    <w:rsid w:val="008703D1"/>
    <w:rsid w:val="008706EE"/>
    <w:rsid w:val="0087074A"/>
    <w:rsid w:val="008707D9"/>
    <w:rsid w:val="00870BBC"/>
    <w:rsid w:val="00870BC1"/>
    <w:rsid w:val="00870C68"/>
    <w:rsid w:val="00870F00"/>
    <w:rsid w:val="00870FEB"/>
    <w:rsid w:val="00870FEC"/>
    <w:rsid w:val="00871011"/>
    <w:rsid w:val="008711A0"/>
    <w:rsid w:val="0087135F"/>
    <w:rsid w:val="008714C6"/>
    <w:rsid w:val="00871506"/>
    <w:rsid w:val="00871529"/>
    <w:rsid w:val="00871635"/>
    <w:rsid w:val="00871845"/>
    <w:rsid w:val="0087187E"/>
    <w:rsid w:val="00871AB4"/>
    <w:rsid w:val="00871AF4"/>
    <w:rsid w:val="00871B61"/>
    <w:rsid w:val="00871BB7"/>
    <w:rsid w:val="00871CB2"/>
    <w:rsid w:val="00871CCB"/>
    <w:rsid w:val="00871F81"/>
    <w:rsid w:val="00871FC6"/>
    <w:rsid w:val="00872025"/>
    <w:rsid w:val="00872038"/>
    <w:rsid w:val="00872121"/>
    <w:rsid w:val="00872131"/>
    <w:rsid w:val="008721EC"/>
    <w:rsid w:val="00872219"/>
    <w:rsid w:val="0087221E"/>
    <w:rsid w:val="008723C7"/>
    <w:rsid w:val="008723D2"/>
    <w:rsid w:val="008724DA"/>
    <w:rsid w:val="0087276A"/>
    <w:rsid w:val="0087279E"/>
    <w:rsid w:val="008727BD"/>
    <w:rsid w:val="008727D4"/>
    <w:rsid w:val="008727F6"/>
    <w:rsid w:val="008728A0"/>
    <w:rsid w:val="00872958"/>
    <w:rsid w:val="00872A5E"/>
    <w:rsid w:val="00872BB1"/>
    <w:rsid w:val="00872D4C"/>
    <w:rsid w:val="00872D94"/>
    <w:rsid w:val="00872F31"/>
    <w:rsid w:val="00872F32"/>
    <w:rsid w:val="0087308A"/>
    <w:rsid w:val="008730D3"/>
    <w:rsid w:val="00873485"/>
    <w:rsid w:val="008735E0"/>
    <w:rsid w:val="00873851"/>
    <w:rsid w:val="0087388A"/>
    <w:rsid w:val="008738D4"/>
    <w:rsid w:val="008738F5"/>
    <w:rsid w:val="00873908"/>
    <w:rsid w:val="00873A3C"/>
    <w:rsid w:val="00873AD2"/>
    <w:rsid w:val="00873AF5"/>
    <w:rsid w:val="00873E2A"/>
    <w:rsid w:val="00873EBA"/>
    <w:rsid w:val="00873FA1"/>
    <w:rsid w:val="0087400B"/>
    <w:rsid w:val="00874057"/>
    <w:rsid w:val="008740F9"/>
    <w:rsid w:val="008741E1"/>
    <w:rsid w:val="00874254"/>
    <w:rsid w:val="00874365"/>
    <w:rsid w:val="0087445B"/>
    <w:rsid w:val="008744AE"/>
    <w:rsid w:val="008745E9"/>
    <w:rsid w:val="00874701"/>
    <w:rsid w:val="0087481E"/>
    <w:rsid w:val="00874A25"/>
    <w:rsid w:val="00874AC7"/>
    <w:rsid w:val="00874CF4"/>
    <w:rsid w:val="00874D00"/>
    <w:rsid w:val="00874E5D"/>
    <w:rsid w:val="00874F1D"/>
    <w:rsid w:val="00874F33"/>
    <w:rsid w:val="00874F5A"/>
    <w:rsid w:val="00874F9E"/>
    <w:rsid w:val="00875006"/>
    <w:rsid w:val="00875028"/>
    <w:rsid w:val="00875102"/>
    <w:rsid w:val="00875158"/>
    <w:rsid w:val="0087533C"/>
    <w:rsid w:val="008753A1"/>
    <w:rsid w:val="0087548C"/>
    <w:rsid w:val="0087553D"/>
    <w:rsid w:val="00875548"/>
    <w:rsid w:val="00875597"/>
    <w:rsid w:val="00875611"/>
    <w:rsid w:val="008756EE"/>
    <w:rsid w:val="00875996"/>
    <w:rsid w:val="00875ADB"/>
    <w:rsid w:val="00875B1D"/>
    <w:rsid w:val="00875CE5"/>
    <w:rsid w:val="00875D0E"/>
    <w:rsid w:val="00875DC8"/>
    <w:rsid w:val="00875E89"/>
    <w:rsid w:val="00875FF5"/>
    <w:rsid w:val="0087612B"/>
    <w:rsid w:val="0087627D"/>
    <w:rsid w:val="008762D4"/>
    <w:rsid w:val="0087646D"/>
    <w:rsid w:val="00876591"/>
    <w:rsid w:val="008765E2"/>
    <w:rsid w:val="0087672D"/>
    <w:rsid w:val="008768A7"/>
    <w:rsid w:val="008768C6"/>
    <w:rsid w:val="008768D6"/>
    <w:rsid w:val="008769D0"/>
    <w:rsid w:val="00876B8B"/>
    <w:rsid w:val="00876E1E"/>
    <w:rsid w:val="00876EC1"/>
    <w:rsid w:val="00876EE3"/>
    <w:rsid w:val="00876F9D"/>
    <w:rsid w:val="00876FB3"/>
    <w:rsid w:val="00877087"/>
    <w:rsid w:val="008770BB"/>
    <w:rsid w:val="0087729F"/>
    <w:rsid w:val="00877695"/>
    <w:rsid w:val="008777D4"/>
    <w:rsid w:val="00877811"/>
    <w:rsid w:val="0087781F"/>
    <w:rsid w:val="00877837"/>
    <w:rsid w:val="008778C0"/>
    <w:rsid w:val="00877A11"/>
    <w:rsid w:val="00877AF8"/>
    <w:rsid w:val="00877C0F"/>
    <w:rsid w:val="00877C5E"/>
    <w:rsid w:val="00877CBC"/>
    <w:rsid w:val="00877D3F"/>
    <w:rsid w:val="00877DCF"/>
    <w:rsid w:val="00877E0B"/>
    <w:rsid w:val="00877EE3"/>
    <w:rsid w:val="00877F69"/>
    <w:rsid w:val="008800A3"/>
    <w:rsid w:val="008802BB"/>
    <w:rsid w:val="00880364"/>
    <w:rsid w:val="00880581"/>
    <w:rsid w:val="00880666"/>
    <w:rsid w:val="008806F6"/>
    <w:rsid w:val="008808E9"/>
    <w:rsid w:val="00880A2E"/>
    <w:rsid w:val="00880ACD"/>
    <w:rsid w:val="00880AD9"/>
    <w:rsid w:val="00880D1A"/>
    <w:rsid w:val="00880E53"/>
    <w:rsid w:val="00880E68"/>
    <w:rsid w:val="00880F4B"/>
    <w:rsid w:val="00881137"/>
    <w:rsid w:val="008811D6"/>
    <w:rsid w:val="0088124F"/>
    <w:rsid w:val="008813C8"/>
    <w:rsid w:val="00881404"/>
    <w:rsid w:val="0088144E"/>
    <w:rsid w:val="008814D0"/>
    <w:rsid w:val="008817B0"/>
    <w:rsid w:val="008818AD"/>
    <w:rsid w:val="00881AC3"/>
    <w:rsid w:val="00881B15"/>
    <w:rsid w:val="00881B91"/>
    <w:rsid w:val="00881EAA"/>
    <w:rsid w:val="00881F5A"/>
    <w:rsid w:val="00881FD0"/>
    <w:rsid w:val="00882068"/>
    <w:rsid w:val="0088208B"/>
    <w:rsid w:val="0088215B"/>
    <w:rsid w:val="0088216A"/>
    <w:rsid w:val="008821EF"/>
    <w:rsid w:val="008821F5"/>
    <w:rsid w:val="008822E0"/>
    <w:rsid w:val="00882410"/>
    <w:rsid w:val="008824F3"/>
    <w:rsid w:val="008826D1"/>
    <w:rsid w:val="00882865"/>
    <w:rsid w:val="00882902"/>
    <w:rsid w:val="00882A3A"/>
    <w:rsid w:val="00882BD7"/>
    <w:rsid w:val="00882D3E"/>
    <w:rsid w:val="00882E23"/>
    <w:rsid w:val="00882FA3"/>
    <w:rsid w:val="00882FF8"/>
    <w:rsid w:val="008831F7"/>
    <w:rsid w:val="00883312"/>
    <w:rsid w:val="008835C3"/>
    <w:rsid w:val="00883605"/>
    <w:rsid w:val="00883725"/>
    <w:rsid w:val="00883788"/>
    <w:rsid w:val="00883797"/>
    <w:rsid w:val="00883A1A"/>
    <w:rsid w:val="00883BC4"/>
    <w:rsid w:val="00883D82"/>
    <w:rsid w:val="00883DC4"/>
    <w:rsid w:val="00883FFF"/>
    <w:rsid w:val="00884092"/>
    <w:rsid w:val="008840EF"/>
    <w:rsid w:val="0088414A"/>
    <w:rsid w:val="008841B8"/>
    <w:rsid w:val="00884258"/>
    <w:rsid w:val="008842A3"/>
    <w:rsid w:val="0088436C"/>
    <w:rsid w:val="00884454"/>
    <w:rsid w:val="008846DD"/>
    <w:rsid w:val="008847E4"/>
    <w:rsid w:val="00884A90"/>
    <w:rsid w:val="00884AD9"/>
    <w:rsid w:val="00884C4A"/>
    <w:rsid w:val="00884CF6"/>
    <w:rsid w:val="00884E02"/>
    <w:rsid w:val="00884E47"/>
    <w:rsid w:val="00884EB2"/>
    <w:rsid w:val="00884F9E"/>
    <w:rsid w:val="00885173"/>
    <w:rsid w:val="008854AF"/>
    <w:rsid w:val="00885637"/>
    <w:rsid w:val="008857EA"/>
    <w:rsid w:val="0088596F"/>
    <w:rsid w:val="008859B0"/>
    <w:rsid w:val="00885A04"/>
    <w:rsid w:val="00885A0F"/>
    <w:rsid w:val="00885A9A"/>
    <w:rsid w:val="00885D0F"/>
    <w:rsid w:val="00885FDF"/>
    <w:rsid w:val="00886267"/>
    <w:rsid w:val="00886276"/>
    <w:rsid w:val="00886312"/>
    <w:rsid w:val="0088643E"/>
    <w:rsid w:val="00886577"/>
    <w:rsid w:val="0088664D"/>
    <w:rsid w:val="00886663"/>
    <w:rsid w:val="0088669C"/>
    <w:rsid w:val="00886830"/>
    <w:rsid w:val="008868E5"/>
    <w:rsid w:val="00886922"/>
    <w:rsid w:val="00886A15"/>
    <w:rsid w:val="00886A47"/>
    <w:rsid w:val="00886ABC"/>
    <w:rsid w:val="00886AE9"/>
    <w:rsid w:val="00886B65"/>
    <w:rsid w:val="00886C0E"/>
    <w:rsid w:val="00886C7D"/>
    <w:rsid w:val="00886DFE"/>
    <w:rsid w:val="00886E0F"/>
    <w:rsid w:val="00886E8C"/>
    <w:rsid w:val="00886FC0"/>
    <w:rsid w:val="00886FCB"/>
    <w:rsid w:val="008870FA"/>
    <w:rsid w:val="0088710E"/>
    <w:rsid w:val="00887346"/>
    <w:rsid w:val="008873FD"/>
    <w:rsid w:val="00887443"/>
    <w:rsid w:val="00887478"/>
    <w:rsid w:val="00887552"/>
    <w:rsid w:val="00887716"/>
    <w:rsid w:val="00887791"/>
    <w:rsid w:val="0088786F"/>
    <w:rsid w:val="0088789B"/>
    <w:rsid w:val="0088798F"/>
    <w:rsid w:val="008879CD"/>
    <w:rsid w:val="00887A6F"/>
    <w:rsid w:val="00887A99"/>
    <w:rsid w:val="00887AB8"/>
    <w:rsid w:val="00887B5F"/>
    <w:rsid w:val="00887CB1"/>
    <w:rsid w:val="00887E6C"/>
    <w:rsid w:val="00887FBB"/>
    <w:rsid w:val="00887FF1"/>
    <w:rsid w:val="008900C0"/>
    <w:rsid w:val="0089011C"/>
    <w:rsid w:val="00890182"/>
    <w:rsid w:val="00890206"/>
    <w:rsid w:val="0089021E"/>
    <w:rsid w:val="00890240"/>
    <w:rsid w:val="008903BC"/>
    <w:rsid w:val="008903D5"/>
    <w:rsid w:val="008906C5"/>
    <w:rsid w:val="008907A5"/>
    <w:rsid w:val="008907E4"/>
    <w:rsid w:val="0089085B"/>
    <w:rsid w:val="008909BD"/>
    <w:rsid w:val="00890A91"/>
    <w:rsid w:val="00890AF7"/>
    <w:rsid w:val="00890B46"/>
    <w:rsid w:val="00890BD6"/>
    <w:rsid w:val="00890BFA"/>
    <w:rsid w:val="00890C50"/>
    <w:rsid w:val="00890C93"/>
    <w:rsid w:val="00890FCB"/>
    <w:rsid w:val="00891047"/>
    <w:rsid w:val="008910DF"/>
    <w:rsid w:val="008911A8"/>
    <w:rsid w:val="008913E2"/>
    <w:rsid w:val="0089140B"/>
    <w:rsid w:val="00891412"/>
    <w:rsid w:val="00891503"/>
    <w:rsid w:val="00891592"/>
    <w:rsid w:val="00891614"/>
    <w:rsid w:val="00891981"/>
    <w:rsid w:val="008919C3"/>
    <w:rsid w:val="00891ACC"/>
    <w:rsid w:val="00891DAA"/>
    <w:rsid w:val="00891DF5"/>
    <w:rsid w:val="00891DF7"/>
    <w:rsid w:val="00891E31"/>
    <w:rsid w:val="00891E75"/>
    <w:rsid w:val="00891E9E"/>
    <w:rsid w:val="00891EDE"/>
    <w:rsid w:val="00891EDF"/>
    <w:rsid w:val="00891FCA"/>
    <w:rsid w:val="0089218B"/>
    <w:rsid w:val="008923FF"/>
    <w:rsid w:val="008924B8"/>
    <w:rsid w:val="00892578"/>
    <w:rsid w:val="00892615"/>
    <w:rsid w:val="008927D5"/>
    <w:rsid w:val="0089294D"/>
    <w:rsid w:val="00892CE4"/>
    <w:rsid w:val="00893140"/>
    <w:rsid w:val="0089320D"/>
    <w:rsid w:val="00893265"/>
    <w:rsid w:val="00893305"/>
    <w:rsid w:val="008933C5"/>
    <w:rsid w:val="00893423"/>
    <w:rsid w:val="00893580"/>
    <w:rsid w:val="00893621"/>
    <w:rsid w:val="00893817"/>
    <w:rsid w:val="00893A37"/>
    <w:rsid w:val="00893BE9"/>
    <w:rsid w:val="00893D84"/>
    <w:rsid w:val="00893DC8"/>
    <w:rsid w:val="00893E4F"/>
    <w:rsid w:val="00893F5A"/>
    <w:rsid w:val="00893FBF"/>
    <w:rsid w:val="0089400C"/>
    <w:rsid w:val="008941A8"/>
    <w:rsid w:val="00894256"/>
    <w:rsid w:val="008942E9"/>
    <w:rsid w:val="008943C6"/>
    <w:rsid w:val="0089440E"/>
    <w:rsid w:val="008947E3"/>
    <w:rsid w:val="008948C0"/>
    <w:rsid w:val="00894ABE"/>
    <w:rsid w:val="00894B16"/>
    <w:rsid w:val="00894B99"/>
    <w:rsid w:val="00894C8E"/>
    <w:rsid w:val="00894CC1"/>
    <w:rsid w:val="00894F07"/>
    <w:rsid w:val="00895338"/>
    <w:rsid w:val="0089536A"/>
    <w:rsid w:val="008956C3"/>
    <w:rsid w:val="00895862"/>
    <w:rsid w:val="008958DF"/>
    <w:rsid w:val="008959C3"/>
    <w:rsid w:val="008959D8"/>
    <w:rsid w:val="00895A81"/>
    <w:rsid w:val="00895C0C"/>
    <w:rsid w:val="00895C60"/>
    <w:rsid w:val="00895DEA"/>
    <w:rsid w:val="00895DF6"/>
    <w:rsid w:val="00895E45"/>
    <w:rsid w:val="00895F1C"/>
    <w:rsid w:val="00895F52"/>
    <w:rsid w:val="00895FC5"/>
    <w:rsid w:val="00895FD3"/>
    <w:rsid w:val="0089622D"/>
    <w:rsid w:val="00896234"/>
    <w:rsid w:val="00896341"/>
    <w:rsid w:val="0089676B"/>
    <w:rsid w:val="008969CE"/>
    <w:rsid w:val="00896C70"/>
    <w:rsid w:val="00896C7A"/>
    <w:rsid w:val="00896C8B"/>
    <w:rsid w:val="00896D6D"/>
    <w:rsid w:val="00896E52"/>
    <w:rsid w:val="00896EE0"/>
    <w:rsid w:val="00896EFA"/>
    <w:rsid w:val="00896F9C"/>
    <w:rsid w:val="008971FF"/>
    <w:rsid w:val="008972EB"/>
    <w:rsid w:val="00897401"/>
    <w:rsid w:val="00897615"/>
    <w:rsid w:val="008976B5"/>
    <w:rsid w:val="00897947"/>
    <w:rsid w:val="00897A36"/>
    <w:rsid w:val="00897AE2"/>
    <w:rsid w:val="00897B13"/>
    <w:rsid w:val="00897C51"/>
    <w:rsid w:val="00897C61"/>
    <w:rsid w:val="00897CC5"/>
    <w:rsid w:val="00897CCE"/>
    <w:rsid w:val="00897E02"/>
    <w:rsid w:val="00897EB9"/>
    <w:rsid w:val="00897F05"/>
    <w:rsid w:val="00897F5A"/>
    <w:rsid w:val="00897FD4"/>
    <w:rsid w:val="008A008D"/>
    <w:rsid w:val="008A04F9"/>
    <w:rsid w:val="008A0515"/>
    <w:rsid w:val="008A0573"/>
    <w:rsid w:val="008A073D"/>
    <w:rsid w:val="008A0916"/>
    <w:rsid w:val="008A0BA1"/>
    <w:rsid w:val="008A0DA7"/>
    <w:rsid w:val="008A0DEE"/>
    <w:rsid w:val="008A112C"/>
    <w:rsid w:val="008A11B0"/>
    <w:rsid w:val="008A1278"/>
    <w:rsid w:val="008A13CF"/>
    <w:rsid w:val="008A14E5"/>
    <w:rsid w:val="008A14F7"/>
    <w:rsid w:val="008A1522"/>
    <w:rsid w:val="008A1562"/>
    <w:rsid w:val="008A167E"/>
    <w:rsid w:val="008A17F6"/>
    <w:rsid w:val="008A1866"/>
    <w:rsid w:val="008A18DF"/>
    <w:rsid w:val="008A19D4"/>
    <w:rsid w:val="008A1ADE"/>
    <w:rsid w:val="008A1B0D"/>
    <w:rsid w:val="008A1B71"/>
    <w:rsid w:val="008A1D19"/>
    <w:rsid w:val="008A1D32"/>
    <w:rsid w:val="008A1D48"/>
    <w:rsid w:val="008A1E33"/>
    <w:rsid w:val="008A1E98"/>
    <w:rsid w:val="008A1EA6"/>
    <w:rsid w:val="008A1FD1"/>
    <w:rsid w:val="008A20F5"/>
    <w:rsid w:val="008A2203"/>
    <w:rsid w:val="008A225A"/>
    <w:rsid w:val="008A240D"/>
    <w:rsid w:val="008A2578"/>
    <w:rsid w:val="008A25C7"/>
    <w:rsid w:val="008A28F3"/>
    <w:rsid w:val="008A2A08"/>
    <w:rsid w:val="008A2A52"/>
    <w:rsid w:val="008A2A53"/>
    <w:rsid w:val="008A2AF1"/>
    <w:rsid w:val="008A2AF2"/>
    <w:rsid w:val="008A2BD5"/>
    <w:rsid w:val="008A2C86"/>
    <w:rsid w:val="008A2CB3"/>
    <w:rsid w:val="008A2E50"/>
    <w:rsid w:val="008A2F68"/>
    <w:rsid w:val="008A2F9C"/>
    <w:rsid w:val="008A3012"/>
    <w:rsid w:val="008A30A0"/>
    <w:rsid w:val="008A30C2"/>
    <w:rsid w:val="008A3236"/>
    <w:rsid w:val="008A329D"/>
    <w:rsid w:val="008A3417"/>
    <w:rsid w:val="008A35D3"/>
    <w:rsid w:val="008A3727"/>
    <w:rsid w:val="008A37AD"/>
    <w:rsid w:val="008A38F3"/>
    <w:rsid w:val="008A39AA"/>
    <w:rsid w:val="008A39E5"/>
    <w:rsid w:val="008A3A2C"/>
    <w:rsid w:val="008A3B66"/>
    <w:rsid w:val="008A3C71"/>
    <w:rsid w:val="008A3C87"/>
    <w:rsid w:val="008A3D0D"/>
    <w:rsid w:val="008A3EE0"/>
    <w:rsid w:val="008A41AF"/>
    <w:rsid w:val="008A434F"/>
    <w:rsid w:val="008A444A"/>
    <w:rsid w:val="008A445D"/>
    <w:rsid w:val="008A453D"/>
    <w:rsid w:val="008A4643"/>
    <w:rsid w:val="008A4666"/>
    <w:rsid w:val="008A46F4"/>
    <w:rsid w:val="008A4977"/>
    <w:rsid w:val="008A4B86"/>
    <w:rsid w:val="008A4C05"/>
    <w:rsid w:val="008A4C9F"/>
    <w:rsid w:val="008A4D80"/>
    <w:rsid w:val="008A4E37"/>
    <w:rsid w:val="008A4E8A"/>
    <w:rsid w:val="008A4F42"/>
    <w:rsid w:val="008A4F52"/>
    <w:rsid w:val="008A4FBB"/>
    <w:rsid w:val="008A5196"/>
    <w:rsid w:val="008A51FA"/>
    <w:rsid w:val="008A52CA"/>
    <w:rsid w:val="008A53B8"/>
    <w:rsid w:val="008A5653"/>
    <w:rsid w:val="008A57A7"/>
    <w:rsid w:val="008A5AB0"/>
    <w:rsid w:val="008A5AF8"/>
    <w:rsid w:val="008A5CDD"/>
    <w:rsid w:val="008A5DF9"/>
    <w:rsid w:val="008A5EA2"/>
    <w:rsid w:val="008A614B"/>
    <w:rsid w:val="008A6405"/>
    <w:rsid w:val="008A6580"/>
    <w:rsid w:val="008A6599"/>
    <w:rsid w:val="008A6675"/>
    <w:rsid w:val="008A68AE"/>
    <w:rsid w:val="008A69AE"/>
    <w:rsid w:val="008A6B43"/>
    <w:rsid w:val="008A6BD4"/>
    <w:rsid w:val="008A6D64"/>
    <w:rsid w:val="008A6D78"/>
    <w:rsid w:val="008A6DB9"/>
    <w:rsid w:val="008A6E64"/>
    <w:rsid w:val="008A7182"/>
    <w:rsid w:val="008A75A4"/>
    <w:rsid w:val="008A76C8"/>
    <w:rsid w:val="008A7AE3"/>
    <w:rsid w:val="008A7AFE"/>
    <w:rsid w:val="008A7B0C"/>
    <w:rsid w:val="008A7C1A"/>
    <w:rsid w:val="008A7CF0"/>
    <w:rsid w:val="008A7E8A"/>
    <w:rsid w:val="008B00C4"/>
    <w:rsid w:val="008B00CB"/>
    <w:rsid w:val="008B02FF"/>
    <w:rsid w:val="008B031E"/>
    <w:rsid w:val="008B0350"/>
    <w:rsid w:val="008B0388"/>
    <w:rsid w:val="008B03D5"/>
    <w:rsid w:val="008B060F"/>
    <w:rsid w:val="008B06DB"/>
    <w:rsid w:val="008B0755"/>
    <w:rsid w:val="008B079B"/>
    <w:rsid w:val="008B0A31"/>
    <w:rsid w:val="008B0C2D"/>
    <w:rsid w:val="008B0CA4"/>
    <w:rsid w:val="008B0D26"/>
    <w:rsid w:val="008B0E45"/>
    <w:rsid w:val="008B0FB6"/>
    <w:rsid w:val="008B0FBA"/>
    <w:rsid w:val="008B116B"/>
    <w:rsid w:val="008B11F0"/>
    <w:rsid w:val="008B13A5"/>
    <w:rsid w:val="008B15CC"/>
    <w:rsid w:val="008B1631"/>
    <w:rsid w:val="008B16D4"/>
    <w:rsid w:val="008B1717"/>
    <w:rsid w:val="008B197B"/>
    <w:rsid w:val="008B19C6"/>
    <w:rsid w:val="008B19DF"/>
    <w:rsid w:val="008B1AAC"/>
    <w:rsid w:val="008B1BF3"/>
    <w:rsid w:val="008B1ED0"/>
    <w:rsid w:val="008B1FE5"/>
    <w:rsid w:val="008B200B"/>
    <w:rsid w:val="008B20DB"/>
    <w:rsid w:val="008B2608"/>
    <w:rsid w:val="008B2779"/>
    <w:rsid w:val="008B2850"/>
    <w:rsid w:val="008B291A"/>
    <w:rsid w:val="008B2B02"/>
    <w:rsid w:val="008B2B0C"/>
    <w:rsid w:val="008B2BFD"/>
    <w:rsid w:val="008B2C45"/>
    <w:rsid w:val="008B2D37"/>
    <w:rsid w:val="008B3292"/>
    <w:rsid w:val="008B3360"/>
    <w:rsid w:val="008B3367"/>
    <w:rsid w:val="008B343D"/>
    <w:rsid w:val="008B352B"/>
    <w:rsid w:val="008B3585"/>
    <w:rsid w:val="008B359A"/>
    <w:rsid w:val="008B36C3"/>
    <w:rsid w:val="008B36CA"/>
    <w:rsid w:val="008B3955"/>
    <w:rsid w:val="008B39E2"/>
    <w:rsid w:val="008B3CA4"/>
    <w:rsid w:val="008B3DF4"/>
    <w:rsid w:val="008B3EC1"/>
    <w:rsid w:val="008B4178"/>
    <w:rsid w:val="008B4492"/>
    <w:rsid w:val="008B44A2"/>
    <w:rsid w:val="008B44A3"/>
    <w:rsid w:val="008B4772"/>
    <w:rsid w:val="008B48B4"/>
    <w:rsid w:val="008B48CA"/>
    <w:rsid w:val="008B48CE"/>
    <w:rsid w:val="008B49C2"/>
    <w:rsid w:val="008B4D34"/>
    <w:rsid w:val="008B4E37"/>
    <w:rsid w:val="008B4F0A"/>
    <w:rsid w:val="008B4F97"/>
    <w:rsid w:val="008B4FA6"/>
    <w:rsid w:val="008B4FCF"/>
    <w:rsid w:val="008B506B"/>
    <w:rsid w:val="008B509B"/>
    <w:rsid w:val="008B5130"/>
    <w:rsid w:val="008B51A6"/>
    <w:rsid w:val="008B525F"/>
    <w:rsid w:val="008B526D"/>
    <w:rsid w:val="008B5282"/>
    <w:rsid w:val="008B5297"/>
    <w:rsid w:val="008B53AE"/>
    <w:rsid w:val="008B55D2"/>
    <w:rsid w:val="008B572F"/>
    <w:rsid w:val="008B58F6"/>
    <w:rsid w:val="008B590F"/>
    <w:rsid w:val="008B593F"/>
    <w:rsid w:val="008B5AB5"/>
    <w:rsid w:val="008B5AB8"/>
    <w:rsid w:val="008B5B9E"/>
    <w:rsid w:val="008B5D6A"/>
    <w:rsid w:val="008B5DBB"/>
    <w:rsid w:val="008B5E18"/>
    <w:rsid w:val="008B5EF8"/>
    <w:rsid w:val="008B6091"/>
    <w:rsid w:val="008B60AC"/>
    <w:rsid w:val="008B6277"/>
    <w:rsid w:val="008B6308"/>
    <w:rsid w:val="008B6466"/>
    <w:rsid w:val="008B6479"/>
    <w:rsid w:val="008B669F"/>
    <w:rsid w:val="008B67F3"/>
    <w:rsid w:val="008B68EB"/>
    <w:rsid w:val="008B6993"/>
    <w:rsid w:val="008B6C37"/>
    <w:rsid w:val="008B6C52"/>
    <w:rsid w:val="008B6C54"/>
    <w:rsid w:val="008B6D20"/>
    <w:rsid w:val="008B6E39"/>
    <w:rsid w:val="008B6E3B"/>
    <w:rsid w:val="008B6E42"/>
    <w:rsid w:val="008B6EDE"/>
    <w:rsid w:val="008B6EFC"/>
    <w:rsid w:val="008B6F18"/>
    <w:rsid w:val="008B6F36"/>
    <w:rsid w:val="008B701B"/>
    <w:rsid w:val="008B742B"/>
    <w:rsid w:val="008B7490"/>
    <w:rsid w:val="008B75B5"/>
    <w:rsid w:val="008B75E9"/>
    <w:rsid w:val="008B761F"/>
    <w:rsid w:val="008B776E"/>
    <w:rsid w:val="008B78EE"/>
    <w:rsid w:val="008B7BA3"/>
    <w:rsid w:val="008B7BC4"/>
    <w:rsid w:val="008B7C17"/>
    <w:rsid w:val="008B7F47"/>
    <w:rsid w:val="008C026D"/>
    <w:rsid w:val="008C02CD"/>
    <w:rsid w:val="008C03CA"/>
    <w:rsid w:val="008C04B1"/>
    <w:rsid w:val="008C04EE"/>
    <w:rsid w:val="008C068C"/>
    <w:rsid w:val="008C08D6"/>
    <w:rsid w:val="008C0909"/>
    <w:rsid w:val="008C09C5"/>
    <w:rsid w:val="008C0AE3"/>
    <w:rsid w:val="008C0B92"/>
    <w:rsid w:val="008C0C22"/>
    <w:rsid w:val="008C0F6A"/>
    <w:rsid w:val="008C1000"/>
    <w:rsid w:val="008C103E"/>
    <w:rsid w:val="008C10CA"/>
    <w:rsid w:val="008C11B2"/>
    <w:rsid w:val="008C11EE"/>
    <w:rsid w:val="008C167B"/>
    <w:rsid w:val="008C181E"/>
    <w:rsid w:val="008C186E"/>
    <w:rsid w:val="008C18A3"/>
    <w:rsid w:val="008C1971"/>
    <w:rsid w:val="008C19EE"/>
    <w:rsid w:val="008C1B4C"/>
    <w:rsid w:val="008C1C3E"/>
    <w:rsid w:val="008C1CCE"/>
    <w:rsid w:val="008C1F01"/>
    <w:rsid w:val="008C21B0"/>
    <w:rsid w:val="008C21B1"/>
    <w:rsid w:val="008C21D6"/>
    <w:rsid w:val="008C221C"/>
    <w:rsid w:val="008C224A"/>
    <w:rsid w:val="008C2290"/>
    <w:rsid w:val="008C2292"/>
    <w:rsid w:val="008C2377"/>
    <w:rsid w:val="008C2494"/>
    <w:rsid w:val="008C2495"/>
    <w:rsid w:val="008C2574"/>
    <w:rsid w:val="008C26C5"/>
    <w:rsid w:val="008C27F5"/>
    <w:rsid w:val="008C2B76"/>
    <w:rsid w:val="008C2C42"/>
    <w:rsid w:val="008C2C5A"/>
    <w:rsid w:val="008C2C8F"/>
    <w:rsid w:val="008C2D01"/>
    <w:rsid w:val="008C2FE6"/>
    <w:rsid w:val="008C30AE"/>
    <w:rsid w:val="008C3149"/>
    <w:rsid w:val="008C3273"/>
    <w:rsid w:val="008C3365"/>
    <w:rsid w:val="008C345A"/>
    <w:rsid w:val="008C34F5"/>
    <w:rsid w:val="008C3528"/>
    <w:rsid w:val="008C353E"/>
    <w:rsid w:val="008C356A"/>
    <w:rsid w:val="008C360E"/>
    <w:rsid w:val="008C38C0"/>
    <w:rsid w:val="008C3943"/>
    <w:rsid w:val="008C39CF"/>
    <w:rsid w:val="008C3A28"/>
    <w:rsid w:val="008C3A79"/>
    <w:rsid w:val="008C3ADF"/>
    <w:rsid w:val="008C3C49"/>
    <w:rsid w:val="008C3D7D"/>
    <w:rsid w:val="008C3EAF"/>
    <w:rsid w:val="008C3EF0"/>
    <w:rsid w:val="008C4008"/>
    <w:rsid w:val="008C40E6"/>
    <w:rsid w:val="008C41B7"/>
    <w:rsid w:val="008C41E0"/>
    <w:rsid w:val="008C437E"/>
    <w:rsid w:val="008C4398"/>
    <w:rsid w:val="008C453F"/>
    <w:rsid w:val="008C45E5"/>
    <w:rsid w:val="008C47B6"/>
    <w:rsid w:val="008C48DB"/>
    <w:rsid w:val="008C49D9"/>
    <w:rsid w:val="008C49E6"/>
    <w:rsid w:val="008C4A81"/>
    <w:rsid w:val="008C4B54"/>
    <w:rsid w:val="008C4BB8"/>
    <w:rsid w:val="008C4C57"/>
    <w:rsid w:val="008C4D5A"/>
    <w:rsid w:val="008C4DC3"/>
    <w:rsid w:val="008C4DDB"/>
    <w:rsid w:val="008C4E45"/>
    <w:rsid w:val="008C4F78"/>
    <w:rsid w:val="008C5292"/>
    <w:rsid w:val="008C539F"/>
    <w:rsid w:val="008C5814"/>
    <w:rsid w:val="008C5842"/>
    <w:rsid w:val="008C5895"/>
    <w:rsid w:val="008C5AD5"/>
    <w:rsid w:val="008C5BB2"/>
    <w:rsid w:val="008C5BF7"/>
    <w:rsid w:val="008C5C13"/>
    <w:rsid w:val="008C5CB5"/>
    <w:rsid w:val="008C5DC8"/>
    <w:rsid w:val="008C6017"/>
    <w:rsid w:val="008C60E3"/>
    <w:rsid w:val="008C61C9"/>
    <w:rsid w:val="008C6415"/>
    <w:rsid w:val="008C6510"/>
    <w:rsid w:val="008C6608"/>
    <w:rsid w:val="008C6670"/>
    <w:rsid w:val="008C67C0"/>
    <w:rsid w:val="008C6828"/>
    <w:rsid w:val="008C6896"/>
    <w:rsid w:val="008C6B4F"/>
    <w:rsid w:val="008C6BF5"/>
    <w:rsid w:val="008C7111"/>
    <w:rsid w:val="008C71D3"/>
    <w:rsid w:val="008C7892"/>
    <w:rsid w:val="008C78A4"/>
    <w:rsid w:val="008C78D9"/>
    <w:rsid w:val="008C78EC"/>
    <w:rsid w:val="008C7A0A"/>
    <w:rsid w:val="008C7C12"/>
    <w:rsid w:val="008C7DCD"/>
    <w:rsid w:val="008C7DD2"/>
    <w:rsid w:val="008C7E93"/>
    <w:rsid w:val="008D028A"/>
    <w:rsid w:val="008D044B"/>
    <w:rsid w:val="008D058A"/>
    <w:rsid w:val="008D06CA"/>
    <w:rsid w:val="008D06CB"/>
    <w:rsid w:val="008D06F1"/>
    <w:rsid w:val="008D0790"/>
    <w:rsid w:val="008D089E"/>
    <w:rsid w:val="008D0AA7"/>
    <w:rsid w:val="008D0B4B"/>
    <w:rsid w:val="008D0BEB"/>
    <w:rsid w:val="008D0C51"/>
    <w:rsid w:val="008D0DB8"/>
    <w:rsid w:val="008D0E7B"/>
    <w:rsid w:val="008D0E93"/>
    <w:rsid w:val="008D0F7A"/>
    <w:rsid w:val="008D0F99"/>
    <w:rsid w:val="008D0FB0"/>
    <w:rsid w:val="008D1032"/>
    <w:rsid w:val="008D10FE"/>
    <w:rsid w:val="008D1101"/>
    <w:rsid w:val="008D11F1"/>
    <w:rsid w:val="008D1218"/>
    <w:rsid w:val="008D1447"/>
    <w:rsid w:val="008D1459"/>
    <w:rsid w:val="008D14B9"/>
    <w:rsid w:val="008D15D9"/>
    <w:rsid w:val="008D17B0"/>
    <w:rsid w:val="008D18FD"/>
    <w:rsid w:val="008D196A"/>
    <w:rsid w:val="008D1C8E"/>
    <w:rsid w:val="008D1D90"/>
    <w:rsid w:val="008D1E21"/>
    <w:rsid w:val="008D1E5B"/>
    <w:rsid w:val="008D1F64"/>
    <w:rsid w:val="008D1FD1"/>
    <w:rsid w:val="008D215D"/>
    <w:rsid w:val="008D21BE"/>
    <w:rsid w:val="008D22D2"/>
    <w:rsid w:val="008D22E9"/>
    <w:rsid w:val="008D2333"/>
    <w:rsid w:val="008D2388"/>
    <w:rsid w:val="008D238B"/>
    <w:rsid w:val="008D24B2"/>
    <w:rsid w:val="008D258C"/>
    <w:rsid w:val="008D2598"/>
    <w:rsid w:val="008D2678"/>
    <w:rsid w:val="008D2705"/>
    <w:rsid w:val="008D274F"/>
    <w:rsid w:val="008D28E2"/>
    <w:rsid w:val="008D2945"/>
    <w:rsid w:val="008D299D"/>
    <w:rsid w:val="008D2BD6"/>
    <w:rsid w:val="008D2DF6"/>
    <w:rsid w:val="008D2E65"/>
    <w:rsid w:val="008D2ED7"/>
    <w:rsid w:val="008D2F9F"/>
    <w:rsid w:val="008D3263"/>
    <w:rsid w:val="008D32F1"/>
    <w:rsid w:val="008D34CC"/>
    <w:rsid w:val="008D351F"/>
    <w:rsid w:val="008D3821"/>
    <w:rsid w:val="008D38BD"/>
    <w:rsid w:val="008D3B10"/>
    <w:rsid w:val="008D3DA6"/>
    <w:rsid w:val="008D3EB1"/>
    <w:rsid w:val="008D3F91"/>
    <w:rsid w:val="008D3F9C"/>
    <w:rsid w:val="008D3FBB"/>
    <w:rsid w:val="008D3FEA"/>
    <w:rsid w:val="008D403E"/>
    <w:rsid w:val="008D408D"/>
    <w:rsid w:val="008D40CD"/>
    <w:rsid w:val="008D4128"/>
    <w:rsid w:val="008D427A"/>
    <w:rsid w:val="008D44C3"/>
    <w:rsid w:val="008D4543"/>
    <w:rsid w:val="008D4582"/>
    <w:rsid w:val="008D4670"/>
    <w:rsid w:val="008D48CF"/>
    <w:rsid w:val="008D4E70"/>
    <w:rsid w:val="008D4EF5"/>
    <w:rsid w:val="008D4F66"/>
    <w:rsid w:val="008D4F79"/>
    <w:rsid w:val="008D5022"/>
    <w:rsid w:val="008D506C"/>
    <w:rsid w:val="008D5071"/>
    <w:rsid w:val="008D5134"/>
    <w:rsid w:val="008D5142"/>
    <w:rsid w:val="008D51F1"/>
    <w:rsid w:val="008D53CD"/>
    <w:rsid w:val="008D561C"/>
    <w:rsid w:val="008D56F9"/>
    <w:rsid w:val="008D5CF6"/>
    <w:rsid w:val="008D5D17"/>
    <w:rsid w:val="008D5DBC"/>
    <w:rsid w:val="008D5DE3"/>
    <w:rsid w:val="008D5ED0"/>
    <w:rsid w:val="008D5F0A"/>
    <w:rsid w:val="008D6007"/>
    <w:rsid w:val="008D61E5"/>
    <w:rsid w:val="008D65AF"/>
    <w:rsid w:val="008D66EC"/>
    <w:rsid w:val="008D68E4"/>
    <w:rsid w:val="008D6A98"/>
    <w:rsid w:val="008D6FD0"/>
    <w:rsid w:val="008D7062"/>
    <w:rsid w:val="008D75EE"/>
    <w:rsid w:val="008D7647"/>
    <w:rsid w:val="008D7846"/>
    <w:rsid w:val="008D796E"/>
    <w:rsid w:val="008D7DDB"/>
    <w:rsid w:val="008D7EB1"/>
    <w:rsid w:val="008D7F4B"/>
    <w:rsid w:val="008E0145"/>
    <w:rsid w:val="008E01ED"/>
    <w:rsid w:val="008E045B"/>
    <w:rsid w:val="008E04DE"/>
    <w:rsid w:val="008E0506"/>
    <w:rsid w:val="008E068A"/>
    <w:rsid w:val="008E06E6"/>
    <w:rsid w:val="008E08C4"/>
    <w:rsid w:val="008E09A0"/>
    <w:rsid w:val="008E0AAB"/>
    <w:rsid w:val="008E0ACA"/>
    <w:rsid w:val="008E0CC0"/>
    <w:rsid w:val="008E0CFF"/>
    <w:rsid w:val="008E0E3E"/>
    <w:rsid w:val="008E106B"/>
    <w:rsid w:val="008E108F"/>
    <w:rsid w:val="008E1299"/>
    <w:rsid w:val="008E1321"/>
    <w:rsid w:val="008E13AC"/>
    <w:rsid w:val="008E1472"/>
    <w:rsid w:val="008E175A"/>
    <w:rsid w:val="008E176D"/>
    <w:rsid w:val="008E18B2"/>
    <w:rsid w:val="008E1957"/>
    <w:rsid w:val="008E19A2"/>
    <w:rsid w:val="008E1B2E"/>
    <w:rsid w:val="008E1B6D"/>
    <w:rsid w:val="008E1C8D"/>
    <w:rsid w:val="008E1D1B"/>
    <w:rsid w:val="008E1E68"/>
    <w:rsid w:val="008E1F0E"/>
    <w:rsid w:val="008E23D8"/>
    <w:rsid w:val="008E23F8"/>
    <w:rsid w:val="008E242E"/>
    <w:rsid w:val="008E2588"/>
    <w:rsid w:val="008E269E"/>
    <w:rsid w:val="008E296A"/>
    <w:rsid w:val="008E29D6"/>
    <w:rsid w:val="008E2AEA"/>
    <w:rsid w:val="008E2CD6"/>
    <w:rsid w:val="008E2D74"/>
    <w:rsid w:val="008E2DB6"/>
    <w:rsid w:val="008E2EB2"/>
    <w:rsid w:val="008E30AD"/>
    <w:rsid w:val="008E3374"/>
    <w:rsid w:val="008E33D9"/>
    <w:rsid w:val="008E342E"/>
    <w:rsid w:val="008E3568"/>
    <w:rsid w:val="008E3643"/>
    <w:rsid w:val="008E36DB"/>
    <w:rsid w:val="008E3999"/>
    <w:rsid w:val="008E39E6"/>
    <w:rsid w:val="008E3B13"/>
    <w:rsid w:val="008E3B32"/>
    <w:rsid w:val="008E3B4B"/>
    <w:rsid w:val="008E3C22"/>
    <w:rsid w:val="008E3D13"/>
    <w:rsid w:val="008E3D18"/>
    <w:rsid w:val="008E42C4"/>
    <w:rsid w:val="008E44CC"/>
    <w:rsid w:val="008E451E"/>
    <w:rsid w:val="008E457D"/>
    <w:rsid w:val="008E45A6"/>
    <w:rsid w:val="008E45B5"/>
    <w:rsid w:val="008E46EE"/>
    <w:rsid w:val="008E47DD"/>
    <w:rsid w:val="008E48B4"/>
    <w:rsid w:val="008E48BA"/>
    <w:rsid w:val="008E4915"/>
    <w:rsid w:val="008E4982"/>
    <w:rsid w:val="008E49A5"/>
    <w:rsid w:val="008E4BB0"/>
    <w:rsid w:val="008E4DAA"/>
    <w:rsid w:val="008E4EE1"/>
    <w:rsid w:val="008E4F7B"/>
    <w:rsid w:val="008E514F"/>
    <w:rsid w:val="008E5260"/>
    <w:rsid w:val="008E52C6"/>
    <w:rsid w:val="008E54E6"/>
    <w:rsid w:val="008E5615"/>
    <w:rsid w:val="008E568F"/>
    <w:rsid w:val="008E58C5"/>
    <w:rsid w:val="008E5A61"/>
    <w:rsid w:val="008E5A90"/>
    <w:rsid w:val="008E5C4E"/>
    <w:rsid w:val="008E5D6B"/>
    <w:rsid w:val="008E5E5C"/>
    <w:rsid w:val="008E5F2C"/>
    <w:rsid w:val="008E608E"/>
    <w:rsid w:val="008E634B"/>
    <w:rsid w:val="008E65E7"/>
    <w:rsid w:val="008E6684"/>
    <w:rsid w:val="008E671C"/>
    <w:rsid w:val="008E67C6"/>
    <w:rsid w:val="008E68D2"/>
    <w:rsid w:val="008E691F"/>
    <w:rsid w:val="008E69C8"/>
    <w:rsid w:val="008E6B3C"/>
    <w:rsid w:val="008E6BD5"/>
    <w:rsid w:val="008E6C49"/>
    <w:rsid w:val="008E6CB0"/>
    <w:rsid w:val="008E702C"/>
    <w:rsid w:val="008E7080"/>
    <w:rsid w:val="008E716B"/>
    <w:rsid w:val="008E7172"/>
    <w:rsid w:val="008E71AB"/>
    <w:rsid w:val="008E7259"/>
    <w:rsid w:val="008E7272"/>
    <w:rsid w:val="008E732F"/>
    <w:rsid w:val="008E7334"/>
    <w:rsid w:val="008E73A2"/>
    <w:rsid w:val="008E73E8"/>
    <w:rsid w:val="008E7404"/>
    <w:rsid w:val="008E74DE"/>
    <w:rsid w:val="008E7600"/>
    <w:rsid w:val="008E76BC"/>
    <w:rsid w:val="008E76F0"/>
    <w:rsid w:val="008E779C"/>
    <w:rsid w:val="008E78B9"/>
    <w:rsid w:val="008E7932"/>
    <w:rsid w:val="008E79AB"/>
    <w:rsid w:val="008E79D0"/>
    <w:rsid w:val="008E79FD"/>
    <w:rsid w:val="008E7B99"/>
    <w:rsid w:val="008E7C7E"/>
    <w:rsid w:val="008E7C8D"/>
    <w:rsid w:val="008E7CCB"/>
    <w:rsid w:val="008E7CFF"/>
    <w:rsid w:val="008E7DCF"/>
    <w:rsid w:val="008E7EA1"/>
    <w:rsid w:val="008E7EDF"/>
    <w:rsid w:val="008E7F59"/>
    <w:rsid w:val="008F009A"/>
    <w:rsid w:val="008F00A9"/>
    <w:rsid w:val="008F00BC"/>
    <w:rsid w:val="008F0172"/>
    <w:rsid w:val="008F03EB"/>
    <w:rsid w:val="008F0445"/>
    <w:rsid w:val="008F0548"/>
    <w:rsid w:val="008F081F"/>
    <w:rsid w:val="008F087D"/>
    <w:rsid w:val="008F08CC"/>
    <w:rsid w:val="008F09C3"/>
    <w:rsid w:val="008F0B0D"/>
    <w:rsid w:val="008F0BCA"/>
    <w:rsid w:val="008F0C63"/>
    <w:rsid w:val="008F0D06"/>
    <w:rsid w:val="008F0E93"/>
    <w:rsid w:val="008F0ECE"/>
    <w:rsid w:val="008F0F98"/>
    <w:rsid w:val="008F0FDC"/>
    <w:rsid w:val="008F1106"/>
    <w:rsid w:val="008F110E"/>
    <w:rsid w:val="008F11EA"/>
    <w:rsid w:val="008F11F7"/>
    <w:rsid w:val="008F1210"/>
    <w:rsid w:val="008F126F"/>
    <w:rsid w:val="008F136F"/>
    <w:rsid w:val="008F14AB"/>
    <w:rsid w:val="008F151C"/>
    <w:rsid w:val="008F15F0"/>
    <w:rsid w:val="008F15FE"/>
    <w:rsid w:val="008F163B"/>
    <w:rsid w:val="008F1864"/>
    <w:rsid w:val="008F1A8C"/>
    <w:rsid w:val="008F1C27"/>
    <w:rsid w:val="008F22B5"/>
    <w:rsid w:val="008F22D6"/>
    <w:rsid w:val="008F2354"/>
    <w:rsid w:val="008F2410"/>
    <w:rsid w:val="008F27FF"/>
    <w:rsid w:val="008F292A"/>
    <w:rsid w:val="008F2985"/>
    <w:rsid w:val="008F2A61"/>
    <w:rsid w:val="008F2AD0"/>
    <w:rsid w:val="008F2C05"/>
    <w:rsid w:val="008F2C4A"/>
    <w:rsid w:val="008F2C6E"/>
    <w:rsid w:val="008F2CA3"/>
    <w:rsid w:val="008F2D29"/>
    <w:rsid w:val="008F2DF4"/>
    <w:rsid w:val="008F2E00"/>
    <w:rsid w:val="008F2FEE"/>
    <w:rsid w:val="008F2FF4"/>
    <w:rsid w:val="008F2FF7"/>
    <w:rsid w:val="008F3195"/>
    <w:rsid w:val="008F3351"/>
    <w:rsid w:val="008F3362"/>
    <w:rsid w:val="008F3477"/>
    <w:rsid w:val="008F348F"/>
    <w:rsid w:val="008F34B0"/>
    <w:rsid w:val="008F3531"/>
    <w:rsid w:val="008F3754"/>
    <w:rsid w:val="008F38C2"/>
    <w:rsid w:val="008F3B24"/>
    <w:rsid w:val="008F3B84"/>
    <w:rsid w:val="008F3BAE"/>
    <w:rsid w:val="008F3CB0"/>
    <w:rsid w:val="008F3D0D"/>
    <w:rsid w:val="008F3D88"/>
    <w:rsid w:val="008F3DD0"/>
    <w:rsid w:val="008F404F"/>
    <w:rsid w:val="008F40F9"/>
    <w:rsid w:val="008F4116"/>
    <w:rsid w:val="008F4170"/>
    <w:rsid w:val="008F42B3"/>
    <w:rsid w:val="008F438F"/>
    <w:rsid w:val="008F4686"/>
    <w:rsid w:val="008F4716"/>
    <w:rsid w:val="008F480C"/>
    <w:rsid w:val="008F4920"/>
    <w:rsid w:val="008F49C4"/>
    <w:rsid w:val="008F4AFA"/>
    <w:rsid w:val="008F4BBD"/>
    <w:rsid w:val="008F4ECF"/>
    <w:rsid w:val="008F4EDF"/>
    <w:rsid w:val="008F4EF2"/>
    <w:rsid w:val="008F5013"/>
    <w:rsid w:val="008F5187"/>
    <w:rsid w:val="008F5217"/>
    <w:rsid w:val="008F522C"/>
    <w:rsid w:val="008F5262"/>
    <w:rsid w:val="008F52DB"/>
    <w:rsid w:val="008F552B"/>
    <w:rsid w:val="008F5588"/>
    <w:rsid w:val="008F5785"/>
    <w:rsid w:val="008F585F"/>
    <w:rsid w:val="008F5875"/>
    <w:rsid w:val="008F58BC"/>
    <w:rsid w:val="008F5AA9"/>
    <w:rsid w:val="008F5B09"/>
    <w:rsid w:val="008F5BBA"/>
    <w:rsid w:val="008F5D8C"/>
    <w:rsid w:val="008F5EC4"/>
    <w:rsid w:val="008F60AB"/>
    <w:rsid w:val="008F60D8"/>
    <w:rsid w:val="008F61F8"/>
    <w:rsid w:val="008F658A"/>
    <w:rsid w:val="008F6794"/>
    <w:rsid w:val="008F679D"/>
    <w:rsid w:val="008F6892"/>
    <w:rsid w:val="008F6916"/>
    <w:rsid w:val="008F6B8D"/>
    <w:rsid w:val="008F6C1E"/>
    <w:rsid w:val="008F6D39"/>
    <w:rsid w:val="008F6D4C"/>
    <w:rsid w:val="008F6F0E"/>
    <w:rsid w:val="008F711A"/>
    <w:rsid w:val="008F718A"/>
    <w:rsid w:val="008F71D8"/>
    <w:rsid w:val="008F7261"/>
    <w:rsid w:val="008F73C4"/>
    <w:rsid w:val="008F73DC"/>
    <w:rsid w:val="008F7433"/>
    <w:rsid w:val="008F7583"/>
    <w:rsid w:val="008F7692"/>
    <w:rsid w:val="008F774A"/>
    <w:rsid w:val="008F7769"/>
    <w:rsid w:val="008F77B3"/>
    <w:rsid w:val="008F77C5"/>
    <w:rsid w:val="008F782A"/>
    <w:rsid w:val="008F78E4"/>
    <w:rsid w:val="008F7A02"/>
    <w:rsid w:val="008F7ACA"/>
    <w:rsid w:val="008F7B44"/>
    <w:rsid w:val="008F7C42"/>
    <w:rsid w:val="008F7F67"/>
    <w:rsid w:val="008F7FEF"/>
    <w:rsid w:val="009000CE"/>
    <w:rsid w:val="0090011C"/>
    <w:rsid w:val="0090019B"/>
    <w:rsid w:val="009001B1"/>
    <w:rsid w:val="00900215"/>
    <w:rsid w:val="00900292"/>
    <w:rsid w:val="00900303"/>
    <w:rsid w:val="00900305"/>
    <w:rsid w:val="0090035E"/>
    <w:rsid w:val="0090038F"/>
    <w:rsid w:val="0090045B"/>
    <w:rsid w:val="009005DE"/>
    <w:rsid w:val="00900705"/>
    <w:rsid w:val="00900742"/>
    <w:rsid w:val="00900758"/>
    <w:rsid w:val="00900768"/>
    <w:rsid w:val="00900814"/>
    <w:rsid w:val="00900886"/>
    <w:rsid w:val="009008FF"/>
    <w:rsid w:val="00900939"/>
    <w:rsid w:val="009009AE"/>
    <w:rsid w:val="009009B0"/>
    <w:rsid w:val="00900C0B"/>
    <w:rsid w:val="00900CEA"/>
    <w:rsid w:val="00900DE5"/>
    <w:rsid w:val="00900F5C"/>
    <w:rsid w:val="00900FBE"/>
    <w:rsid w:val="009012EB"/>
    <w:rsid w:val="009012EE"/>
    <w:rsid w:val="0090133E"/>
    <w:rsid w:val="00901346"/>
    <w:rsid w:val="0090146E"/>
    <w:rsid w:val="009014D2"/>
    <w:rsid w:val="0090162E"/>
    <w:rsid w:val="009016AF"/>
    <w:rsid w:val="00901730"/>
    <w:rsid w:val="00901940"/>
    <w:rsid w:val="00901A2E"/>
    <w:rsid w:val="00901C37"/>
    <w:rsid w:val="00901E40"/>
    <w:rsid w:val="00901FB5"/>
    <w:rsid w:val="00902231"/>
    <w:rsid w:val="0090224A"/>
    <w:rsid w:val="009022AE"/>
    <w:rsid w:val="0090238F"/>
    <w:rsid w:val="009026F5"/>
    <w:rsid w:val="00902727"/>
    <w:rsid w:val="0090287E"/>
    <w:rsid w:val="00902A80"/>
    <w:rsid w:val="00902B4F"/>
    <w:rsid w:val="00902C4D"/>
    <w:rsid w:val="00902D8F"/>
    <w:rsid w:val="00902E72"/>
    <w:rsid w:val="0090312B"/>
    <w:rsid w:val="00903158"/>
    <w:rsid w:val="009031EB"/>
    <w:rsid w:val="0090322E"/>
    <w:rsid w:val="0090329D"/>
    <w:rsid w:val="009032A8"/>
    <w:rsid w:val="009032BF"/>
    <w:rsid w:val="00903500"/>
    <w:rsid w:val="00903635"/>
    <w:rsid w:val="0090363A"/>
    <w:rsid w:val="009036F4"/>
    <w:rsid w:val="00903785"/>
    <w:rsid w:val="0090398C"/>
    <w:rsid w:val="00903A35"/>
    <w:rsid w:val="00903B00"/>
    <w:rsid w:val="00903B2D"/>
    <w:rsid w:val="00903B4E"/>
    <w:rsid w:val="00903D83"/>
    <w:rsid w:val="00903EA5"/>
    <w:rsid w:val="00903EDF"/>
    <w:rsid w:val="00903EE1"/>
    <w:rsid w:val="00903F1A"/>
    <w:rsid w:val="00903FCE"/>
    <w:rsid w:val="00903FD3"/>
    <w:rsid w:val="0090407A"/>
    <w:rsid w:val="00904128"/>
    <w:rsid w:val="00904137"/>
    <w:rsid w:val="00904239"/>
    <w:rsid w:val="00904242"/>
    <w:rsid w:val="009043B1"/>
    <w:rsid w:val="009043D9"/>
    <w:rsid w:val="009045BB"/>
    <w:rsid w:val="009045DD"/>
    <w:rsid w:val="00904700"/>
    <w:rsid w:val="00904729"/>
    <w:rsid w:val="009047B5"/>
    <w:rsid w:val="00904850"/>
    <w:rsid w:val="009048E7"/>
    <w:rsid w:val="00904908"/>
    <w:rsid w:val="00904B28"/>
    <w:rsid w:val="00904C65"/>
    <w:rsid w:val="00904CCC"/>
    <w:rsid w:val="00904D12"/>
    <w:rsid w:val="00904E1B"/>
    <w:rsid w:val="00904EFD"/>
    <w:rsid w:val="00904EFE"/>
    <w:rsid w:val="00904F7E"/>
    <w:rsid w:val="00905158"/>
    <w:rsid w:val="009051C3"/>
    <w:rsid w:val="00905291"/>
    <w:rsid w:val="009052E4"/>
    <w:rsid w:val="009054A5"/>
    <w:rsid w:val="009054C1"/>
    <w:rsid w:val="0090550C"/>
    <w:rsid w:val="009055D8"/>
    <w:rsid w:val="009056DC"/>
    <w:rsid w:val="00905916"/>
    <w:rsid w:val="009059A3"/>
    <w:rsid w:val="009059BB"/>
    <w:rsid w:val="00905A4F"/>
    <w:rsid w:val="00905A86"/>
    <w:rsid w:val="00905B13"/>
    <w:rsid w:val="00905BA5"/>
    <w:rsid w:val="00905BB5"/>
    <w:rsid w:val="00905BC7"/>
    <w:rsid w:val="00905BF0"/>
    <w:rsid w:val="00905C72"/>
    <w:rsid w:val="00905DCF"/>
    <w:rsid w:val="00905E7D"/>
    <w:rsid w:val="00905EEE"/>
    <w:rsid w:val="00905F34"/>
    <w:rsid w:val="0090608C"/>
    <w:rsid w:val="009062AC"/>
    <w:rsid w:val="009065A3"/>
    <w:rsid w:val="00906781"/>
    <w:rsid w:val="009067A4"/>
    <w:rsid w:val="00906891"/>
    <w:rsid w:val="00906ACF"/>
    <w:rsid w:val="00906AE1"/>
    <w:rsid w:val="00906D17"/>
    <w:rsid w:val="00907173"/>
    <w:rsid w:val="009071A4"/>
    <w:rsid w:val="009071EF"/>
    <w:rsid w:val="0090720D"/>
    <w:rsid w:val="00907277"/>
    <w:rsid w:val="0090738A"/>
    <w:rsid w:val="00907394"/>
    <w:rsid w:val="009074F8"/>
    <w:rsid w:val="00907531"/>
    <w:rsid w:val="0090762D"/>
    <w:rsid w:val="009076E6"/>
    <w:rsid w:val="009077BA"/>
    <w:rsid w:val="00907915"/>
    <w:rsid w:val="00907B08"/>
    <w:rsid w:val="00907F49"/>
    <w:rsid w:val="00910043"/>
    <w:rsid w:val="00910136"/>
    <w:rsid w:val="00910311"/>
    <w:rsid w:val="00910991"/>
    <w:rsid w:val="00910999"/>
    <w:rsid w:val="00910A56"/>
    <w:rsid w:val="00910B21"/>
    <w:rsid w:val="00910D47"/>
    <w:rsid w:val="00910D95"/>
    <w:rsid w:val="00910F5F"/>
    <w:rsid w:val="00910F66"/>
    <w:rsid w:val="00910FBF"/>
    <w:rsid w:val="0091144F"/>
    <w:rsid w:val="00911510"/>
    <w:rsid w:val="00911616"/>
    <w:rsid w:val="009117DD"/>
    <w:rsid w:val="00911816"/>
    <w:rsid w:val="0091183D"/>
    <w:rsid w:val="00911A2A"/>
    <w:rsid w:val="00911BC4"/>
    <w:rsid w:val="00911DE1"/>
    <w:rsid w:val="00911EE9"/>
    <w:rsid w:val="00911F52"/>
    <w:rsid w:val="00911F5C"/>
    <w:rsid w:val="00911F92"/>
    <w:rsid w:val="00911FFC"/>
    <w:rsid w:val="00912041"/>
    <w:rsid w:val="00912044"/>
    <w:rsid w:val="00912187"/>
    <w:rsid w:val="00912454"/>
    <w:rsid w:val="0091250A"/>
    <w:rsid w:val="009125F8"/>
    <w:rsid w:val="00912738"/>
    <w:rsid w:val="009128BE"/>
    <w:rsid w:val="00912942"/>
    <w:rsid w:val="0091295E"/>
    <w:rsid w:val="00912A8F"/>
    <w:rsid w:val="00912B3B"/>
    <w:rsid w:val="00912B8E"/>
    <w:rsid w:val="00912BB2"/>
    <w:rsid w:val="00912C6D"/>
    <w:rsid w:val="00912DB7"/>
    <w:rsid w:val="00912DF7"/>
    <w:rsid w:val="00912EB6"/>
    <w:rsid w:val="00912F11"/>
    <w:rsid w:val="00912F77"/>
    <w:rsid w:val="00912FAE"/>
    <w:rsid w:val="00913013"/>
    <w:rsid w:val="0091305C"/>
    <w:rsid w:val="009133A1"/>
    <w:rsid w:val="00913516"/>
    <w:rsid w:val="0091358C"/>
    <w:rsid w:val="009135CA"/>
    <w:rsid w:val="0091365D"/>
    <w:rsid w:val="0091391E"/>
    <w:rsid w:val="00913989"/>
    <w:rsid w:val="00913AE0"/>
    <w:rsid w:val="00913B2B"/>
    <w:rsid w:val="00913C75"/>
    <w:rsid w:val="00913CF3"/>
    <w:rsid w:val="00913DBF"/>
    <w:rsid w:val="00913E27"/>
    <w:rsid w:val="00913F36"/>
    <w:rsid w:val="00913FC7"/>
    <w:rsid w:val="00913FE8"/>
    <w:rsid w:val="00914163"/>
    <w:rsid w:val="009141C8"/>
    <w:rsid w:val="0091438F"/>
    <w:rsid w:val="009143A3"/>
    <w:rsid w:val="009143C1"/>
    <w:rsid w:val="009143D1"/>
    <w:rsid w:val="009143F3"/>
    <w:rsid w:val="009145EF"/>
    <w:rsid w:val="009146C4"/>
    <w:rsid w:val="009146E8"/>
    <w:rsid w:val="0091472E"/>
    <w:rsid w:val="009147EC"/>
    <w:rsid w:val="0091484C"/>
    <w:rsid w:val="0091495B"/>
    <w:rsid w:val="00914966"/>
    <w:rsid w:val="009149CF"/>
    <w:rsid w:val="00914BB8"/>
    <w:rsid w:val="00914C72"/>
    <w:rsid w:val="00914F97"/>
    <w:rsid w:val="0091515E"/>
    <w:rsid w:val="009152C1"/>
    <w:rsid w:val="00915302"/>
    <w:rsid w:val="00915398"/>
    <w:rsid w:val="009154E9"/>
    <w:rsid w:val="00915568"/>
    <w:rsid w:val="009155FE"/>
    <w:rsid w:val="0091573A"/>
    <w:rsid w:val="009157D6"/>
    <w:rsid w:val="00915BF2"/>
    <w:rsid w:val="009160BD"/>
    <w:rsid w:val="00916103"/>
    <w:rsid w:val="009161D9"/>
    <w:rsid w:val="0091665E"/>
    <w:rsid w:val="009166C8"/>
    <w:rsid w:val="00916818"/>
    <w:rsid w:val="00916B48"/>
    <w:rsid w:val="00916B9D"/>
    <w:rsid w:val="00916CF3"/>
    <w:rsid w:val="00916D02"/>
    <w:rsid w:val="009172B5"/>
    <w:rsid w:val="009172C8"/>
    <w:rsid w:val="00917329"/>
    <w:rsid w:val="0091736D"/>
    <w:rsid w:val="009176C9"/>
    <w:rsid w:val="00917729"/>
    <w:rsid w:val="00917749"/>
    <w:rsid w:val="00917762"/>
    <w:rsid w:val="00917803"/>
    <w:rsid w:val="0091780B"/>
    <w:rsid w:val="009178CF"/>
    <w:rsid w:val="00917AC0"/>
    <w:rsid w:val="00917AE1"/>
    <w:rsid w:val="00917B4F"/>
    <w:rsid w:val="00917B52"/>
    <w:rsid w:val="00917DB0"/>
    <w:rsid w:val="00917EF9"/>
    <w:rsid w:val="0092026B"/>
    <w:rsid w:val="00920449"/>
    <w:rsid w:val="0092054A"/>
    <w:rsid w:val="0092058E"/>
    <w:rsid w:val="009206F7"/>
    <w:rsid w:val="009207D4"/>
    <w:rsid w:val="009208E7"/>
    <w:rsid w:val="00920966"/>
    <w:rsid w:val="00920A09"/>
    <w:rsid w:val="00920BBD"/>
    <w:rsid w:val="00920C46"/>
    <w:rsid w:val="00920D86"/>
    <w:rsid w:val="00920DB2"/>
    <w:rsid w:val="00920E6F"/>
    <w:rsid w:val="00920F20"/>
    <w:rsid w:val="00920FE2"/>
    <w:rsid w:val="00921162"/>
    <w:rsid w:val="0092118A"/>
    <w:rsid w:val="0092127B"/>
    <w:rsid w:val="00921336"/>
    <w:rsid w:val="009214F9"/>
    <w:rsid w:val="00921660"/>
    <w:rsid w:val="00921B34"/>
    <w:rsid w:val="00921B7D"/>
    <w:rsid w:val="00921C94"/>
    <w:rsid w:val="00921D91"/>
    <w:rsid w:val="00921F47"/>
    <w:rsid w:val="00922145"/>
    <w:rsid w:val="00922199"/>
    <w:rsid w:val="0092219E"/>
    <w:rsid w:val="009223D7"/>
    <w:rsid w:val="00922410"/>
    <w:rsid w:val="00922831"/>
    <w:rsid w:val="009228A2"/>
    <w:rsid w:val="00922A3B"/>
    <w:rsid w:val="00922B72"/>
    <w:rsid w:val="00922D7E"/>
    <w:rsid w:val="00922DA4"/>
    <w:rsid w:val="00922FC9"/>
    <w:rsid w:val="00923023"/>
    <w:rsid w:val="0092311E"/>
    <w:rsid w:val="009234E5"/>
    <w:rsid w:val="0092356E"/>
    <w:rsid w:val="009235A6"/>
    <w:rsid w:val="009236D6"/>
    <w:rsid w:val="009236FB"/>
    <w:rsid w:val="0092376E"/>
    <w:rsid w:val="009237C0"/>
    <w:rsid w:val="009237F5"/>
    <w:rsid w:val="00923A8C"/>
    <w:rsid w:val="00923B5B"/>
    <w:rsid w:val="00923BAC"/>
    <w:rsid w:val="00923C84"/>
    <w:rsid w:val="00923C8A"/>
    <w:rsid w:val="00923CBA"/>
    <w:rsid w:val="00923D07"/>
    <w:rsid w:val="00923EAA"/>
    <w:rsid w:val="00923EFF"/>
    <w:rsid w:val="00923F81"/>
    <w:rsid w:val="00924189"/>
    <w:rsid w:val="009241F0"/>
    <w:rsid w:val="009242EA"/>
    <w:rsid w:val="009247B6"/>
    <w:rsid w:val="00924840"/>
    <w:rsid w:val="00924889"/>
    <w:rsid w:val="009248FF"/>
    <w:rsid w:val="00924B32"/>
    <w:rsid w:val="00924DAF"/>
    <w:rsid w:val="00924E9C"/>
    <w:rsid w:val="00924F42"/>
    <w:rsid w:val="00924F5E"/>
    <w:rsid w:val="00925097"/>
    <w:rsid w:val="00925192"/>
    <w:rsid w:val="009251D5"/>
    <w:rsid w:val="00925203"/>
    <w:rsid w:val="0092523A"/>
    <w:rsid w:val="0092541F"/>
    <w:rsid w:val="00925485"/>
    <w:rsid w:val="009255F1"/>
    <w:rsid w:val="009256E2"/>
    <w:rsid w:val="00925A04"/>
    <w:rsid w:val="00925A25"/>
    <w:rsid w:val="00925A3A"/>
    <w:rsid w:val="00925A54"/>
    <w:rsid w:val="00925AD8"/>
    <w:rsid w:val="00925AED"/>
    <w:rsid w:val="00925B3D"/>
    <w:rsid w:val="00925FF9"/>
    <w:rsid w:val="00926090"/>
    <w:rsid w:val="00926188"/>
    <w:rsid w:val="00926268"/>
    <w:rsid w:val="0092645F"/>
    <w:rsid w:val="009264ED"/>
    <w:rsid w:val="0092661D"/>
    <w:rsid w:val="0092682B"/>
    <w:rsid w:val="009268B0"/>
    <w:rsid w:val="00926964"/>
    <w:rsid w:val="00926C50"/>
    <w:rsid w:val="00926DD6"/>
    <w:rsid w:val="00926ECD"/>
    <w:rsid w:val="009270BA"/>
    <w:rsid w:val="009270C5"/>
    <w:rsid w:val="00927309"/>
    <w:rsid w:val="0092731B"/>
    <w:rsid w:val="00927477"/>
    <w:rsid w:val="009274E1"/>
    <w:rsid w:val="00927582"/>
    <w:rsid w:val="00927599"/>
    <w:rsid w:val="0092768D"/>
    <w:rsid w:val="0092778F"/>
    <w:rsid w:val="00927919"/>
    <w:rsid w:val="00927A0C"/>
    <w:rsid w:val="00927A6D"/>
    <w:rsid w:val="00927DC6"/>
    <w:rsid w:val="00927EE1"/>
    <w:rsid w:val="0093007D"/>
    <w:rsid w:val="0093008E"/>
    <w:rsid w:val="009300AD"/>
    <w:rsid w:val="0093014D"/>
    <w:rsid w:val="00930194"/>
    <w:rsid w:val="0093033A"/>
    <w:rsid w:val="0093037A"/>
    <w:rsid w:val="009304F4"/>
    <w:rsid w:val="009306CE"/>
    <w:rsid w:val="0093075A"/>
    <w:rsid w:val="0093083A"/>
    <w:rsid w:val="0093086C"/>
    <w:rsid w:val="0093088B"/>
    <w:rsid w:val="00930B2F"/>
    <w:rsid w:val="00930C6B"/>
    <w:rsid w:val="00930CD9"/>
    <w:rsid w:val="00930D01"/>
    <w:rsid w:val="00930D0D"/>
    <w:rsid w:val="00930F16"/>
    <w:rsid w:val="00930F29"/>
    <w:rsid w:val="00931091"/>
    <w:rsid w:val="009310B7"/>
    <w:rsid w:val="00931178"/>
    <w:rsid w:val="009312B0"/>
    <w:rsid w:val="00931397"/>
    <w:rsid w:val="0093139A"/>
    <w:rsid w:val="009314B8"/>
    <w:rsid w:val="00931523"/>
    <w:rsid w:val="0093152C"/>
    <w:rsid w:val="0093156D"/>
    <w:rsid w:val="009316BF"/>
    <w:rsid w:val="00931776"/>
    <w:rsid w:val="00931A00"/>
    <w:rsid w:val="00931A9C"/>
    <w:rsid w:val="00931B78"/>
    <w:rsid w:val="00931B9A"/>
    <w:rsid w:val="00931BD2"/>
    <w:rsid w:val="00931BD5"/>
    <w:rsid w:val="00931DDE"/>
    <w:rsid w:val="00931F3F"/>
    <w:rsid w:val="009320C1"/>
    <w:rsid w:val="00932142"/>
    <w:rsid w:val="00932402"/>
    <w:rsid w:val="00932478"/>
    <w:rsid w:val="00932543"/>
    <w:rsid w:val="00932808"/>
    <w:rsid w:val="0093286E"/>
    <w:rsid w:val="00932A7D"/>
    <w:rsid w:val="00932B03"/>
    <w:rsid w:val="00932B15"/>
    <w:rsid w:val="00932B5D"/>
    <w:rsid w:val="00932D27"/>
    <w:rsid w:val="00932E68"/>
    <w:rsid w:val="00932EB3"/>
    <w:rsid w:val="00932F56"/>
    <w:rsid w:val="00932F78"/>
    <w:rsid w:val="00932F83"/>
    <w:rsid w:val="0093304A"/>
    <w:rsid w:val="00933158"/>
    <w:rsid w:val="009331AD"/>
    <w:rsid w:val="00933211"/>
    <w:rsid w:val="009332CD"/>
    <w:rsid w:val="0093378E"/>
    <w:rsid w:val="009338F9"/>
    <w:rsid w:val="00933901"/>
    <w:rsid w:val="00933B5C"/>
    <w:rsid w:val="00933BAB"/>
    <w:rsid w:val="00933C72"/>
    <w:rsid w:val="00933E08"/>
    <w:rsid w:val="00933F0B"/>
    <w:rsid w:val="00933FA5"/>
    <w:rsid w:val="009340B6"/>
    <w:rsid w:val="0093414F"/>
    <w:rsid w:val="00934169"/>
    <w:rsid w:val="009341A4"/>
    <w:rsid w:val="00934318"/>
    <w:rsid w:val="00934367"/>
    <w:rsid w:val="009344BA"/>
    <w:rsid w:val="0093451C"/>
    <w:rsid w:val="00934529"/>
    <w:rsid w:val="00934703"/>
    <w:rsid w:val="009347A5"/>
    <w:rsid w:val="009347D3"/>
    <w:rsid w:val="0093486C"/>
    <w:rsid w:val="009348DE"/>
    <w:rsid w:val="009348EE"/>
    <w:rsid w:val="00934946"/>
    <w:rsid w:val="00934AE7"/>
    <w:rsid w:val="00934BA5"/>
    <w:rsid w:val="00935095"/>
    <w:rsid w:val="0093511B"/>
    <w:rsid w:val="00935191"/>
    <w:rsid w:val="00935228"/>
    <w:rsid w:val="0093523F"/>
    <w:rsid w:val="0093536F"/>
    <w:rsid w:val="00935398"/>
    <w:rsid w:val="00935499"/>
    <w:rsid w:val="009354AA"/>
    <w:rsid w:val="0093555E"/>
    <w:rsid w:val="0093598C"/>
    <w:rsid w:val="009359B2"/>
    <w:rsid w:val="009359FE"/>
    <w:rsid w:val="009361A3"/>
    <w:rsid w:val="0093638D"/>
    <w:rsid w:val="009365AB"/>
    <w:rsid w:val="009365C8"/>
    <w:rsid w:val="00936814"/>
    <w:rsid w:val="00936A1C"/>
    <w:rsid w:val="00936AFE"/>
    <w:rsid w:val="00936C06"/>
    <w:rsid w:val="00936C54"/>
    <w:rsid w:val="00936CC9"/>
    <w:rsid w:val="00936E23"/>
    <w:rsid w:val="00936ED2"/>
    <w:rsid w:val="00936ED7"/>
    <w:rsid w:val="00936EDA"/>
    <w:rsid w:val="00936F43"/>
    <w:rsid w:val="00937024"/>
    <w:rsid w:val="0093719F"/>
    <w:rsid w:val="00937286"/>
    <w:rsid w:val="00937314"/>
    <w:rsid w:val="00937329"/>
    <w:rsid w:val="00937492"/>
    <w:rsid w:val="009374A6"/>
    <w:rsid w:val="0093753C"/>
    <w:rsid w:val="0093761D"/>
    <w:rsid w:val="009376CB"/>
    <w:rsid w:val="0093778A"/>
    <w:rsid w:val="009378C2"/>
    <w:rsid w:val="00937926"/>
    <w:rsid w:val="00937B36"/>
    <w:rsid w:val="00937B97"/>
    <w:rsid w:val="00937CA5"/>
    <w:rsid w:val="00937F19"/>
    <w:rsid w:val="00937F6C"/>
    <w:rsid w:val="00940031"/>
    <w:rsid w:val="00940060"/>
    <w:rsid w:val="00940079"/>
    <w:rsid w:val="009400C6"/>
    <w:rsid w:val="00940150"/>
    <w:rsid w:val="0094029A"/>
    <w:rsid w:val="00940420"/>
    <w:rsid w:val="009404EB"/>
    <w:rsid w:val="00940563"/>
    <w:rsid w:val="009405E0"/>
    <w:rsid w:val="009406BA"/>
    <w:rsid w:val="009407BE"/>
    <w:rsid w:val="0094087C"/>
    <w:rsid w:val="00940A8B"/>
    <w:rsid w:val="00940AB9"/>
    <w:rsid w:val="00940BA1"/>
    <w:rsid w:val="00940E4B"/>
    <w:rsid w:val="00940F3B"/>
    <w:rsid w:val="00940FF2"/>
    <w:rsid w:val="009412DA"/>
    <w:rsid w:val="009412EE"/>
    <w:rsid w:val="0094136E"/>
    <w:rsid w:val="009413D1"/>
    <w:rsid w:val="0094154D"/>
    <w:rsid w:val="009415C2"/>
    <w:rsid w:val="0094161A"/>
    <w:rsid w:val="0094175D"/>
    <w:rsid w:val="009417E8"/>
    <w:rsid w:val="00941974"/>
    <w:rsid w:val="00941AE5"/>
    <w:rsid w:val="00941C70"/>
    <w:rsid w:val="00941EAA"/>
    <w:rsid w:val="00941ED3"/>
    <w:rsid w:val="00941EF0"/>
    <w:rsid w:val="00942379"/>
    <w:rsid w:val="009423F8"/>
    <w:rsid w:val="00942447"/>
    <w:rsid w:val="009426E1"/>
    <w:rsid w:val="00942833"/>
    <w:rsid w:val="00942838"/>
    <w:rsid w:val="00942869"/>
    <w:rsid w:val="00942A79"/>
    <w:rsid w:val="00942F10"/>
    <w:rsid w:val="009430AD"/>
    <w:rsid w:val="0094316D"/>
    <w:rsid w:val="009435B8"/>
    <w:rsid w:val="0094368D"/>
    <w:rsid w:val="00943729"/>
    <w:rsid w:val="009437C2"/>
    <w:rsid w:val="0094384C"/>
    <w:rsid w:val="009438FA"/>
    <w:rsid w:val="00943903"/>
    <w:rsid w:val="00943B8E"/>
    <w:rsid w:val="00943BE5"/>
    <w:rsid w:val="00943CAE"/>
    <w:rsid w:val="00943D58"/>
    <w:rsid w:val="00943D75"/>
    <w:rsid w:val="00943ED1"/>
    <w:rsid w:val="00943EEB"/>
    <w:rsid w:val="00943F57"/>
    <w:rsid w:val="0094432B"/>
    <w:rsid w:val="00944425"/>
    <w:rsid w:val="00944452"/>
    <w:rsid w:val="0094456F"/>
    <w:rsid w:val="00944819"/>
    <w:rsid w:val="00944887"/>
    <w:rsid w:val="0094496B"/>
    <w:rsid w:val="00944B3C"/>
    <w:rsid w:val="00944CBF"/>
    <w:rsid w:val="00944D65"/>
    <w:rsid w:val="00944EFA"/>
    <w:rsid w:val="00944F55"/>
    <w:rsid w:val="0094507B"/>
    <w:rsid w:val="0094510E"/>
    <w:rsid w:val="00945225"/>
    <w:rsid w:val="00945597"/>
    <w:rsid w:val="009455DD"/>
    <w:rsid w:val="009456D4"/>
    <w:rsid w:val="0094587D"/>
    <w:rsid w:val="0094597D"/>
    <w:rsid w:val="00945A7B"/>
    <w:rsid w:val="00945B18"/>
    <w:rsid w:val="00945B68"/>
    <w:rsid w:val="00945BC1"/>
    <w:rsid w:val="00945D81"/>
    <w:rsid w:val="00945E42"/>
    <w:rsid w:val="00945E98"/>
    <w:rsid w:val="00945EC1"/>
    <w:rsid w:val="00945F1F"/>
    <w:rsid w:val="00946073"/>
    <w:rsid w:val="00946187"/>
    <w:rsid w:val="0094620F"/>
    <w:rsid w:val="00946210"/>
    <w:rsid w:val="009463E9"/>
    <w:rsid w:val="00946457"/>
    <w:rsid w:val="009465D3"/>
    <w:rsid w:val="0094667A"/>
    <w:rsid w:val="00946717"/>
    <w:rsid w:val="0094677C"/>
    <w:rsid w:val="0094688D"/>
    <w:rsid w:val="0094688F"/>
    <w:rsid w:val="009468E8"/>
    <w:rsid w:val="009469FB"/>
    <w:rsid w:val="00946A46"/>
    <w:rsid w:val="00946B37"/>
    <w:rsid w:val="00946B62"/>
    <w:rsid w:val="00946E81"/>
    <w:rsid w:val="00946EC8"/>
    <w:rsid w:val="00946F4A"/>
    <w:rsid w:val="00946F68"/>
    <w:rsid w:val="00947039"/>
    <w:rsid w:val="009470A6"/>
    <w:rsid w:val="00947131"/>
    <w:rsid w:val="0094717A"/>
    <w:rsid w:val="00947308"/>
    <w:rsid w:val="00947442"/>
    <w:rsid w:val="009476A1"/>
    <w:rsid w:val="0094777D"/>
    <w:rsid w:val="009477F7"/>
    <w:rsid w:val="00947854"/>
    <w:rsid w:val="00947922"/>
    <w:rsid w:val="009479C0"/>
    <w:rsid w:val="00947AE5"/>
    <w:rsid w:val="00947CE4"/>
    <w:rsid w:val="00947D02"/>
    <w:rsid w:val="00947E28"/>
    <w:rsid w:val="00947E76"/>
    <w:rsid w:val="00947EFD"/>
    <w:rsid w:val="00947F07"/>
    <w:rsid w:val="00947F50"/>
    <w:rsid w:val="009500A5"/>
    <w:rsid w:val="009500D8"/>
    <w:rsid w:val="009500DB"/>
    <w:rsid w:val="00950103"/>
    <w:rsid w:val="00950480"/>
    <w:rsid w:val="0095061F"/>
    <w:rsid w:val="0095096E"/>
    <w:rsid w:val="00950BAE"/>
    <w:rsid w:val="00950BBF"/>
    <w:rsid w:val="00950C83"/>
    <w:rsid w:val="00950D81"/>
    <w:rsid w:val="00950E20"/>
    <w:rsid w:val="00950E43"/>
    <w:rsid w:val="00950EC0"/>
    <w:rsid w:val="00950FA3"/>
    <w:rsid w:val="009511E2"/>
    <w:rsid w:val="009513B9"/>
    <w:rsid w:val="0095155F"/>
    <w:rsid w:val="009516B3"/>
    <w:rsid w:val="009516E3"/>
    <w:rsid w:val="00951740"/>
    <w:rsid w:val="009518E4"/>
    <w:rsid w:val="00951A39"/>
    <w:rsid w:val="00951EBC"/>
    <w:rsid w:val="00951EE0"/>
    <w:rsid w:val="00951FBB"/>
    <w:rsid w:val="009520A6"/>
    <w:rsid w:val="0095219B"/>
    <w:rsid w:val="0095236D"/>
    <w:rsid w:val="00952393"/>
    <w:rsid w:val="00952402"/>
    <w:rsid w:val="00952421"/>
    <w:rsid w:val="009524AA"/>
    <w:rsid w:val="0095253A"/>
    <w:rsid w:val="009525CF"/>
    <w:rsid w:val="009525F5"/>
    <w:rsid w:val="0095261F"/>
    <w:rsid w:val="009529F9"/>
    <w:rsid w:val="00952B48"/>
    <w:rsid w:val="00952BC9"/>
    <w:rsid w:val="00952E69"/>
    <w:rsid w:val="00952EAD"/>
    <w:rsid w:val="00952FF7"/>
    <w:rsid w:val="00953104"/>
    <w:rsid w:val="009531C5"/>
    <w:rsid w:val="00953490"/>
    <w:rsid w:val="0095364B"/>
    <w:rsid w:val="009537A6"/>
    <w:rsid w:val="00953870"/>
    <w:rsid w:val="00953907"/>
    <w:rsid w:val="00953A5E"/>
    <w:rsid w:val="00953AE7"/>
    <w:rsid w:val="00953B2D"/>
    <w:rsid w:val="00953D1D"/>
    <w:rsid w:val="00953D31"/>
    <w:rsid w:val="00953E12"/>
    <w:rsid w:val="00953F0D"/>
    <w:rsid w:val="00954081"/>
    <w:rsid w:val="009541EC"/>
    <w:rsid w:val="009542C6"/>
    <w:rsid w:val="00954337"/>
    <w:rsid w:val="00954429"/>
    <w:rsid w:val="00954471"/>
    <w:rsid w:val="009544A3"/>
    <w:rsid w:val="00954543"/>
    <w:rsid w:val="0095457E"/>
    <w:rsid w:val="009546C2"/>
    <w:rsid w:val="009546E1"/>
    <w:rsid w:val="0095473A"/>
    <w:rsid w:val="00954887"/>
    <w:rsid w:val="00954913"/>
    <w:rsid w:val="00954C05"/>
    <w:rsid w:val="00954CEA"/>
    <w:rsid w:val="00954D0D"/>
    <w:rsid w:val="00954DE9"/>
    <w:rsid w:val="00954EB7"/>
    <w:rsid w:val="00954F29"/>
    <w:rsid w:val="00955194"/>
    <w:rsid w:val="009551BC"/>
    <w:rsid w:val="00955259"/>
    <w:rsid w:val="0095529B"/>
    <w:rsid w:val="00955373"/>
    <w:rsid w:val="009553A0"/>
    <w:rsid w:val="009553BD"/>
    <w:rsid w:val="00955476"/>
    <w:rsid w:val="00955479"/>
    <w:rsid w:val="009554E5"/>
    <w:rsid w:val="00955588"/>
    <w:rsid w:val="009555B6"/>
    <w:rsid w:val="0095565E"/>
    <w:rsid w:val="00955661"/>
    <w:rsid w:val="00955671"/>
    <w:rsid w:val="0095570E"/>
    <w:rsid w:val="009558DA"/>
    <w:rsid w:val="00955AFE"/>
    <w:rsid w:val="00955B23"/>
    <w:rsid w:val="00955BB3"/>
    <w:rsid w:val="00955C71"/>
    <w:rsid w:val="00955DBA"/>
    <w:rsid w:val="0095605B"/>
    <w:rsid w:val="00956066"/>
    <w:rsid w:val="009561E7"/>
    <w:rsid w:val="0095633C"/>
    <w:rsid w:val="009563B8"/>
    <w:rsid w:val="009563CE"/>
    <w:rsid w:val="00956426"/>
    <w:rsid w:val="009566BB"/>
    <w:rsid w:val="009566F2"/>
    <w:rsid w:val="00956776"/>
    <w:rsid w:val="00956788"/>
    <w:rsid w:val="009567D5"/>
    <w:rsid w:val="009568A7"/>
    <w:rsid w:val="00956911"/>
    <w:rsid w:val="00956955"/>
    <w:rsid w:val="00956967"/>
    <w:rsid w:val="009569F3"/>
    <w:rsid w:val="00956C9D"/>
    <w:rsid w:val="00956D9E"/>
    <w:rsid w:val="009570E5"/>
    <w:rsid w:val="00957252"/>
    <w:rsid w:val="0095729B"/>
    <w:rsid w:val="00957308"/>
    <w:rsid w:val="009574AA"/>
    <w:rsid w:val="00957651"/>
    <w:rsid w:val="009578EC"/>
    <w:rsid w:val="00957959"/>
    <w:rsid w:val="00957BEA"/>
    <w:rsid w:val="00957C54"/>
    <w:rsid w:val="00957E0D"/>
    <w:rsid w:val="009600DE"/>
    <w:rsid w:val="0096017C"/>
    <w:rsid w:val="009601C9"/>
    <w:rsid w:val="00960219"/>
    <w:rsid w:val="00960269"/>
    <w:rsid w:val="009602BA"/>
    <w:rsid w:val="0096031C"/>
    <w:rsid w:val="0096061E"/>
    <w:rsid w:val="00960642"/>
    <w:rsid w:val="00960659"/>
    <w:rsid w:val="009606A0"/>
    <w:rsid w:val="0096072F"/>
    <w:rsid w:val="00960873"/>
    <w:rsid w:val="00960A53"/>
    <w:rsid w:val="00960AAD"/>
    <w:rsid w:val="00960B03"/>
    <w:rsid w:val="00960B38"/>
    <w:rsid w:val="00960C6A"/>
    <w:rsid w:val="00960E37"/>
    <w:rsid w:val="00960F71"/>
    <w:rsid w:val="0096112B"/>
    <w:rsid w:val="009615C1"/>
    <w:rsid w:val="00961641"/>
    <w:rsid w:val="009616ED"/>
    <w:rsid w:val="00961ED8"/>
    <w:rsid w:val="00961FD5"/>
    <w:rsid w:val="00962202"/>
    <w:rsid w:val="0096220D"/>
    <w:rsid w:val="0096225B"/>
    <w:rsid w:val="009622A1"/>
    <w:rsid w:val="009624D8"/>
    <w:rsid w:val="00962577"/>
    <w:rsid w:val="0096275E"/>
    <w:rsid w:val="00962794"/>
    <w:rsid w:val="009627EA"/>
    <w:rsid w:val="0096282E"/>
    <w:rsid w:val="0096283E"/>
    <w:rsid w:val="009628D9"/>
    <w:rsid w:val="00962930"/>
    <w:rsid w:val="00962A58"/>
    <w:rsid w:val="00962B01"/>
    <w:rsid w:val="00962B33"/>
    <w:rsid w:val="00962E1C"/>
    <w:rsid w:val="00962E4F"/>
    <w:rsid w:val="00962F3B"/>
    <w:rsid w:val="00962F7B"/>
    <w:rsid w:val="00963080"/>
    <w:rsid w:val="00963155"/>
    <w:rsid w:val="0096333F"/>
    <w:rsid w:val="00963373"/>
    <w:rsid w:val="009634D8"/>
    <w:rsid w:val="0096355D"/>
    <w:rsid w:val="009635C1"/>
    <w:rsid w:val="0096363C"/>
    <w:rsid w:val="00963683"/>
    <w:rsid w:val="00963886"/>
    <w:rsid w:val="009638EF"/>
    <w:rsid w:val="0096391F"/>
    <w:rsid w:val="00963987"/>
    <w:rsid w:val="00963B9F"/>
    <w:rsid w:val="00963C2F"/>
    <w:rsid w:val="00963D14"/>
    <w:rsid w:val="00963D3F"/>
    <w:rsid w:val="00963DFC"/>
    <w:rsid w:val="00963E36"/>
    <w:rsid w:val="00963F55"/>
    <w:rsid w:val="00963F66"/>
    <w:rsid w:val="00963F87"/>
    <w:rsid w:val="00964067"/>
    <w:rsid w:val="009640F2"/>
    <w:rsid w:val="0096429C"/>
    <w:rsid w:val="00964331"/>
    <w:rsid w:val="00964342"/>
    <w:rsid w:val="0096450B"/>
    <w:rsid w:val="00964539"/>
    <w:rsid w:val="0096458E"/>
    <w:rsid w:val="009645D6"/>
    <w:rsid w:val="00964A7A"/>
    <w:rsid w:val="00964B8C"/>
    <w:rsid w:val="00964BD1"/>
    <w:rsid w:val="00964C0D"/>
    <w:rsid w:val="00964C78"/>
    <w:rsid w:val="00964D5B"/>
    <w:rsid w:val="00964D65"/>
    <w:rsid w:val="00964E61"/>
    <w:rsid w:val="00964EE6"/>
    <w:rsid w:val="00965049"/>
    <w:rsid w:val="0096509E"/>
    <w:rsid w:val="00965226"/>
    <w:rsid w:val="009653AA"/>
    <w:rsid w:val="009653C0"/>
    <w:rsid w:val="0096546B"/>
    <w:rsid w:val="009654BE"/>
    <w:rsid w:val="00965676"/>
    <w:rsid w:val="00965727"/>
    <w:rsid w:val="0096580B"/>
    <w:rsid w:val="0096594A"/>
    <w:rsid w:val="00965C73"/>
    <w:rsid w:val="00965E35"/>
    <w:rsid w:val="00965ECD"/>
    <w:rsid w:val="00965EE5"/>
    <w:rsid w:val="00966000"/>
    <w:rsid w:val="00966039"/>
    <w:rsid w:val="00966102"/>
    <w:rsid w:val="0096613F"/>
    <w:rsid w:val="00966252"/>
    <w:rsid w:val="009663E4"/>
    <w:rsid w:val="0096641F"/>
    <w:rsid w:val="00966802"/>
    <w:rsid w:val="00966867"/>
    <w:rsid w:val="009669EF"/>
    <w:rsid w:val="00966C09"/>
    <w:rsid w:val="00966C96"/>
    <w:rsid w:val="00966CEE"/>
    <w:rsid w:val="00966FBE"/>
    <w:rsid w:val="00967292"/>
    <w:rsid w:val="009672C6"/>
    <w:rsid w:val="0096735A"/>
    <w:rsid w:val="009674B7"/>
    <w:rsid w:val="0096765F"/>
    <w:rsid w:val="0096770F"/>
    <w:rsid w:val="00967710"/>
    <w:rsid w:val="00967750"/>
    <w:rsid w:val="00967943"/>
    <w:rsid w:val="00967BB2"/>
    <w:rsid w:val="00967D7D"/>
    <w:rsid w:val="00967DA3"/>
    <w:rsid w:val="00967E60"/>
    <w:rsid w:val="00967EA2"/>
    <w:rsid w:val="00967EF8"/>
    <w:rsid w:val="00970067"/>
    <w:rsid w:val="0097022C"/>
    <w:rsid w:val="009702CD"/>
    <w:rsid w:val="0097035B"/>
    <w:rsid w:val="00970450"/>
    <w:rsid w:val="00970464"/>
    <w:rsid w:val="0097076D"/>
    <w:rsid w:val="00970AB4"/>
    <w:rsid w:val="00970B25"/>
    <w:rsid w:val="00970CB3"/>
    <w:rsid w:val="00970D4D"/>
    <w:rsid w:val="00970D61"/>
    <w:rsid w:val="00970D8D"/>
    <w:rsid w:val="00970E94"/>
    <w:rsid w:val="00970EDC"/>
    <w:rsid w:val="00970F0A"/>
    <w:rsid w:val="00971068"/>
    <w:rsid w:val="009710C1"/>
    <w:rsid w:val="00971138"/>
    <w:rsid w:val="00971154"/>
    <w:rsid w:val="00971333"/>
    <w:rsid w:val="009714C5"/>
    <w:rsid w:val="009714CB"/>
    <w:rsid w:val="00971500"/>
    <w:rsid w:val="009715BD"/>
    <w:rsid w:val="0097169F"/>
    <w:rsid w:val="009717E4"/>
    <w:rsid w:val="009718F6"/>
    <w:rsid w:val="0097196D"/>
    <w:rsid w:val="009719AA"/>
    <w:rsid w:val="00971A73"/>
    <w:rsid w:val="00971D52"/>
    <w:rsid w:val="00971D65"/>
    <w:rsid w:val="00971E3B"/>
    <w:rsid w:val="009722E6"/>
    <w:rsid w:val="00972306"/>
    <w:rsid w:val="009723B9"/>
    <w:rsid w:val="00972407"/>
    <w:rsid w:val="009724A1"/>
    <w:rsid w:val="009724F4"/>
    <w:rsid w:val="00972548"/>
    <w:rsid w:val="00972609"/>
    <w:rsid w:val="0097265B"/>
    <w:rsid w:val="00972919"/>
    <w:rsid w:val="00972968"/>
    <w:rsid w:val="00972A98"/>
    <w:rsid w:val="00972AB7"/>
    <w:rsid w:val="00972CC0"/>
    <w:rsid w:val="00972CF2"/>
    <w:rsid w:val="00972E37"/>
    <w:rsid w:val="00972EB6"/>
    <w:rsid w:val="00972F8E"/>
    <w:rsid w:val="00973006"/>
    <w:rsid w:val="00973078"/>
    <w:rsid w:val="00973080"/>
    <w:rsid w:val="009731D6"/>
    <w:rsid w:val="00973289"/>
    <w:rsid w:val="009733BD"/>
    <w:rsid w:val="009733D7"/>
    <w:rsid w:val="00973583"/>
    <w:rsid w:val="009735A2"/>
    <w:rsid w:val="00973690"/>
    <w:rsid w:val="009736E7"/>
    <w:rsid w:val="00973743"/>
    <w:rsid w:val="009737FC"/>
    <w:rsid w:val="00973842"/>
    <w:rsid w:val="00973879"/>
    <w:rsid w:val="00973907"/>
    <w:rsid w:val="00973A18"/>
    <w:rsid w:val="00973A23"/>
    <w:rsid w:val="00973A57"/>
    <w:rsid w:val="00973C1B"/>
    <w:rsid w:val="00973E24"/>
    <w:rsid w:val="00973E7E"/>
    <w:rsid w:val="00973EDF"/>
    <w:rsid w:val="00973F01"/>
    <w:rsid w:val="00973FE3"/>
    <w:rsid w:val="00974052"/>
    <w:rsid w:val="009740AF"/>
    <w:rsid w:val="00974289"/>
    <w:rsid w:val="00974391"/>
    <w:rsid w:val="009743E2"/>
    <w:rsid w:val="0097448D"/>
    <w:rsid w:val="009745C2"/>
    <w:rsid w:val="00974650"/>
    <w:rsid w:val="00974664"/>
    <w:rsid w:val="009746C9"/>
    <w:rsid w:val="00974719"/>
    <w:rsid w:val="00974CD5"/>
    <w:rsid w:val="00974CD7"/>
    <w:rsid w:val="00974D25"/>
    <w:rsid w:val="00974D5E"/>
    <w:rsid w:val="00974D8D"/>
    <w:rsid w:val="00974E02"/>
    <w:rsid w:val="00974F0D"/>
    <w:rsid w:val="0097504C"/>
    <w:rsid w:val="00975157"/>
    <w:rsid w:val="009753EC"/>
    <w:rsid w:val="009754CE"/>
    <w:rsid w:val="009754E3"/>
    <w:rsid w:val="009754F8"/>
    <w:rsid w:val="00975534"/>
    <w:rsid w:val="009755EE"/>
    <w:rsid w:val="0097562A"/>
    <w:rsid w:val="0097574C"/>
    <w:rsid w:val="009757DE"/>
    <w:rsid w:val="009757EB"/>
    <w:rsid w:val="00975842"/>
    <w:rsid w:val="00975950"/>
    <w:rsid w:val="0097597A"/>
    <w:rsid w:val="00975AC3"/>
    <w:rsid w:val="00975BA1"/>
    <w:rsid w:val="00975C40"/>
    <w:rsid w:val="00975D14"/>
    <w:rsid w:val="00976050"/>
    <w:rsid w:val="00976055"/>
    <w:rsid w:val="009760EA"/>
    <w:rsid w:val="0097616F"/>
    <w:rsid w:val="009761BD"/>
    <w:rsid w:val="00976328"/>
    <w:rsid w:val="00976430"/>
    <w:rsid w:val="009764C6"/>
    <w:rsid w:val="00976561"/>
    <w:rsid w:val="0097661B"/>
    <w:rsid w:val="00976683"/>
    <w:rsid w:val="009766D4"/>
    <w:rsid w:val="009766F4"/>
    <w:rsid w:val="0097680D"/>
    <w:rsid w:val="00976863"/>
    <w:rsid w:val="009768A4"/>
    <w:rsid w:val="0097693E"/>
    <w:rsid w:val="00976A3F"/>
    <w:rsid w:val="00976ACA"/>
    <w:rsid w:val="00976B5A"/>
    <w:rsid w:val="00976B8D"/>
    <w:rsid w:val="00976D9D"/>
    <w:rsid w:val="00976EC2"/>
    <w:rsid w:val="00976F97"/>
    <w:rsid w:val="009771F7"/>
    <w:rsid w:val="0097720F"/>
    <w:rsid w:val="0097725E"/>
    <w:rsid w:val="009772CE"/>
    <w:rsid w:val="00977386"/>
    <w:rsid w:val="009774BD"/>
    <w:rsid w:val="0097750E"/>
    <w:rsid w:val="00977546"/>
    <w:rsid w:val="00977894"/>
    <w:rsid w:val="009779CD"/>
    <w:rsid w:val="00977A52"/>
    <w:rsid w:val="00977B6A"/>
    <w:rsid w:val="00977BC3"/>
    <w:rsid w:val="00977C6D"/>
    <w:rsid w:val="00977C6E"/>
    <w:rsid w:val="00977E0C"/>
    <w:rsid w:val="00980099"/>
    <w:rsid w:val="0098020A"/>
    <w:rsid w:val="00980260"/>
    <w:rsid w:val="00980310"/>
    <w:rsid w:val="009804E9"/>
    <w:rsid w:val="00980565"/>
    <w:rsid w:val="009805A4"/>
    <w:rsid w:val="009805BC"/>
    <w:rsid w:val="00980752"/>
    <w:rsid w:val="009808B0"/>
    <w:rsid w:val="009808DF"/>
    <w:rsid w:val="00980964"/>
    <w:rsid w:val="009809A6"/>
    <w:rsid w:val="00980A06"/>
    <w:rsid w:val="00980A83"/>
    <w:rsid w:val="00980AA9"/>
    <w:rsid w:val="00980E8C"/>
    <w:rsid w:val="00980F0E"/>
    <w:rsid w:val="00980F1B"/>
    <w:rsid w:val="0098111E"/>
    <w:rsid w:val="00981399"/>
    <w:rsid w:val="009816AF"/>
    <w:rsid w:val="009816EF"/>
    <w:rsid w:val="009819B9"/>
    <w:rsid w:val="009819EB"/>
    <w:rsid w:val="00981ACD"/>
    <w:rsid w:val="00981B3B"/>
    <w:rsid w:val="00981C24"/>
    <w:rsid w:val="00981D2A"/>
    <w:rsid w:val="00981FB2"/>
    <w:rsid w:val="00982023"/>
    <w:rsid w:val="009820BF"/>
    <w:rsid w:val="00982197"/>
    <w:rsid w:val="0098221E"/>
    <w:rsid w:val="009823C8"/>
    <w:rsid w:val="0098242E"/>
    <w:rsid w:val="00982438"/>
    <w:rsid w:val="009825E3"/>
    <w:rsid w:val="00982624"/>
    <w:rsid w:val="0098285E"/>
    <w:rsid w:val="0098287E"/>
    <w:rsid w:val="0098293A"/>
    <w:rsid w:val="00982AA0"/>
    <w:rsid w:val="00982CBA"/>
    <w:rsid w:val="00982E68"/>
    <w:rsid w:val="0098302C"/>
    <w:rsid w:val="00983068"/>
    <w:rsid w:val="009830ED"/>
    <w:rsid w:val="00983115"/>
    <w:rsid w:val="00983226"/>
    <w:rsid w:val="0098333C"/>
    <w:rsid w:val="00983436"/>
    <w:rsid w:val="0098350E"/>
    <w:rsid w:val="00983601"/>
    <w:rsid w:val="00983633"/>
    <w:rsid w:val="00983638"/>
    <w:rsid w:val="00983770"/>
    <w:rsid w:val="00983796"/>
    <w:rsid w:val="009837F2"/>
    <w:rsid w:val="00983851"/>
    <w:rsid w:val="009838A9"/>
    <w:rsid w:val="00983AF8"/>
    <w:rsid w:val="00983B29"/>
    <w:rsid w:val="00983BCA"/>
    <w:rsid w:val="00983C47"/>
    <w:rsid w:val="00983D3E"/>
    <w:rsid w:val="00983D54"/>
    <w:rsid w:val="00983D7D"/>
    <w:rsid w:val="00983E7E"/>
    <w:rsid w:val="00983E86"/>
    <w:rsid w:val="00983EAD"/>
    <w:rsid w:val="00983FD4"/>
    <w:rsid w:val="00984026"/>
    <w:rsid w:val="0098404C"/>
    <w:rsid w:val="009840E6"/>
    <w:rsid w:val="00984159"/>
    <w:rsid w:val="00984516"/>
    <w:rsid w:val="0098453C"/>
    <w:rsid w:val="00984585"/>
    <w:rsid w:val="00984722"/>
    <w:rsid w:val="00984D2D"/>
    <w:rsid w:val="00984D51"/>
    <w:rsid w:val="00984F0B"/>
    <w:rsid w:val="00984FC6"/>
    <w:rsid w:val="009850CD"/>
    <w:rsid w:val="00985283"/>
    <w:rsid w:val="00985288"/>
    <w:rsid w:val="009852F9"/>
    <w:rsid w:val="009853BB"/>
    <w:rsid w:val="009854F4"/>
    <w:rsid w:val="00985519"/>
    <w:rsid w:val="00985572"/>
    <w:rsid w:val="009858D7"/>
    <w:rsid w:val="00985910"/>
    <w:rsid w:val="009859C6"/>
    <w:rsid w:val="00985BBC"/>
    <w:rsid w:val="00985BE9"/>
    <w:rsid w:val="00985C13"/>
    <w:rsid w:val="00985C25"/>
    <w:rsid w:val="00985DAD"/>
    <w:rsid w:val="00985E97"/>
    <w:rsid w:val="00985FB3"/>
    <w:rsid w:val="00986316"/>
    <w:rsid w:val="0098632D"/>
    <w:rsid w:val="0098634C"/>
    <w:rsid w:val="00986372"/>
    <w:rsid w:val="009863EB"/>
    <w:rsid w:val="009865BB"/>
    <w:rsid w:val="009865F2"/>
    <w:rsid w:val="009868E3"/>
    <w:rsid w:val="00986991"/>
    <w:rsid w:val="00986A1E"/>
    <w:rsid w:val="00986A8A"/>
    <w:rsid w:val="00986AA5"/>
    <w:rsid w:val="00986B26"/>
    <w:rsid w:val="00986C96"/>
    <w:rsid w:val="00986D2A"/>
    <w:rsid w:val="00987184"/>
    <w:rsid w:val="009871AA"/>
    <w:rsid w:val="0098723C"/>
    <w:rsid w:val="0098734C"/>
    <w:rsid w:val="0098751C"/>
    <w:rsid w:val="00987862"/>
    <w:rsid w:val="00987DEC"/>
    <w:rsid w:val="00987E3D"/>
    <w:rsid w:val="00987E8E"/>
    <w:rsid w:val="00987FD4"/>
    <w:rsid w:val="0099000F"/>
    <w:rsid w:val="0099011A"/>
    <w:rsid w:val="00990123"/>
    <w:rsid w:val="00990394"/>
    <w:rsid w:val="009903B8"/>
    <w:rsid w:val="00990467"/>
    <w:rsid w:val="0099050F"/>
    <w:rsid w:val="00990521"/>
    <w:rsid w:val="00990732"/>
    <w:rsid w:val="0099084E"/>
    <w:rsid w:val="0099090B"/>
    <w:rsid w:val="00990E51"/>
    <w:rsid w:val="00990E85"/>
    <w:rsid w:val="00990F9A"/>
    <w:rsid w:val="009910CC"/>
    <w:rsid w:val="00991212"/>
    <w:rsid w:val="009912D4"/>
    <w:rsid w:val="00991361"/>
    <w:rsid w:val="00991374"/>
    <w:rsid w:val="0099139F"/>
    <w:rsid w:val="009914D7"/>
    <w:rsid w:val="0099155A"/>
    <w:rsid w:val="0099169D"/>
    <w:rsid w:val="00991856"/>
    <w:rsid w:val="009918D4"/>
    <w:rsid w:val="00991911"/>
    <w:rsid w:val="00991B8F"/>
    <w:rsid w:val="00991CDF"/>
    <w:rsid w:val="00991D57"/>
    <w:rsid w:val="00991DA9"/>
    <w:rsid w:val="00991DAB"/>
    <w:rsid w:val="00991E65"/>
    <w:rsid w:val="00991FAD"/>
    <w:rsid w:val="00991FCF"/>
    <w:rsid w:val="009920F1"/>
    <w:rsid w:val="009921FA"/>
    <w:rsid w:val="0099230C"/>
    <w:rsid w:val="0099231C"/>
    <w:rsid w:val="0099234B"/>
    <w:rsid w:val="00992440"/>
    <w:rsid w:val="009924F0"/>
    <w:rsid w:val="00992515"/>
    <w:rsid w:val="0099257C"/>
    <w:rsid w:val="009925DE"/>
    <w:rsid w:val="009927BF"/>
    <w:rsid w:val="009927C6"/>
    <w:rsid w:val="00992803"/>
    <w:rsid w:val="009928BB"/>
    <w:rsid w:val="009929F8"/>
    <w:rsid w:val="00992AE4"/>
    <w:rsid w:val="00992C56"/>
    <w:rsid w:val="00993256"/>
    <w:rsid w:val="009933B8"/>
    <w:rsid w:val="009933D8"/>
    <w:rsid w:val="0099365B"/>
    <w:rsid w:val="0099393F"/>
    <w:rsid w:val="0099396B"/>
    <w:rsid w:val="00993B72"/>
    <w:rsid w:val="00993C3F"/>
    <w:rsid w:val="00993C5B"/>
    <w:rsid w:val="00993CE1"/>
    <w:rsid w:val="00993D83"/>
    <w:rsid w:val="00994180"/>
    <w:rsid w:val="009943C7"/>
    <w:rsid w:val="0099459B"/>
    <w:rsid w:val="0099471F"/>
    <w:rsid w:val="0099476C"/>
    <w:rsid w:val="009947B8"/>
    <w:rsid w:val="009948B3"/>
    <w:rsid w:val="00994963"/>
    <w:rsid w:val="0099497B"/>
    <w:rsid w:val="00994A23"/>
    <w:rsid w:val="00994DA6"/>
    <w:rsid w:val="00994DDE"/>
    <w:rsid w:val="00994E9A"/>
    <w:rsid w:val="009950CC"/>
    <w:rsid w:val="009950F9"/>
    <w:rsid w:val="0099526F"/>
    <w:rsid w:val="0099537C"/>
    <w:rsid w:val="0099541F"/>
    <w:rsid w:val="009955F1"/>
    <w:rsid w:val="0099566E"/>
    <w:rsid w:val="009956BE"/>
    <w:rsid w:val="009957C4"/>
    <w:rsid w:val="0099587B"/>
    <w:rsid w:val="009958B9"/>
    <w:rsid w:val="00995992"/>
    <w:rsid w:val="00995A16"/>
    <w:rsid w:val="00995B2B"/>
    <w:rsid w:val="00995B7A"/>
    <w:rsid w:val="00995BBB"/>
    <w:rsid w:val="00995C35"/>
    <w:rsid w:val="00995C9E"/>
    <w:rsid w:val="00995E71"/>
    <w:rsid w:val="00995E93"/>
    <w:rsid w:val="00995F1F"/>
    <w:rsid w:val="00996038"/>
    <w:rsid w:val="00996047"/>
    <w:rsid w:val="00996298"/>
    <w:rsid w:val="00996452"/>
    <w:rsid w:val="0099653A"/>
    <w:rsid w:val="009965EC"/>
    <w:rsid w:val="009966C3"/>
    <w:rsid w:val="009966DF"/>
    <w:rsid w:val="00996855"/>
    <w:rsid w:val="009968C1"/>
    <w:rsid w:val="00996AB2"/>
    <w:rsid w:val="00996AD5"/>
    <w:rsid w:val="00996B23"/>
    <w:rsid w:val="00996B66"/>
    <w:rsid w:val="00996C40"/>
    <w:rsid w:val="00996C9B"/>
    <w:rsid w:val="00996DC7"/>
    <w:rsid w:val="00996DEF"/>
    <w:rsid w:val="00996E13"/>
    <w:rsid w:val="00996F90"/>
    <w:rsid w:val="00996FFD"/>
    <w:rsid w:val="0099708C"/>
    <w:rsid w:val="009971D7"/>
    <w:rsid w:val="00997256"/>
    <w:rsid w:val="00997424"/>
    <w:rsid w:val="00997474"/>
    <w:rsid w:val="009974EA"/>
    <w:rsid w:val="0099751D"/>
    <w:rsid w:val="0099769E"/>
    <w:rsid w:val="00997736"/>
    <w:rsid w:val="009977BD"/>
    <w:rsid w:val="00997827"/>
    <w:rsid w:val="009978E1"/>
    <w:rsid w:val="00997973"/>
    <w:rsid w:val="00997A44"/>
    <w:rsid w:val="00997C27"/>
    <w:rsid w:val="00997C5F"/>
    <w:rsid w:val="009A0042"/>
    <w:rsid w:val="009A01D1"/>
    <w:rsid w:val="009A02AD"/>
    <w:rsid w:val="009A03C2"/>
    <w:rsid w:val="009A03E5"/>
    <w:rsid w:val="009A05D7"/>
    <w:rsid w:val="009A06FA"/>
    <w:rsid w:val="009A07B0"/>
    <w:rsid w:val="009A08BE"/>
    <w:rsid w:val="009A0952"/>
    <w:rsid w:val="009A0D76"/>
    <w:rsid w:val="009A0EA1"/>
    <w:rsid w:val="009A0F3B"/>
    <w:rsid w:val="009A1081"/>
    <w:rsid w:val="009A1099"/>
    <w:rsid w:val="009A11DB"/>
    <w:rsid w:val="009A1290"/>
    <w:rsid w:val="009A136B"/>
    <w:rsid w:val="009A14C9"/>
    <w:rsid w:val="009A1623"/>
    <w:rsid w:val="009A18A6"/>
    <w:rsid w:val="009A1973"/>
    <w:rsid w:val="009A19B6"/>
    <w:rsid w:val="009A1A68"/>
    <w:rsid w:val="009A1AB3"/>
    <w:rsid w:val="009A1B2D"/>
    <w:rsid w:val="009A1BB4"/>
    <w:rsid w:val="009A209A"/>
    <w:rsid w:val="009A228A"/>
    <w:rsid w:val="009A2309"/>
    <w:rsid w:val="009A2577"/>
    <w:rsid w:val="009A25D6"/>
    <w:rsid w:val="009A2628"/>
    <w:rsid w:val="009A2793"/>
    <w:rsid w:val="009A2875"/>
    <w:rsid w:val="009A2884"/>
    <w:rsid w:val="009A28A0"/>
    <w:rsid w:val="009A2929"/>
    <w:rsid w:val="009A2A1D"/>
    <w:rsid w:val="009A2B53"/>
    <w:rsid w:val="009A2BEB"/>
    <w:rsid w:val="009A2C8A"/>
    <w:rsid w:val="009A2C95"/>
    <w:rsid w:val="009A2CF1"/>
    <w:rsid w:val="009A2D7F"/>
    <w:rsid w:val="009A301B"/>
    <w:rsid w:val="009A3057"/>
    <w:rsid w:val="009A30E2"/>
    <w:rsid w:val="009A3200"/>
    <w:rsid w:val="009A32D8"/>
    <w:rsid w:val="009A3396"/>
    <w:rsid w:val="009A359C"/>
    <w:rsid w:val="009A3658"/>
    <w:rsid w:val="009A36AB"/>
    <w:rsid w:val="009A375E"/>
    <w:rsid w:val="009A3856"/>
    <w:rsid w:val="009A3B7C"/>
    <w:rsid w:val="009A3C79"/>
    <w:rsid w:val="009A3D10"/>
    <w:rsid w:val="009A3E4C"/>
    <w:rsid w:val="009A3E51"/>
    <w:rsid w:val="009A3FBE"/>
    <w:rsid w:val="009A4136"/>
    <w:rsid w:val="009A4182"/>
    <w:rsid w:val="009A4245"/>
    <w:rsid w:val="009A473C"/>
    <w:rsid w:val="009A491A"/>
    <w:rsid w:val="009A49FF"/>
    <w:rsid w:val="009A4A9A"/>
    <w:rsid w:val="009A4B8A"/>
    <w:rsid w:val="009A4D84"/>
    <w:rsid w:val="009A4DCE"/>
    <w:rsid w:val="009A4DE5"/>
    <w:rsid w:val="009A4E73"/>
    <w:rsid w:val="009A4ED8"/>
    <w:rsid w:val="009A4EEA"/>
    <w:rsid w:val="009A501E"/>
    <w:rsid w:val="009A504E"/>
    <w:rsid w:val="009A530E"/>
    <w:rsid w:val="009A53F5"/>
    <w:rsid w:val="009A54A7"/>
    <w:rsid w:val="009A5705"/>
    <w:rsid w:val="009A57CB"/>
    <w:rsid w:val="009A58B7"/>
    <w:rsid w:val="009A5A71"/>
    <w:rsid w:val="009A5B1F"/>
    <w:rsid w:val="009A5BA8"/>
    <w:rsid w:val="009A5C21"/>
    <w:rsid w:val="009A5C96"/>
    <w:rsid w:val="009A5CEE"/>
    <w:rsid w:val="009A5DBE"/>
    <w:rsid w:val="009A60B2"/>
    <w:rsid w:val="009A60C5"/>
    <w:rsid w:val="009A6178"/>
    <w:rsid w:val="009A6192"/>
    <w:rsid w:val="009A61AD"/>
    <w:rsid w:val="009A6242"/>
    <w:rsid w:val="009A63B1"/>
    <w:rsid w:val="009A642A"/>
    <w:rsid w:val="009A6462"/>
    <w:rsid w:val="009A66E7"/>
    <w:rsid w:val="009A67D0"/>
    <w:rsid w:val="009A6960"/>
    <w:rsid w:val="009A69A6"/>
    <w:rsid w:val="009A6BAA"/>
    <w:rsid w:val="009A6D20"/>
    <w:rsid w:val="009A6D91"/>
    <w:rsid w:val="009A6E34"/>
    <w:rsid w:val="009A6E93"/>
    <w:rsid w:val="009A6F7E"/>
    <w:rsid w:val="009A7196"/>
    <w:rsid w:val="009A71E7"/>
    <w:rsid w:val="009A77E4"/>
    <w:rsid w:val="009A77F4"/>
    <w:rsid w:val="009A7881"/>
    <w:rsid w:val="009A7A36"/>
    <w:rsid w:val="009A7AB8"/>
    <w:rsid w:val="009A7CA8"/>
    <w:rsid w:val="009A7E59"/>
    <w:rsid w:val="009A7F47"/>
    <w:rsid w:val="009A7FA3"/>
    <w:rsid w:val="009B00E7"/>
    <w:rsid w:val="009B0100"/>
    <w:rsid w:val="009B019E"/>
    <w:rsid w:val="009B0216"/>
    <w:rsid w:val="009B022D"/>
    <w:rsid w:val="009B0265"/>
    <w:rsid w:val="009B0324"/>
    <w:rsid w:val="009B035C"/>
    <w:rsid w:val="009B03E4"/>
    <w:rsid w:val="009B0423"/>
    <w:rsid w:val="009B0545"/>
    <w:rsid w:val="009B07F4"/>
    <w:rsid w:val="009B0897"/>
    <w:rsid w:val="009B09BE"/>
    <w:rsid w:val="009B0BA5"/>
    <w:rsid w:val="009B0BCE"/>
    <w:rsid w:val="009B0BF0"/>
    <w:rsid w:val="009B0C16"/>
    <w:rsid w:val="009B0C3D"/>
    <w:rsid w:val="009B0CA9"/>
    <w:rsid w:val="009B0E72"/>
    <w:rsid w:val="009B1010"/>
    <w:rsid w:val="009B10C1"/>
    <w:rsid w:val="009B111D"/>
    <w:rsid w:val="009B11C1"/>
    <w:rsid w:val="009B12BD"/>
    <w:rsid w:val="009B136B"/>
    <w:rsid w:val="009B13D8"/>
    <w:rsid w:val="009B1467"/>
    <w:rsid w:val="009B1788"/>
    <w:rsid w:val="009B1850"/>
    <w:rsid w:val="009B198B"/>
    <w:rsid w:val="009B19C0"/>
    <w:rsid w:val="009B1A79"/>
    <w:rsid w:val="009B1A7E"/>
    <w:rsid w:val="009B1CAC"/>
    <w:rsid w:val="009B1D0C"/>
    <w:rsid w:val="009B1D7C"/>
    <w:rsid w:val="009B1E06"/>
    <w:rsid w:val="009B1F53"/>
    <w:rsid w:val="009B21DE"/>
    <w:rsid w:val="009B226D"/>
    <w:rsid w:val="009B23C8"/>
    <w:rsid w:val="009B247D"/>
    <w:rsid w:val="009B2499"/>
    <w:rsid w:val="009B24DE"/>
    <w:rsid w:val="009B25D7"/>
    <w:rsid w:val="009B2601"/>
    <w:rsid w:val="009B2623"/>
    <w:rsid w:val="009B26A2"/>
    <w:rsid w:val="009B2A05"/>
    <w:rsid w:val="009B2A7D"/>
    <w:rsid w:val="009B2BEF"/>
    <w:rsid w:val="009B2F09"/>
    <w:rsid w:val="009B3171"/>
    <w:rsid w:val="009B3208"/>
    <w:rsid w:val="009B325B"/>
    <w:rsid w:val="009B340B"/>
    <w:rsid w:val="009B3453"/>
    <w:rsid w:val="009B35A5"/>
    <w:rsid w:val="009B3733"/>
    <w:rsid w:val="009B39F8"/>
    <w:rsid w:val="009B3A4B"/>
    <w:rsid w:val="009B3BE9"/>
    <w:rsid w:val="009B3C07"/>
    <w:rsid w:val="009B3CA2"/>
    <w:rsid w:val="009B3CB8"/>
    <w:rsid w:val="009B3D7E"/>
    <w:rsid w:val="009B3E5D"/>
    <w:rsid w:val="009B4097"/>
    <w:rsid w:val="009B41E7"/>
    <w:rsid w:val="009B4388"/>
    <w:rsid w:val="009B4656"/>
    <w:rsid w:val="009B46DC"/>
    <w:rsid w:val="009B46ED"/>
    <w:rsid w:val="009B46F5"/>
    <w:rsid w:val="009B4714"/>
    <w:rsid w:val="009B4958"/>
    <w:rsid w:val="009B497E"/>
    <w:rsid w:val="009B49A6"/>
    <w:rsid w:val="009B49AA"/>
    <w:rsid w:val="009B49FF"/>
    <w:rsid w:val="009B4B05"/>
    <w:rsid w:val="009B4BA9"/>
    <w:rsid w:val="009B4C6D"/>
    <w:rsid w:val="009B4CD2"/>
    <w:rsid w:val="009B4CE9"/>
    <w:rsid w:val="009B5021"/>
    <w:rsid w:val="009B50A8"/>
    <w:rsid w:val="009B50D5"/>
    <w:rsid w:val="009B5113"/>
    <w:rsid w:val="009B516A"/>
    <w:rsid w:val="009B5187"/>
    <w:rsid w:val="009B5386"/>
    <w:rsid w:val="009B5464"/>
    <w:rsid w:val="009B5488"/>
    <w:rsid w:val="009B5491"/>
    <w:rsid w:val="009B558E"/>
    <w:rsid w:val="009B5874"/>
    <w:rsid w:val="009B5B35"/>
    <w:rsid w:val="009B5B50"/>
    <w:rsid w:val="009B5C6F"/>
    <w:rsid w:val="009B5E1D"/>
    <w:rsid w:val="009B5FB3"/>
    <w:rsid w:val="009B60DD"/>
    <w:rsid w:val="009B6118"/>
    <w:rsid w:val="009B6176"/>
    <w:rsid w:val="009B61D0"/>
    <w:rsid w:val="009B6368"/>
    <w:rsid w:val="009B6611"/>
    <w:rsid w:val="009B66A6"/>
    <w:rsid w:val="009B66D4"/>
    <w:rsid w:val="009B6792"/>
    <w:rsid w:val="009B67B4"/>
    <w:rsid w:val="009B6870"/>
    <w:rsid w:val="009B6BFC"/>
    <w:rsid w:val="009B6DBC"/>
    <w:rsid w:val="009B6EBA"/>
    <w:rsid w:val="009B6EDE"/>
    <w:rsid w:val="009B6F7B"/>
    <w:rsid w:val="009B70B8"/>
    <w:rsid w:val="009B71DC"/>
    <w:rsid w:val="009B7255"/>
    <w:rsid w:val="009B72CA"/>
    <w:rsid w:val="009B7572"/>
    <w:rsid w:val="009B75C0"/>
    <w:rsid w:val="009B75CD"/>
    <w:rsid w:val="009B76DE"/>
    <w:rsid w:val="009B7A8D"/>
    <w:rsid w:val="009B7ADD"/>
    <w:rsid w:val="009B7B3B"/>
    <w:rsid w:val="009B7BD9"/>
    <w:rsid w:val="009B7D17"/>
    <w:rsid w:val="009B7D62"/>
    <w:rsid w:val="009B7DD6"/>
    <w:rsid w:val="009B7EDA"/>
    <w:rsid w:val="009C001A"/>
    <w:rsid w:val="009C0075"/>
    <w:rsid w:val="009C025D"/>
    <w:rsid w:val="009C026B"/>
    <w:rsid w:val="009C03B6"/>
    <w:rsid w:val="009C0494"/>
    <w:rsid w:val="009C0495"/>
    <w:rsid w:val="009C04C0"/>
    <w:rsid w:val="009C04E6"/>
    <w:rsid w:val="009C0566"/>
    <w:rsid w:val="009C060A"/>
    <w:rsid w:val="009C0646"/>
    <w:rsid w:val="009C067B"/>
    <w:rsid w:val="009C0A2E"/>
    <w:rsid w:val="009C0AA1"/>
    <w:rsid w:val="009C0B49"/>
    <w:rsid w:val="009C0B73"/>
    <w:rsid w:val="009C0C5E"/>
    <w:rsid w:val="009C0CA1"/>
    <w:rsid w:val="009C0D1E"/>
    <w:rsid w:val="009C0D44"/>
    <w:rsid w:val="009C0D63"/>
    <w:rsid w:val="009C0D8D"/>
    <w:rsid w:val="009C0F37"/>
    <w:rsid w:val="009C11EA"/>
    <w:rsid w:val="009C1281"/>
    <w:rsid w:val="009C12E9"/>
    <w:rsid w:val="009C13BD"/>
    <w:rsid w:val="009C13E4"/>
    <w:rsid w:val="009C146B"/>
    <w:rsid w:val="009C14B0"/>
    <w:rsid w:val="009C1540"/>
    <w:rsid w:val="009C1562"/>
    <w:rsid w:val="009C15F8"/>
    <w:rsid w:val="009C168B"/>
    <w:rsid w:val="009C1963"/>
    <w:rsid w:val="009C1B01"/>
    <w:rsid w:val="009C1B25"/>
    <w:rsid w:val="009C1C3F"/>
    <w:rsid w:val="009C1E3F"/>
    <w:rsid w:val="009C1E4F"/>
    <w:rsid w:val="009C1EE9"/>
    <w:rsid w:val="009C20BC"/>
    <w:rsid w:val="009C21F5"/>
    <w:rsid w:val="009C21F9"/>
    <w:rsid w:val="009C24F3"/>
    <w:rsid w:val="009C259A"/>
    <w:rsid w:val="009C25DB"/>
    <w:rsid w:val="009C263B"/>
    <w:rsid w:val="009C2757"/>
    <w:rsid w:val="009C278E"/>
    <w:rsid w:val="009C294D"/>
    <w:rsid w:val="009C29E7"/>
    <w:rsid w:val="009C2B05"/>
    <w:rsid w:val="009C2B62"/>
    <w:rsid w:val="009C2C1B"/>
    <w:rsid w:val="009C2C1F"/>
    <w:rsid w:val="009C2C67"/>
    <w:rsid w:val="009C2D65"/>
    <w:rsid w:val="009C2EC0"/>
    <w:rsid w:val="009C2EC9"/>
    <w:rsid w:val="009C2F92"/>
    <w:rsid w:val="009C3056"/>
    <w:rsid w:val="009C3406"/>
    <w:rsid w:val="009C3534"/>
    <w:rsid w:val="009C35B0"/>
    <w:rsid w:val="009C3703"/>
    <w:rsid w:val="009C373B"/>
    <w:rsid w:val="009C380F"/>
    <w:rsid w:val="009C3853"/>
    <w:rsid w:val="009C38EE"/>
    <w:rsid w:val="009C3997"/>
    <w:rsid w:val="009C3A04"/>
    <w:rsid w:val="009C3C82"/>
    <w:rsid w:val="009C3CAD"/>
    <w:rsid w:val="009C3CC7"/>
    <w:rsid w:val="009C3CFE"/>
    <w:rsid w:val="009C3DBE"/>
    <w:rsid w:val="009C3E0E"/>
    <w:rsid w:val="009C3EAB"/>
    <w:rsid w:val="009C3FE3"/>
    <w:rsid w:val="009C4188"/>
    <w:rsid w:val="009C421C"/>
    <w:rsid w:val="009C4360"/>
    <w:rsid w:val="009C436B"/>
    <w:rsid w:val="009C43DB"/>
    <w:rsid w:val="009C4626"/>
    <w:rsid w:val="009C48CC"/>
    <w:rsid w:val="009C48D0"/>
    <w:rsid w:val="009C4989"/>
    <w:rsid w:val="009C4D5C"/>
    <w:rsid w:val="009C4EF3"/>
    <w:rsid w:val="009C4F82"/>
    <w:rsid w:val="009C4FD3"/>
    <w:rsid w:val="009C5042"/>
    <w:rsid w:val="009C5059"/>
    <w:rsid w:val="009C5372"/>
    <w:rsid w:val="009C53C2"/>
    <w:rsid w:val="009C5412"/>
    <w:rsid w:val="009C5430"/>
    <w:rsid w:val="009C54C6"/>
    <w:rsid w:val="009C5635"/>
    <w:rsid w:val="009C5832"/>
    <w:rsid w:val="009C59C4"/>
    <w:rsid w:val="009C5AC4"/>
    <w:rsid w:val="009C5C0B"/>
    <w:rsid w:val="009C5CE0"/>
    <w:rsid w:val="009C5D9A"/>
    <w:rsid w:val="009C5EA9"/>
    <w:rsid w:val="009C5EE9"/>
    <w:rsid w:val="009C5F5D"/>
    <w:rsid w:val="009C600A"/>
    <w:rsid w:val="009C6110"/>
    <w:rsid w:val="009C6199"/>
    <w:rsid w:val="009C6884"/>
    <w:rsid w:val="009C6AAB"/>
    <w:rsid w:val="009C6C0F"/>
    <w:rsid w:val="009C6C4D"/>
    <w:rsid w:val="009C6D7A"/>
    <w:rsid w:val="009C6DE4"/>
    <w:rsid w:val="009C6E92"/>
    <w:rsid w:val="009C6EA6"/>
    <w:rsid w:val="009C71AD"/>
    <w:rsid w:val="009C71C1"/>
    <w:rsid w:val="009C7234"/>
    <w:rsid w:val="009C7298"/>
    <w:rsid w:val="009C73AF"/>
    <w:rsid w:val="009C7486"/>
    <w:rsid w:val="009C7739"/>
    <w:rsid w:val="009C7980"/>
    <w:rsid w:val="009C7ABB"/>
    <w:rsid w:val="009C7B41"/>
    <w:rsid w:val="009C7BBD"/>
    <w:rsid w:val="009C7BDA"/>
    <w:rsid w:val="009C7C48"/>
    <w:rsid w:val="009C7D44"/>
    <w:rsid w:val="009C7D7C"/>
    <w:rsid w:val="009C7DD5"/>
    <w:rsid w:val="009C7DED"/>
    <w:rsid w:val="009C7DF5"/>
    <w:rsid w:val="009C7E3C"/>
    <w:rsid w:val="009C7F5C"/>
    <w:rsid w:val="009C7FA8"/>
    <w:rsid w:val="009D00A4"/>
    <w:rsid w:val="009D012D"/>
    <w:rsid w:val="009D0460"/>
    <w:rsid w:val="009D0612"/>
    <w:rsid w:val="009D0705"/>
    <w:rsid w:val="009D077E"/>
    <w:rsid w:val="009D0986"/>
    <w:rsid w:val="009D09B2"/>
    <w:rsid w:val="009D09E7"/>
    <w:rsid w:val="009D0A05"/>
    <w:rsid w:val="009D0A80"/>
    <w:rsid w:val="009D0AC7"/>
    <w:rsid w:val="009D0C81"/>
    <w:rsid w:val="009D0CCB"/>
    <w:rsid w:val="009D0E56"/>
    <w:rsid w:val="009D0EEB"/>
    <w:rsid w:val="009D0FDA"/>
    <w:rsid w:val="009D11BB"/>
    <w:rsid w:val="009D143C"/>
    <w:rsid w:val="009D14AE"/>
    <w:rsid w:val="009D1580"/>
    <w:rsid w:val="009D1647"/>
    <w:rsid w:val="009D17F5"/>
    <w:rsid w:val="009D19D2"/>
    <w:rsid w:val="009D19F9"/>
    <w:rsid w:val="009D1A1B"/>
    <w:rsid w:val="009D1C85"/>
    <w:rsid w:val="009D1D71"/>
    <w:rsid w:val="009D1DEA"/>
    <w:rsid w:val="009D1E9F"/>
    <w:rsid w:val="009D1F65"/>
    <w:rsid w:val="009D211D"/>
    <w:rsid w:val="009D214D"/>
    <w:rsid w:val="009D2199"/>
    <w:rsid w:val="009D21DB"/>
    <w:rsid w:val="009D2253"/>
    <w:rsid w:val="009D22CC"/>
    <w:rsid w:val="009D243F"/>
    <w:rsid w:val="009D2453"/>
    <w:rsid w:val="009D2573"/>
    <w:rsid w:val="009D2675"/>
    <w:rsid w:val="009D2972"/>
    <w:rsid w:val="009D2B99"/>
    <w:rsid w:val="009D2C1A"/>
    <w:rsid w:val="009D2FEF"/>
    <w:rsid w:val="009D30FE"/>
    <w:rsid w:val="009D3151"/>
    <w:rsid w:val="009D31CA"/>
    <w:rsid w:val="009D3349"/>
    <w:rsid w:val="009D3358"/>
    <w:rsid w:val="009D3413"/>
    <w:rsid w:val="009D34EC"/>
    <w:rsid w:val="009D38D1"/>
    <w:rsid w:val="009D399A"/>
    <w:rsid w:val="009D3B0D"/>
    <w:rsid w:val="009D3FDE"/>
    <w:rsid w:val="009D40F7"/>
    <w:rsid w:val="009D427B"/>
    <w:rsid w:val="009D436A"/>
    <w:rsid w:val="009D4387"/>
    <w:rsid w:val="009D43A2"/>
    <w:rsid w:val="009D4553"/>
    <w:rsid w:val="009D45A0"/>
    <w:rsid w:val="009D4617"/>
    <w:rsid w:val="009D46E6"/>
    <w:rsid w:val="009D474F"/>
    <w:rsid w:val="009D4879"/>
    <w:rsid w:val="009D49CF"/>
    <w:rsid w:val="009D4A38"/>
    <w:rsid w:val="009D4A9E"/>
    <w:rsid w:val="009D4BE0"/>
    <w:rsid w:val="009D4C24"/>
    <w:rsid w:val="009D4F2C"/>
    <w:rsid w:val="009D5024"/>
    <w:rsid w:val="009D5132"/>
    <w:rsid w:val="009D5141"/>
    <w:rsid w:val="009D5261"/>
    <w:rsid w:val="009D52CA"/>
    <w:rsid w:val="009D52D1"/>
    <w:rsid w:val="009D530F"/>
    <w:rsid w:val="009D5322"/>
    <w:rsid w:val="009D547D"/>
    <w:rsid w:val="009D54BA"/>
    <w:rsid w:val="009D5527"/>
    <w:rsid w:val="009D5566"/>
    <w:rsid w:val="009D565A"/>
    <w:rsid w:val="009D5733"/>
    <w:rsid w:val="009D574C"/>
    <w:rsid w:val="009D5761"/>
    <w:rsid w:val="009D57B4"/>
    <w:rsid w:val="009D5912"/>
    <w:rsid w:val="009D59EF"/>
    <w:rsid w:val="009D5A27"/>
    <w:rsid w:val="009D5A81"/>
    <w:rsid w:val="009D5BB8"/>
    <w:rsid w:val="009D5C34"/>
    <w:rsid w:val="009D5C74"/>
    <w:rsid w:val="009D5C8F"/>
    <w:rsid w:val="009D5CF9"/>
    <w:rsid w:val="009D5EC4"/>
    <w:rsid w:val="009D610C"/>
    <w:rsid w:val="009D61C7"/>
    <w:rsid w:val="009D626D"/>
    <w:rsid w:val="009D63E0"/>
    <w:rsid w:val="009D63E4"/>
    <w:rsid w:val="009D6405"/>
    <w:rsid w:val="009D646B"/>
    <w:rsid w:val="009D65BA"/>
    <w:rsid w:val="009D65C6"/>
    <w:rsid w:val="009D67E4"/>
    <w:rsid w:val="009D695E"/>
    <w:rsid w:val="009D69CF"/>
    <w:rsid w:val="009D6ABD"/>
    <w:rsid w:val="009D6B8C"/>
    <w:rsid w:val="009D6DF9"/>
    <w:rsid w:val="009D6E22"/>
    <w:rsid w:val="009D6E4C"/>
    <w:rsid w:val="009D6EAF"/>
    <w:rsid w:val="009D6F1A"/>
    <w:rsid w:val="009D6F3A"/>
    <w:rsid w:val="009D6F5A"/>
    <w:rsid w:val="009D6FEA"/>
    <w:rsid w:val="009D728E"/>
    <w:rsid w:val="009D7316"/>
    <w:rsid w:val="009D735C"/>
    <w:rsid w:val="009D7497"/>
    <w:rsid w:val="009D750E"/>
    <w:rsid w:val="009D7596"/>
    <w:rsid w:val="009D77A8"/>
    <w:rsid w:val="009D797E"/>
    <w:rsid w:val="009D7BB3"/>
    <w:rsid w:val="009D7BB6"/>
    <w:rsid w:val="009D7FC3"/>
    <w:rsid w:val="009E007A"/>
    <w:rsid w:val="009E00D3"/>
    <w:rsid w:val="009E019C"/>
    <w:rsid w:val="009E0218"/>
    <w:rsid w:val="009E02AD"/>
    <w:rsid w:val="009E04ED"/>
    <w:rsid w:val="009E094A"/>
    <w:rsid w:val="009E0951"/>
    <w:rsid w:val="009E0A49"/>
    <w:rsid w:val="009E0AB4"/>
    <w:rsid w:val="009E0CAD"/>
    <w:rsid w:val="009E0CFE"/>
    <w:rsid w:val="009E0D72"/>
    <w:rsid w:val="009E0EAC"/>
    <w:rsid w:val="009E0FE6"/>
    <w:rsid w:val="009E1039"/>
    <w:rsid w:val="009E125D"/>
    <w:rsid w:val="009E15F9"/>
    <w:rsid w:val="009E1642"/>
    <w:rsid w:val="009E16C6"/>
    <w:rsid w:val="009E18F6"/>
    <w:rsid w:val="009E1A18"/>
    <w:rsid w:val="009E1A59"/>
    <w:rsid w:val="009E1CAB"/>
    <w:rsid w:val="009E1D7F"/>
    <w:rsid w:val="009E1E27"/>
    <w:rsid w:val="009E1EAA"/>
    <w:rsid w:val="009E202C"/>
    <w:rsid w:val="009E202E"/>
    <w:rsid w:val="009E208E"/>
    <w:rsid w:val="009E222E"/>
    <w:rsid w:val="009E227D"/>
    <w:rsid w:val="009E2432"/>
    <w:rsid w:val="009E2485"/>
    <w:rsid w:val="009E2689"/>
    <w:rsid w:val="009E27B8"/>
    <w:rsid w:val="009E2903"/>
    <w:rsid w:val="009E29ED"/>
    <w:rsid w:val="009E2AB1"/>
    <w:rsid w:val="009E2AC3"/>
    <w:rsid w:val="009E2C32"/>
    <w:rsid w:val="009E2F53"/>
    <w:rsid w:val="009E3036"/>
    <w:rsid w:val="009E30C3"/>
    <w:rsid w:val="009E32DB"/>
    <w:rsid w:val="009E3615"/>
    <w:rsid w:val="009E3716"/>
    <w:rsid w:val="009E393C"/>
    <w:rsid w:val="009E3B0E"/>
    <w:rsid w:val="009E3C44"/>
    <w:rsid w:val="009E3E1C"/>
    <w:rsid w:val="009E3E5C"/>
    <w:rsid w:val="009E3E8F"/>
    <w:rsid w:val="009E3F13"/>
    <w:rsid w:val="009E3F56"/>
    <w:rsid w:val="009E3FBD"/>
    <w:rsid w:val="009E42EB"/>
    <w:rsid w:val="009E440C"/>
    <w:rsid w:val="009E4416"/>
    <w:rsid w:val="009E4450"/>
    <w:rsid w:val="009E46F1"/>
    <w:rsid w:val="009E46F9"/>
    <w:rsid w:val="009E4709"/>
    <w:rsid w:val="009E4721"/>
    <w:rsid w:val="009E4792"/>
    <w:rsid w:val="009E492B"/>
    <w:rsid w:val="009E4CD6"/>
    <w:rsid w:val="009E5019"/>
    <w:rsid w:val="009E5113"/>
    <w:rsid w:val="009E5119"/>
    <w:rsid w:val="009E5141"/>
    <w:rsid w:val="009E514E"/>
    <w:rsid w:val="009E52AE"/>
    <w:rsid w:val="009E52FE"/>
    <w:rsid w:val="009E557F"/>
    <w:rsid w:val="009E5959"/>
    <w:rsid w:val="009E59BC"/>
    <w:rsid w:val="009E5AAA"/>
    <w:rsid w:val="009E5B29"/>
    <w:rsid w:val="009E5B83"/>
    <w:rsid w:val="009E5C6E"/>
    <w:rsid w:val="009E5D0B"/>
    <w:rsid w:val="009E6102"/>
    <w:rsid w:val="009E6118"/>
    <w:rsid w:val="009E6156"/>
    <w:rsid w:val="009E61A6"/>
    <w:rsid w:val="009E61D5"/>
    <w:rsid w:val="009E6222"/>
    <w:rsid w:val="009E6276"/>
    <w:rsid w:val="009E6290"/>
    <w:rsid w:val="009E6333"/>
    <w:rsid w:val="009E6489"/>
    <w:rsid w:val="009E6517"/>
    <w:rsid w:val="009E66B2"/>
    <w:rsid w:val="009E6832"/>
    <w:rsid w:val="009E6A15"/>
    <w:rsid w:val="009E6A6D"/>
    <w:rsid w:val="009E6AC8"/>
    <w:rsid w:val="009E6BD1"/>
    <w:rsid w:val="009E6CEC"/>
    <w:rsid w:val="009E6D7D"/>
    <w:rsid w:val="009E6DF1"/>
    <w:rsid w:val="009E6E52"/>
    <w:rsid w:val="009E6EB9"/>
    <w:rsid w:val="009E6F95"/>
    <w:rsid w:val="009E6FD9"/>
    <w:rsid w:val="009E7292"/>
    <w:rsid w:val="009E72F9"/>
    <w:rsid w:val="009E737C"/>
    <w:rsid w:val="009E73B7"/>
    <w:rsid w:val="009E744F"/>
    <w:rsid w:val="009E751F"/>
    <w:rsid w:val="009E7595"/>
    <w:rsid w:val="009E75A4"/>
    <w:rsid w:val="009E778A"/>
    <w:rsid w:val="009E77B5"/>
    <w:rsid w:val="009E79A0"/>
    <w:rsid w:val="009E7A18"/>
    <w:rsid w:val="009E7AB0"/>
    <w:rsid w:val="009E7BF3"/>
    <w:rsid w:val="009E7C2D"/>
    <w:rsid w:val="009E7CF2"/>
    <w:rsid w:val="009E7F2A"/>
    <w:rsid w:val="009F0049"/>
    <w:rsid w:val="009F009D"/>
    <w:rsid w:val="009F00B9"/>
    <w:rsid w:val="009F0119"/>
    <w:rsid w:val="009F028E"/>
    <w:rsid w:val="009F03C9"/>
    <w:rsid w:val="009F03FB"/>
    <w:rsid w:val="009F0414"/>
    <w:rsid w:val="009F0663"/>
    <w:rsid w:val="009F07D5"/>
    <w:rsid w:val="009F0919"/>
    <w:rsid w:val="009F09FF"/>
    <w:rsid w:val="009F0A1E"/>
    <w:rsid w:val="009F0A6E"/>
    <w:rsid w:val="009F0AA5"/>
    <w:rsid w:val="009F0BC1"/>
    <w:rsid w:val="009F0C01"/>
    <w:rsid w:val="009F0CF5"/>
    <w:rsid w:val="009F0D81"/>
    <w:rsid w:val="009F0D8C"/>
    <w:rsid w:val="009F0DBA"/>
    <w:rsid w:val="009F0E33"/>
    <w:rsid w:val="009F0E5C"/>
    <w:rsid w:val="009F0EF4"/>
    <w:rsid w:val="009F0F77"/>
    <w:rsid w:val="009F1072"/>
    <w:rsid w:val="009F10C1"/>
    <w:rsid w:val="009F1203"/>
    <w:rsid w:val="009F13ED"/>
    <w:rsid w:val="009F14DE"/>
    <w:rsid w:val="009F1585"/>
    <w:rsid w:val="009F1729"/>
    <w:rsid w:val="009F1748"/>
    <w:rsid w:val="009F1766"/>
    <w:rsid w:val="009F17EE"/>
    <w:rsid w:val="009F18F3"/>
    <w:rsid w:val="009F196F"/>
    <w:rsid w:val="009F19E3"/>
    <w:rsid w:val="009F1A0E"/>
    <w:rsid w:val="009F1A81"/>
    <w:rsid w:val="009F1BA9"/>
    <w:rsid w:val="009F1BCA"/>
    <w:rsid w:val="009F1C4B"/>
    <w:rsid w:val="009F1C6E"/>
    <w:rsid w:val="009F1D84"/>
    <w:rsid w:val="009F1E95"/>
    <w:rsid w:val="009F1EC3"/>
    <w:rsid w:val="009F1F29"/>
    <w:rsid w:val="009F1F43"/>
    <w:rsid w:val="009F1F8B"/>
    <w:rsid w:val="009F234B"/>
    <w:rsid w:val="009F2484"/>
    <w:rsid w:val="009F2579"/>
    <w:rsid w:val="009F259B"/>
    <w:rsid w:val="009F25C2"/>
    <w:rsid w:val="009F2650"/>
    <w:rsid w:val="009F272B"/>
    <w:rsid w:val="009F27CB"/>
    <w:rsid w:val="009F2854"/>
    <w:rsid w:val="009F2912"/>
    <w:rsid w:val="009F2961"/>
    <w:rsid w:val="009F29DF"/>
    <w:rsid w:val="009F2AB5"/>
    <w:rsid w:val="009F2E10"/>
    <w:rsid w:val="009F2E59"/>
    <w:rsid w:val="009F31EE"/>
    <w:rsid w:val="009F3322"/>
    <w:rsid w:val="009F3368"/>
    <w:rsid w:val="009F3550"/>
    <w:rsid w:val="009F3639"/>
    <w:rsid w:val="009F36AC"/>
    <w:rsid w:val="009F37B5"/>
    <w:rsid w:val="009F3888"/>
    <w:rsid w:val="009F38B4"/>
    <w:rsid w:val="009F38FD"/>
    <w:rsid w:val="009F3987"/>
    <w:rsid w:val="009F3A5F"/>
    <w:rsid w:val="009F3C1B"/>
    <w:rsid w:val="009F3DE7"/>
    <w:rsid w:val="009F3E57"/>
    <w:rsid w:val="009F3F84"/>
    <w:rsid w:val="009F4107"/>
    <w:rsid w:val="009F410A"/>
    <w:rsid w:val="009F41E5"/>
    <w:rsid w:val="009F4204"/>
    <w:rsid w:val="009F428B"/>
    <w:rsid w:val="009F42E4"/>
    <w:rsid w:val="009F4364"/>
    <w:rsid w:val="009F4413"/>
    <w:rsid w:val="009F4436"/>
    <w:rsid w:val="009F44CA"/>
    <w:rsid w:val="009F453E"/>
    <w:rsid w:val="009F45D4"/>
    <w:rsid w:val="009F4638"/>
    <w:rsid w:val="009F4722"/>
    <w:rsid w:val="009F47E5"/>
    <w:rsid w:val="009F4C6E"/>
    <w:rsid w:val="009F4C7F"/>
    <w:rsid w:val="009F4D50"/>
    <w:rsid w:val="009F4DA7"/>
    <w:rsid w:val="009F4FA7"/>
    <w:rsid w:val="009F4FFF"/>
    <w:rsid w:val="009F508E"/>
    <w:rsid w:val="009F50C9"/>
    <w:rsid w:val="009F50E4"/>
    <w:rsid w:val="009F51E9"/>
    <w:rsid w:val="009F51EF"/>
    <w:rsid w:val="009F5221"/>
    <w:rsid w:val="009F5515"/>
    <w:rsid w:val="009F5602"/>
    <w:rsid w:val="009F587B"/>
    <w:rsid w:val="009F59C2"/>
    <w:rsid w:val="009F5A77"/>
    <w:rsid w:val="009F5B72"/>
    <w:rsid w:val="009F5BFA"/>
    <w:rsid w:val="009F5C83"/>
    <w:rsid w:val="009F5CAB"/>
    <w:rsid w:val="009F5D38"/>
    <w:rsid w:val="009F5E44"/>
    <w:rsid w:val="009F5E4F"/>
    <w:rsid w:val="009F5F82"/>
    <w:rsid w:val="009F61D0"/>
    <w:rsid w:val="009F62D8"/>
    <w:rsid w:val="009F635E"/>
    <w:rsid w:val="009F6810"/>
    <w:rsid w:val="009F68DC"/>
    <w:rsid w:val="009F6BED"/>
    <w:rsid w:val="009F6C00"/>
    <w:rsid w:val="009F6CF4"/>
    <w:rsid w:val="009F6D7F"/>
    <w:rsid w:val="009F707C"/>
    <w:rsid w:val="009F709B"/>
    <w:rsid w:val="009F70B6"/>
    <w:rsid w:val="009F72B1"/>
    <w:rsid w:val="009F73B1"/>
    <w:rsid w:val="009F7435"/>
    <w:rsid w:val="009F74FF"/>
    <w:rsid w:val="009F7595"/>
    <w:rsid w:val="009F7621"/>
    <w:rsid w:val="009F76DF"/>
    <w:rsid w:val="009F775E"/>
    <w:rsid w:val="009F7858"/>
    <w:rsid w:val="009F79CF"/>
    <w:rsid w:val="009F7A71"/>
    <w:rsid w:val="009F7CCD"/>
    <w:rsid w:val="009F7D02"/>
    <w:rsid w:val="009F7D48"/>
    <w:rsid w:val="009F7F12"/>
    <w:rsid w:val="00A00251"/>
    <w:rsid w:val="00A002E7"/>
    <w:rsid w:val="00A0035A"/>
    <w:rsid w:val="00A00389"/>
    <w:rsid w:val="00A003D7"/>
    <w:rsid w:val="00A0051A"/>
    <w:rsid w:val="00A00775"/>
    <w:rsid w:val="00A008FA"/>
    <w:rsid w:val="00A0090A"/>
    <w:rsid w:val="00A00AF2"/>
    <w:rsid w:val="00A00D5D"/>
    <w:rsid w:val="00A00DA2"/>
    <w:rsid w:val="00A00EA2"/>
    <w:rsid w:val="00A00EDB"/>
    <w:rsid w:val="00A010A2"/>
    <w:rsid w:val="00A01150"/>
    <w:rsid w:val="00A01184"/>
    <w:rsid w:val="00A01259"/>
    <w:rsid w:val="00A014B9"/>
    <w:rsid w:val="00A014CF"/>
    <w:rsid w:val="00A01582"/>
    <w:rsid w:val="00A017F7"/>
    <w:rsid w:val="00A019BA"/>
    <w:rsid w:val="00A019BC"/>
    <w:rsid w:val="00A019C2"/>
    <w:rsid w:val="00A01AE3"/>
    <w:rsid w:val="00A01B21"/>
    <w:rsid w:val="00A01C01"/>
    <w:rsid w:val="00A02011"/>
    <w:rsid w:val="00A0203D"/>
    <w:rsid w:val="00A0208E"/>
    <w:rsid w:val="00A02166"/>
    <w:rsid w:val="00A022D0"/>
    <w:rsid w:val="00A024DC"/>
    <w:rsid w:val="00A02708"/>
    <w:rsid w:val="00A027B1"/>
    <w:rsid w:val="00A027D4"/>
    <w:rsid w:val="00A02805"/>
    <w:rsid w:val="00A0291F"/>
    <w:rsid w:val="00A02A32"/>
    <w:rsid w:val="00A02C5F"/>
    <w:rsid w:val="00A02C6E"/>
    <w:rsid w:val="00A02CBF"/>
    <w:rsid w:val="00A02CD0"/>
    <w:rsid w:val="00A02E25"/>
    <w:rsid w:val="00A02E42"/>
    <w:rsid w:val="00A02E79"/>
    <w:rsid w:val="00A0301F"/>
    <w:rsid w:val="00A030BE"/>
    <w:rsid w:val="00A03283"/>
    <w:rsid w:val="00A032AA"/>
    <w:rsid w:val="00A03404"/>
    <w:rsid w:val="00A035CE"/>
    <w:rsid w:val="00A03793"/>
    <w:rsid w:val="00A037B4"/>
    <w:rsid w:val="00A0394C"/>
    <w:rsid w:val="00A039E7"/>
    <w:rsid w:val="00A03A46"/>
    <w:rsid w:val="00A03BB9"/>
    <w:rsid w:val="00A03CD6"/>
    <w:rsid w:val="00A03DC5"/>
    <w:rsid w:val="00A03E1E"/>
    <w:rsid w:val="00A03E93"/>
    <w:rsid w:val="00A03F6C"/>
    <w:rsid w:val="00A0404F"/>
    <w:rsid w:val="00A04184"/>
    <w:rsid w:val="00A042D1"/>
    <w:rsid w:val="00A04329"/>
    <w:rsid w:val="00A044C3"/>
    <w:rsid w:val="00A0461A"/>
    <w:rsid w:val="00A047E1"/>
    <w:rsid w:val="00A0485F"/>
    <w:rsid w:val="00A04873"/>
    <w:rsid w:val="00A04951"/>
    <w:rsid w:val="00A04AC0"/>
    <w:rsid w:val="00A04AFE"/>
    <w:rsid w:val="00A04B82"/>
    <w:rsid w:val="00A04B9F"/>
    <w:rsid w:val="00A04E25"/>
    <w:rsid w:val="00A04ED4"/>
    <w:rsid w:val="00A04EF8"/>
    <w:rsid w:val="00A04F1B"/>
    <w:rsid w:val="00A04F41"/>
    <w:rsid w:val="00A0501B"/>
    <w:rsid w:val="00A05043"/>
    <w:rsid w:val="00A05124"/>
    <w:rsid w:val="00A0545C"/>
    <w:rsid w:val="00A055D8"/>
    <w:rsid w:val="00A05863"/>
    <w:rsid w:val="00A058DE"/>
    <w:rsid w:val="00A05A6D"/>
    <w:rsid w:val="00A05B14"/>
    <w:rsid w:val="00A05CF3"/>
    <w:rsid w:val="00A05E50"/>
    <w:rsid w:val="00A05E72"/>
    <w:rsid w:val="00A05EDD"/>
    <w:rsid w:val="00A06066"/>
    <w:rsid w:val="00A0613A"/>
    <w:rsid w:val="00A06272"/>
    <w:rsid w:val="00A06282"/>
    <w:rsid w:val="00A0629E"/>
    <w:rsid w:val="00A063F4"/>
    <w:rsid w:val="00A06462"/>
    <w:rsid w:val="00A06541"/>
    <w:rsid w:val="00A06635"/>
    <w:rsid w:val="00A0669A"/>
    <w:rsid w:val="00A068DD"/>
    <w:rsid w:val="00A069B6"/>
    <w:rsid w:val="00A069C5"/>
    <w:rsid w:val="00A06C59"/>
    <w:rsid w:val="00A06C5E"/>
    <w:rsid w:val="00A06CFA"/>
    <w:rsid w:val="00A06DFB"/>
    <w:rsid w:val="00A06F9C"/>
    <w:rsid w:val="00A0700A"/>
    <w:rsid w:val="00A07189"/>
    <w:rsid w:val="00A072B4"/>
    <w:rsid w:val="00A0739F"/>
    <w:rsid w:val="00A074B7"/>
    <w:rsid w:val="00A0756C"/>
    <w:rsid w:val="00A07580"/>
    <w:rsid w:val="00A07725"/>
    <w:rsid w:val="00A07845"/>
    <w:rsid w:val="00A07995"/>
    <w:rsid w:val="00A07AC6"/>
    <w:rsid w:val="00A07D78"/>
    <w:rsid w:val="00A07E9B"/>
    <w:rsid w:val="00A07F89"/>
    <w:rsid w:val="00A1009A"/>
    <w:rsid w:val="00A100A3"/>
    <w:rsid w:val="00A101FB"/>
    <w:rsid w:val="00A10323"/>
    <w:rsid w:val="00A1035E"/>
    <w:rsid w:val="00A10492"/>
    <w:rsid w:val="00A10795"/>
    <w:rsid w:val="00A10809"/>
    <w:rsid w:val="00A10892"/>
    <w:rsid w:val="00A10A1A"/>
    <w:rsid w:val="00A10A8E"/>
    <w:rsid w:val="00A10BB4"/>
    <w:rsid w:val="00A10BE0"/>
    <w:rsid w:val="00A10C86"/>
    <w:rsid w:val="00A10D32"/>
    <w:rsid w:val="00A10E5F"/>
    <w:rsid w:val="00A10FE8"/>
    <w:rsid w:val="00A11037"/>
    <w:rsid w:val="00A11087"/>
    <w:rsid w:val="00A110B4"/>
    <w:rsid w:val="00A1133E"/>
    <w:rsid w:val="00A116DE"/>
    <w:rsid w:val="00A117E6"/>
    <w:rsid w:val="00A119A2"/>
    <w:rsid w:val="00A119D8"/>
    <w:rsid w:val="00A11C98"/>
    <w:rsid w:val="00A11CA4"/>
    <w:rsid w:val="00A11CE1"/>
    <w:rsid w:val="00A11E75"/>
    <w:rsid w:val="00A11F0F"/>
    <w:rsid w:val="00A11F7E"/>
    <w:rsid w:val="00A120FC"/>
    <w:rsid w:val="00A12300"/>
    <w:rsid w:val="00A12338"/>
    <w:rsid w:val="00A1263D"/>
    <w:rsid w:val="00A12706"/>
    <w:rsid w:val="00A12732"/>
    <w:rsid w:val="00A1280D"/>
    <w:rsid w:val="00A12842"/>
    <w:rsid w:val="00A12898"/>
    <w:rsid w:val="00A12978"/>
    <w:rsid w:val="00A12A0F"/>
    <w:rsid w:val="00A12B2F"/>
    <w:rsid w:val="00A12C8A"/>
    <w:rsid w:val="00A12D11"/>
    <w:rsid w:val="00A12E9A"/>
    <w:rsid w:val="00A12F4C"/>
    <w:rsid w:val="00A13055"/>
    <w:rsid w:val="00A1312B"/>
    <w:rsid w:val="00A13137"/>
    <w:rsid w:val="00A13140"/>
    <w:rsid w:val="00A132C4"/>
    <w:rsid w:val="00A13315"/>
    <w:rsid w:val="00A1338C"/>
    <w:rsid w:val="00A13413"/>
    <w:rsid w:val="00A13496"/>
    <w:rsid w:val="00A13565"/>
    <w:rsid w:val="00A13586"/>
    <w:rsid w:val="00A135C3"/>
    <w:rsid w:val="00A13623"/>
    <w:rsid w:val="00A136B2"/>
    <w:rsid w:val="00A13919"/>
    <w:rsid w:val="00A1391C"/>
    <w:rsid w:val="00A139D3"/>
    <w:rsid w:val="00A13B0F"/>
    <w:rsid w:val="00A13C7C"/>
    <w:rsid w:val="00A13D25"/>
    <w:rsid w:val="00A13DA0"/>
    <w:rsid w:val="00A13E94"/>
    <w:rsid w:val="00A13EA4"/>
    <w:rsid w:val="00A13F6C"/>
    <w:rsid w:val="00A14081"/>
    <w:rsid w:val="00A140C2"/>
    <w:rsid w:val="00A14210"/>
    <w:rsid w:val="00A14388"/>
    <w:rsid w:val="00A143C0"/>
    <w:rsid w:val="00A14590"/>
    <w:rsid w:val="00A147E4"/>
    <w:rsid w:val="00A14839"/>
    <w:rsid w:val="00A14947"/>
    <w:rsid w:val="00A14A3D"/>
    <w:rsid w:val="00A14BA9"/>
    <w:rsid w:val="00A14BF3"/>
    <w:rsid w:val="00A14C86"/>
    <w:rsid w:val="00A14D59"/>
    <w:rsid w:val="00A14E16"/>
    <w:rsid w:val="00A14E78"/>
    <w:rsid w:val="00A151CF"/>
    <w:rsid w:val="00A15212"/>
    <w:rsid w:val="00A15233"/>
    <w:rsid w:val="00A1529B"/>
    <w:rsid w:val="00A15359"/>
    <w:rsid w:val="00A154B0"/>
    <w:rsid w:val="00A1563F"/>
    <w:rsid w:val="00A15673"/>
    <w:rsid w:val="00A15757"/>
    <w:rsid w:val="00A157AB"/>
    <w:rsid w:val="00A1583A"/>
    <w:rsid w:val="00A158E8"/>
    <w:rsid w:val="00A15B8B"/>
    <w:rsid w:val="00A15BC3"/>
    <w:rsid w:val="00A15CA4"/>
    <w:rsid w:val="00A15CEF"/>
    <w:rsid w:val="00A15D12"/>
    <w:rsid w:val="00A15D22"/>
    <w:rsid w:val="00A15EB8"/>
    <w:rsid w:val="00A16052"/>
    <w:rsid w:val="00A160A7"/>
    <w:rsid w:val="00A162D9"/>
    <w:rsid w:val="00A162E3"/>
    <w:rsid w:val="00A1637C"/>
    <w:rsid w:val="00A1655E"/>
    <w:rsid w:val="00A16627"/>
    <w:rsid w:val="00A16663"/>
    <w:rsid w:val="00A16739"/>
    <w:rsid w:val="00A168B3"/>
    <w:rsid w:val="00A16A55"/>
    <w:rsid w:val="00A16B61"/>
    <w:rsid w:val="00A16C6E"/>
    <w:rsid w:val="00A16CF3"/>
    <w:rsid w:val="00A16DBE"/>
    <w:rsid w:val="00A16E9A"/>
    <w:rsid w:val="00A16FD5"/>
    <w:rsid w:val="00A171C7"/>
    <w:rsid w:val="00A173B3"/>
    <w:rsid w:val="00A174EA"/>
    <w:rsid w:val="00A174FC"/>
    <w:rsid w:val="00A1771C"/>
    <w:rsid w:val="00A177EB"/>
    <w:rsid w:val="00A179FD"/>
    <w:rsid w:val="00A17E1D"/>
    <w:rsid w:val="00A20024"/>
    <w:rsid w:val="00A20041"/>
    <w:rsid w:val="00A20277"/>
    <w:rsid w:val="00A2028B"/>
    <w:rsid w:val="00A202A4"/>
    <w:rsid w:val="00A204B1"/>
    <w:rsid w:val="00A205C2"/>
    <w:rsid w:val="00A205C3"/>
    <w:rsid w:val="00A2064A"/>
    <w:rsid w:val="00A20749"/>
    <w:rsid w:val="00A20839"/>
    <w:rsid w:val="00A20A54"/>
    <w:rsid w:val="00A20B6F"/>
    <w:rsid w:val="00A20BA3"/>
    <w:rsid w:val="00A20CE3"/>
    <w:rsid w:val="00A20D13"/>
    <w:rsid w:val="00A20EC3"/>
    <w:rsid w:val="00A21078"/>
    <w:rsid w:val="00A21087"/>
    <w:rsid w:val="00A211AA"/>
    <w:rsid w:val="00A211E6"/>
    <w:rsid w:val="00A214B6"/>
    <w:rsid w:val="00A214EE"/>
    <w:rsid w:val="00A2153F"/>
    <w:rsid w:val="00A2155A"/>
    <w:rsid w:val="00A215BC"/>
    <w:rsid w:val="00A2160D"/>
    <w:rsid w:val="00A21685"/>
    <w:rsid w:val="00A21769"/>
    <w:rsid w:val="00A217CB"/>
    <w:rsid w:val="00A21890"/>
    <w:rsid w:val="00A21946"/>
    <w:rsid w:val="00A21B1E"/>
    <w:rsid w:val="00A21B6B"/>
    <w:rsid w:val="00A21D6D"/>
    <w:rsid w:val="00A21DFB"/>
    <w:rsid w:val="00A21EA1"/>
    <w:rsid w:val="00A21FF1"/>
    <w:rsid w:val="00A220AB"/>
    <w:rsid w:val="00A221C3"/>
    <w:rsid w:val="00A222AF"/>
    <w:rsid w:val="00A222BD"/>
    <w:rsid w:val="00A2232D"/>
    <w:rsid w:val="00A22450"/>
    <w:rsid w:val="00A22460"/>
    <w:rsid w:val="00A2253E"/>
    <w:rsid w:val="00A225C6"/>
    <w:rsid w:val="00A226E5"/>
    <w:rsid w:val="00A22730"/>
    <w:rsid w:val="00A2277F"/>
    <w:rsid w:val="00A2298B"/>
    <w:rsid w:val="00A22A65"/>
    <w:rsid w:val="00A22AC1"/>
    <w:rsid w:val="00A22BC1"/>
    <w:rsid w:val="00A22DCF"/>
    <w:rsid w:val="00A22F58"/>
    <w:rsid w:val="00A22F7B"/>
    <w:rsid w:val="00A22FD6"/>
    <w:rsid w:val="00A23121"/>
    <w:rsid w:val="00A23130"/>
    <w:rsid w:val="00A23255"/>
    <w:rsid w:val="00A23288"/>
    <w:rsid w:val="00A23294"/>
    <w:rsid w:val="00A233AC"/>
    <w:rsid w:val="00A23511"/>
    <w:rsid w:val="00A235B4"/>
    <w:rsid w:val="00A2376E"/>
    <w:rsid w:val="00A2384C"/>
    <w:rsid w:val="00A23A0D"/>
    <w:rsid w:val="00A23AC8"/>
    <w:rsid w:val="00A23E5E"/>
    <w:rsid w:val="00A23EA9"/>
    <w:rsid w:val="00A23FC6"/>
    <w:rsid w:val="00A240F1"/>
    <w:rsid w:val="00A240F4"/>
    <w:rsid w:val="00A24151"/>
    <w:rsid w:val="00A24205"/>
    <w:rsid w:val="00A243D7"/>
    <w:rsid w:val="00A244DD"/>
    <w:rsid w:val="00A248ED"/>
    <w:rsid w:val="00A24939"/>
    <w:rsid w:val="00A24A3A"/>
    <w:rsid w:val="00A24C2A"/>
    <w:rsid w:val="00A24EFE"/>
    <w:rsid w:val="00A25136"/>
    <w:rsid w:val="00A251E8"/>
    <w:rsid w:val="00A25481"/>
    <w:rsid w:val="00A25590"/>
    <w:rsid w:val="00A255B0"/>
    <w:rsid w:val="00A2564F"/>
    <w:rsid w:val="00A256D3"/>
    <w:rsid w:val="00A256EA"/>
    <w:rsid w:val="00A2579D"/>
    <w:rsid w:val="00A25843"/>
    <w:rsid w:val="00A258AF"/>
    <w:rsid w:val="00A258C2"/>
    <w:rsid w:val="00A258C4"/>
    <w:rsid w:val="00A25949"/>
    <w:rsid w:val="00A25973"/>
    <w:rsid w:val="00A25A8C"/>
    <w:rsid w:val="00A25D0C"/>
    <w:rsid w:val="00A25FC4"/>
    <w:rsid w:val="00A2608A"/>
    <w:rsid w:val="00A262EB"/>
    <w:rsid w:val="00A263BF"/>
    <w:rsid w:val="00A26591"/>
    <w:rsid w:val="00A265C8"/>
    <w:rsid w:val="00A266B4"/>
    <w:rsid w:val="00A2670B"/>
    <w:rsid w:val="00A26721"/>
    <w:rsid w:val="00A267B3"/>
    <w:rsid w:val="00A267F9"/>
    <w:rsid w:val="00A2687A"/>
    <w:rsid w:val="00A268AA"/>
    <w:rsid w:val="00A269B1"/>
    <w:rsid w:val="00A26A4C"/>
    <w:rsid w:val="00A26EB2"/>
    <w:rsid w:val="00A26ED0"/>
    <w:rsid w:val="00A26F6D"/>
    <w:rsid w:val="00A27039"/>
    <w:rsid w:val="00A27085"/>
    <w:rsid w:val="00A270BD"/>
    <w:rsid w:val="00A271D6"/>
    <w:rsid w:val="00A27235"/>
    <w:rsid w:val="00A27236"/>
    <w:rsid w:val="00A272DA"/>
    <w:rsid w:val="00A275B3"/>
    <w:rsid w:val="00A275CA"/>
    <w:rsid w:val="00A275EB"/>
    <w:rsid w:val="00A27775"/>
    <w:rsid w:val="00A277D5"/>
    <w:rsid w:val="00A27858"/>
    <w:rsid w:val="00A2795E"/>
    <w:rsid w:val="00A27B25"/>
    <w:rsid w:val="00A27C09"/>
    <w:rsid w:val="00A27CFD"/>
    <w:rsid w:val="00A27D0F"/>
    <w:rsid w:val="00A27EC5"/>
    <w:rsid w:val="00A300A5"/>
    <w:rsid w:val="00A3018C"/>
    <w:rsid w:val="00A30207"/>
    <w:rsid w:val="00A30387"/>
    <w:rsid w:val="00A303C7"/>
    <w:rsid w:val="00A30418"/>
    <w:rsid w:val="00A3064C"/>
    <w:rsid w:val="00A3067D"/>
    <w:rsid w:val="00A309E2"/>
    <w:rsid w:val="00A30B76"/>
    <w:rsid w:val="00A30D61"/>
    <w:rsid w:val="00A30DD7"/>
    <w:rsid w:val="00A30F2A"/>
    <w:rsid w:val="00A30FC8"/>
    <w:rsid w:val="00A31078"/>
    <w:rsid w:val="00A311C6"/>
    <w:rsid w:val="00A311CC"/>
    <w:rsid w:val="00A313D3"/>
    <w:rsid w:val="00A313E9"/>
    <w:rsid w:val="00A31422"/>
    <w:rsid w:val="00A3166F"/>
    <w:rsid w:val="00A316A0"/>
    <w:rsid w:val="00A3193B"/>
    <w:rsid w:val="00A31947"/>
    <w:rsid w:val="00A31961"/>
    <w:rsid w:val="00A31C14"/>
    <w:rsid w:val="00A31CD4"/>
    <w:rsid w:val="00A31DBB"/>
    <w:rsid w:val="00A31FDD"/>
    <w:rsid w:val="00A32067"/>
    <w:rsid w:val="00A322D7"/>
    <w:rsid w:val="00A325DE"/>
    <w:rsid w:val="00A32790"/>
    <w:rsid w:val="00A327BB"/>
    <w:rsid w:val="00A327ED"/>
    <w:rsid w:val="00A3288D"/>
    <w:rsid w:val="00A328A5"/>
    <w:rsid w:val="00A32992"/>
    <w:rsid w:val="00A32A83"/>
    <w:rsid w:val="00A32A96"/>
    <w:rsid w:val="00A32E31"/>
    <w:rsid w:val="00A32FD7"/>
    <w:rsid w:val="00A3300C"/>
    <w:rsid w:val="00A3316A"/>
    <w:rsid w:val="00A3323C"/>
    <w:rsid w:val="00A33326"/>
    <w:rsid w:val="00A333A8"/>
    <w:rsid w:val="00A3341E"/>
    <w:rsid w:val="00A33565"/>
    <w:rsid w:val="00A33627"/>
    <w:rsid w:val="00A33640"/>
    <w:rsid w:val="00A33655"/>
    <w:rsid w:val="00A3369F"/>
    <w:rsid w:val="00A338B2"/>
    <w:rsid w:val="00A33A53"/>
    <w:rsid w:val="00A33FB5"/>
    <w:rsid w:val="00A33FC0"/>
    <w:rsid w:val="00A34027"/>
    <w:rsid w:val="00A340B1"/>
    <w:rsid w:val="00A34111"/>
    <w:rsid w:val="00A341E6"/>
    <w:rsid w:val="00A3424E"/>
    <w:rsid w:val="00A342F6"/>
    <w:rsid w:val="00A345A9"/>
    <w:rsid w:val="00A34633"/>
    <w:rsid w:val="00A3484E"/>
    <w:rsid w:val="00A34895"/>
    <w:rsid w:val="00A3492F"/>
    <w:rsid w:val="00A34A08"/>
    <w:rsid w:val="00A34AF1"/>
    <w:rsid w:val="00A34B86"/>
    <w:rsid w:val="00A34CAA"/>
    <w:rsid w:val="00A34D43"/>
    <w:rsid w:val="00A34D86"/>
    <w:rsid w:val="00A34D8F"/>
    <w:rsid w:val="00A34E5A"/>
    <w:rsid w:val="00A34E93"/>
    <w:rsid w:val="00A35176"/>
    <w:rsid w:val="00A351E7"/>
    <w:rsid w:val="00A353C2"/>
    <w:rsid w:val="00A354A0"/>
    <w:rsid w:val="00A354F0"/>
    <w:rsid w:val="00A354F7"/>
    <w:rsid w:val="00A35577"/>
    <w:rsid w:val="00A35692"/>
    <w:rsid w:val="00A356CA"/>
    <w:rsid w:val="00A357BA"/>
    <w:rsid w:val="00A358A5"/>
    <w:rsid w:val="00A35932"/>
    <w:rsid w:val="00A35D4B"/>
    <w:rsid w:val="00A35DB7"/>
    <w:rsid w:val="00A35E06"/>
    <w:rsid w:val="00A35E67"/>
    <w:rsid w:val="00A35E6D"/>
    <w:rsid w:val="00A3602C"/>
    <w:rsid w:val="00A362CB"/>
    <w:rsid w:val="00A362EE"/>
    <w:rsid w:val="00A36394"/>
    <w:rsid w:val="00A3661C"/>
    <w:rsid w:val="00A36735"/>
    <w:rsid w:val="00A36746"/>
    <w:rsid w:val="00A3678F"/>
    <w:rsid w:val="00A368DB"/>
    <w:rsid w:val="00A36934"/>
    <w:rsid w:val="00A36E43"/>
    <w:rsid w:val="00A36EA6"/>
    <w:rsid w:val="00A36FBD"/>
    <w:rsid w:val="00A36FFD"/>
    <w:rsid w:val="00A3704B"/>
    <w:rsid w:val="00A37109"/>
    <w:rsid w:val="00A3714C"/>
    <w:rsid w:val="00A371B7"/>
    <w:rsid w:val="00A37392"/>
    <w:rsid w:val="00A373C2"/>
    <w:rsid w:val="00A373D0"/>
    <w:rsid w:val="00A3757B"/>
    <w:rsid w:val="00A37605"/>
    <w:rsid w:val="00A37638"/>
    <w:rsid w:val="00A377B8"/>
    <w:rsid w:val="00A37866"/>
    <w:rsid w:val="00A378F7"/>
    <w:rsid w:val="00A37A26"/>
    <w:rsid w:val="00A37C3D"/>
    <w:rsid w:val="00A37DCD"/>
    <w:rsid w:val="00A37E43"/>
    <w:rsid w:val="00A37EBC"/>
    <w:rsid w:val="00A400EC"/>
    <w:rsid w:val="00A40183"/>
    <w:rsid w:val="00A405D6"/>
    <w:rsid w:val="00A408A3"/>
    <w:rsid w:val="00A4095B"/>
    <w:rsid w:val="00A40A97"/>
    <w:rsid w:val="00A40EAA"/>
    <w:rsid w:val="00A40F6C"/>
    <w:rsid w:val="00A40F74"/>
    <w:rsid w:val="00A41068"/>
    <w:rsid w:val="00A410EB"/>
    <w:rsid w:val="00A410F6"/>
    <w:rsid w:val="00A41137"/>
    <w:rsid w:val="00A411BF"/>
    <w:rsid w:val="00A41252"/>
    <w:rsid w:val="00A413AE"/>
    <w:rsid w:val="00A413DE"/>
    <w:rsid w:val="00A4142F"/>
    <w:rsid w:val="00A4158E"/>
    <w:rsid w:val="00A415F6"/>
    <w:rsid w:val="00A41745"/>
    <w:rsid w:val="00A418D9"/>
    <w:rsid w:val="00A419D2"/>
    <w:rsid w:val="00A419EE"/>
    <w:rsid w:val="00A41DF0"/>
    <w:rsid w:val="00A42145"/>
    <w:rsid w:val="00A421F2"/>
    <w:rsid w:val="00A423AA"/>
    <w:rsid w:val="00A423F2"/>
    <w:rsid w:val="00A4280C"/>
    <w:rsid w:val="00A42845"/>
    <w:rsid w:val="00A42971"/>
    <w:rsid w:val="00A42A0F"/>
    <w:rsid w:val="00A42A18"/>
    <w:rsid w:val="00A42B57"/>
    <w:rsid w:val="00A42B5F"/>
    <w:rsid w:val="00A42C97"/>
    <w:rsid w:val="00A42E30"/>
    <w:rsid w:val="00A42FB8"/>
    <w:rsid w:val="00A4300F"/>
    <w:rsid w:val="00A4303D"/>
    <w:rsid w:val="00A430A9"/>
    <w:rsid w:val="00A431B5"/>
    <w:rsid w:val="00A432E1"/>
    <w:rsid w:val="00A43530"/>
    <w:rsid w:val="00A437B4"/>
    <w:rsid w:val="00A4389F"/>
    <w:rsid w:val="00A43916"/>
    <w:rsid w:val="00A439CC"/>
    <w:rsid w:val="00A439F0"/>
    <w:rsid w:val="00A43A48"/>
    <w:rsid w:val="00A43A5E"/>
    <w:rsid w:val="00A43B38"/>
    <w:rsid w:val="00A43C76"/>
    <w:rsid w:val="00A43D7A"/>
    <w:rsid w:val="00A43E6C"/>
    <w:rsid w:val="00A44245"/>
    <w:rsid w:val="00A444A3"/>
    <w:rsid w:val="00A44540"/>
    <w:rsid w:val="00A445D4"/>
    <w:rsid w:val="00A44641"/>
    <w:rsid w:val="00A44693"/>
    <w:rsid w:val="00A447C2"/>
    <w:rsid w:val="00A44956"/>
    <w:rsid w:val="00A44A20"/>
    <w:rsid w:val="00A44B1E"/>
    <w:rsid w:val="00A44C1A"/>
    <w:rsid w:val="00A44C57"/>
    <w:rsid w:val="00A44E79"/>
    <w:rsid w:val="00A44E90"/>
    <w:rsid w:val="00A44F0B"/>
    <w:rsid w:val="00A44F77"/>
    <w:rsid w:val="00A4503F"/>
    <w:rsid w:val="00A450B2"/>
    <w:rsid w:val="00A450C6"/>
    <w:rsid w:val="00A45254"/>
    <w:rsid w:val="00A4525F"/>
    <w:rsid w:val="00A4529D"/>
    <w:rsid w:val="00A45363"/>
    <w:rsid w:val="00A45397"/>
    <w:rsid w:val="00A454CA"/>
    <w:rsid w:val="00A45526"/>
    <w:rsid w:val="00A4558C"/>
    <w:rsid w:val="00A456F8"/>
    <w:rsid w:val="00A4592F"/>
    <w:rsid w:val="00A45991"/>
    <w:rsid w:val="00A45A80"/>
    <w:rsid w:val="00A45B24"/>
    <w:rsid w:val="00A45C5B"/>
    <w:rsid w:val="00A45D3E"/>
    <w:rsid w:val="00A45D48"/>
    <w:rsid w:val="00A45D5A"/>
    <w:rsid w:val="00A45DBF"/>
    <w:rsid w:val="00A45DC3"/>
    <w:rsid w:val="00A4603B"/>
    <w:rsid w:val="00A464C1"/>
    <w:rsid w:val="00A4654E"/>
    <w:rsid w:val="00A46666"/>
    <w:rsid w:val="00A466D4"/>
    <w:rsid w:val="00A46729"/>
    <w:rsid w:val="00A4675A"/>
    <w:rsid w:val="00A46780"/>
    <w:rsid w:val="00A46814"/>
    <w:rsid w:val="00A46871"/>
    <w:rsid w:val="00A468E6"/>
    <w:rsid w:val="00A46A6D"/>
    <w:rsid w:val="00A46AA3"/>
    <w:rsid w:val="00A46AFD"/>
    <w:rsid w:val="00A46C81"/>
    <w:rsid w:val="00A46D3E"/>
    <w:rsid w:val="00A46D8F"/>
    <w:rsid w:val="00A46F42"/>
    <w:rsid w:val="00A47302"/>
    <w:rsid w:val="00A47461"/>
    <w:rsid w:val="00A476B0"/>
    <w:rsid w:val="00A476B8"/>
    <w:rsid w:val="00A478C8"/>
    <w:rsid w:val="00A47CB5"/>
    <w:rsid w:val="00A47CE1"/>
    <w:rsid w:val="00A47D53"/>
    <w:rsid w:val="00A47DB4"/>
    <w:rsid w:val="00A47EEC"/>
    <w:rsid w:val="00A47F4A"/>
    <w:rsid w:val="00A47F5B"/>
    <w:rsid w:val="00A47F86"/>
    <w:rsid w:val="00A50158"/>
    <w:rsid w:val="00A5018F"/>
    <w:rsid w:val="00A502CB"/>
    <w:rsid w:val="00A503EE"/>
    <w:rsid w:val="00A507AC"/>
    <w:rsid w:val="00A507C6"/>
    <w:rsid w:val="00A50842"/>
    <w:rsid w:val="00A50E8A"/>
    <w:rsid w:val="00A50F5B"/>
    <w:rsid w:val="00A50FFC"/>
    <w:rsid w:val="00A51035"/>
    <w:rsid w:val="00A5145C"/>
    <w:rsid w:val="00A51616"/>
    <w:rsid w:val="00A517AE"/>
    <w:rsid w:val="00A51859"/>
    <w:rsid w:val="00A518D6"/>
    <w:rsid w:val="00A51A04"/>
    <w:rsid w:val="00A51A1A"/>
    <w:rsid w:val="00A51D71"/>
    <w:rsid w:val="00A51E93"/>
    <w:rsid w:val="00A51F30"/>
    <w:rsid w:val="00A523F2"/>
    <w:rsid w:val="00A5252A"/>
    <w:rsid w:val="00A52616"/>
    <w:rsid w:val="00A529E1"/>
    <w:rsid w:val="00A52A4D"/>
    <w:rsid w:val="00A52BB5"/>
    <w:rsid w:val="00A52C14"/>
    <w:rsid w:val="00A52C50"/>
    <w:rsid w:val="00A52C59"/>
    <w:rsid w:val="00A52D74"/>
    <w:rsid w:val="00A52D75"/>
    <w:rsid w:val="00A52FC2"/>
    <w:rsid w:val="00A52FDC"/>
    <w:rsid w:val="00A53091"/>
    <w:rsid w:val="00A532EB"/>
    <w:rsid w:val="00A5344D"/>
    <w:rsid w:val="00A53452"/>
    <w:rsid w:val="00A53525"/>
    <w:rsid w:val="00A537B7"/>
    <w:rsid w:val="00A538BD"/>
    <w:rsid w:val="00A539F9"/>
    <w:rsid w:val="00A53A82"/>
    <w:rsid w:val="00A53ABE"/>
    <w:rsid w:val="00A53B41"/>
    <w:rsid w:val="00A53C26"/>
    <w:rsid w:val="00A53C6F"/>
    <w:rsid w:val="00A53E2F"/>
    <w:rsid w:val="00A53E47"/>
    <w:rsid w:val="00A53EC6"/>
    <w:rsid w:val="00A53F66"/>
    <w:rsid w:val="00A53FF5"/>
    <w:rsid w:val="00A54102"/>
    <w:rsid w:val="00A5412A"/>
    <w:rsid w:val="00A54151"/>
    <w:rsid w:val="00A541FE"/>
    <w:rsid w:val="00A5420B"/>
    <w:rsid w:val="00A5424F"/>
    <w:rsid w:val="00A542D7"/>
    <w:rsid w:val="00A5437B"/>
    <w:rsid w:val="00A54460"/>
    <w:rsid w:val="00A54601"/>
    <w:rsid w:val="00A5462A"/>
    <w:rsid w:val="00A548BA"/>
    <w:rsid w:val="00A54D0C"/>
    <w:rsid w:val="00A54D67"/>
    <w:rsid w:val="00A54DF8"/>
    <w:rsid w:val="00A54EC8"/>
    <w:rsid w:val="00A55060"/>
    <w:rsid w:val="00A550D1"/>
    <w:rsid w:val="00A55294"/>
    <w:rsid w:val="00A55323"/>
    <w:rsid w:val="00A554E1"/>
    <w:rsid w:val="00A554FF"/>
    <w:rsid w:val="00A55503"/>
    <w:rsid w:val="00A558C5"/>
    <w:rsid w:val="00A558E9"/>
    <w:rsid w:val="00A55931"/>
    <w:rsid w:val="00A55B62"/>
    <w:rsid w:val="00A55B74"/>
    <w:rsid w:val="00A55C0F"/>
    <w:rsid w:val="00A55C43"/>
    <w:rsid w:val="00A55E41"/>
    <w:rsid w:val="00A55EC4"/>
    <w:rsid w:val="00A55F2F"/>
    <w:rsid w:val="00A55FCD"/>
    <w:rsid w:val="00A56053"/>
    <w:rsid w:val="00A560E7"/>
    <w:rsid w:val="00A56119"/>
    <w:rsid w:val="00A5631B"/>
    <w:rsid w:val="00A56393"/>
    <w:rsid w:val="00A564B2"/>
    <w:rsid w:val="00A564F6"/>
    <w:rsid w:val="00A56718"/>
    <w:rsid w:val="00A56916"/>
    <w:rsid w:val="00A56A81"/>
    <w:rsid w:val="00A56AFC"/>
    <w:rsid w:val="00A56BB7"/>
    <w:rsid w:val="00A56C3C"/>
    <w:rsid w:val="00A56C9C"/>
    <w:rsid w:val="00A56D5E"/>
    <w:rsid w:val="00A56DA9"/>
    <w:rsid w:val="00A56DF7"/>
    <w:rsid w:val="00A56E51"/>
    <w:rsid w:val="00A56E99"/>
    <w:rsid w:val="00A5705D"/>
    <w:rsid w:val="00A5737E"/>
    <w:rsid w:val="00A5737F"/>
    <w:rsid w:val="00A57401"/>
    <w:rsid w:val="00A57455"/>
    <w:rsid w:val="00A575F4"/>
    <w:rsid w:val="00A57644"/>
    <w:rsid w:val="00A57886"/>
    <w:rsid w:val="00A57A88"/>
    <w:rsid w:val="00A57B0A"/>
    <w:rsid w:val="00A57BBE"/>
    <w:rsid w:val="00A57BD4"/>
    <w:rsid w:val="00A57D81"/>
    <w:rsid w:val="00A57DA3"/>
    <w:rsid w:val="00A57DD4"/>
    <w:rsid w:val="00A57EAD"/>
    <w:rsid w:val="00A57F7B"/>
    <w:rsid w:val="00A60156"/>
    <w:rsid w:val="00A602B1"/>
    <w:rsid w:val="00A6041E"/>
    <w:rsid w:val="00A604A8"/>
    <w:rsid w:val="00A604FB"/>
    <w:rsid w:val="00A60507"/>
    <w:rsid w:val="00A60590"/>
    <w:rsid w:val="00A60859"/>
    <w:rsid w:val="00A60A43"/>
    <w:rsid w:val="00A60B79"/>
    <w:rsid w:val="00A60C86"/>
    <w:rsid w:val="00A60CB1"/>
    <w:rsid w:val="00A60CFC"/>
    <w:rsid w:val="00A60DB8"/>
    <w:rsid w:val="00A60E2A"/>
    <w:rsid w:val="00A611C4"/>
    <w:rsid w:val="00A61306"/>
    <w:rsid w:val="00A61367"/>
    <w:rsid w:val="00A61450"/>
    <w:rsid w:val="00A61479"/>
    <w:rsid w:val="00A614E7"/>
    <w:rsid w:val="00A615D3"/>
    <w:rsid w:val="00A615DE"/>
    <w:rsid w:val="00A6162F"/>
    <w:rsid w:val="00A616EB"/>
    <w:rsid w:val="00A6171D"/>
    <w:rsid w:val="00A617E4"/>
    <w:rsid w:val="00A619E2"/>
    <w:rsid w:val="00A61A14"/>
    <w:rsid w:val="00A61BDA"/>
    <w:rsid w:val="00A61C40"/>
    <w:rsid w:val="00A61DDE"/>
    <w:rsid w:val="00A61E78"/>
    <w:rsid w:val="00A61E8A"/>
    <w:rsid w:val="00A61F08"/>
    <w:rsid w:val="00A62044"/>
    <w:rsid w:val="00A620C3"/>
    <w:rsid w:val="00A62153"/>
    <w:rsid w:val="00A621BB"/>
    <w:rsid w:val="00A621D1"/>
    <w:rsid w:val="00A6242F"/>
    <w:rsid w:val="00A62563"/>
    <w:rsid w:val="00A6256A"/>
    <w:rsid w:val="00A627FA"/>
    <w:rsid w:val="00A6284F"/>
    <w:rsid w:val="00A62CA3"/>
    <w:rsid w:val="00A62D55"/>
    <w:rsid w:val="00A62E1E"/>
    <w:rsid w:val="00A62F62"/>
    <w:rsid w:val="00A63012"/>
    <w:rsid w:val="00A630C6"/>
    <w:rsid w:val="00A630EE"/>
    <w:rsid w:val="00A6315F"/>
    <w:rsid w:val="00A63298"/>
    <w:rsid w:val="00A63304"/>
    <w:rsid w:val="00A6345C"/>
    <w:rsid w:val="00A63496"/>
    <w:rsid w:val="00A634AB"/>
    <w:rsid w:val="00A6350C"/>
    <w:rsid w:val="00A636BE"/>
    <w:rsid w:val="00A63779"/>
    <w:rsid w:val="00A637C0"/>
    <w:rsid w:val="00A638CC"/>
    <w:rsid w:val="00A639A3"/>
    <w:rsid w:val="00A63A70"/>
    <w:rsid w:val="00A63AB9"/>
    <w:rsid w:val="00A63B92"/>
    <w:rsid w:val="00A63ED7"/>
    <w:rsid w:val="00A63EDB"/>
    <w:rsid w:val="00A63FF5"/>
    <w:rsid w:val="00A640AD"/>
    <w:rsid w:val="00A640E1"/>
    <w:rsid w:val="00A64142"/>
    <w:rsid w:val="00A641DF"/>
    <w:rsid w:val="00A642C9"/>
    <w:rsid w:val="00A645D0"/>
    <w:rsid w:val="00A6473E"/>
    <w:rsid w:val="00A64A25"/>
    <w:rsid w:val="00A64D8F"/>
    <w:rsid w:val="00A64D97"/>
    <w:rsid w:val="00A64DD3"/>
    <w:rsid w:val="00A64FBC"/>
    <w:rsid w:val="00A6504E"/>
    <w:rsid w:val="00A651C7"/>
    <w:rsid w:val="00A651EF"/>
    <w:rsid w:val="00A65416"/>
    <w:rsid w:val="00A6565E"/>
    <w:rsid w:val="00A656C5"/>
    <w:rsid w:val="00A65729"/>
    <w:rsid w:val="00A6590F"/>
    <w:rsid w:val="00A65A20"/>
    <w:rsid w:val="00A65A95"/>
    <w:rsid w:val="00A65AA2"/>
    <w:rsid w:val="00A65F53"/>
    <w:rsid w:val="00A6603B"/>
    <w:rsid w:val="00A6621E"/>
    <w:rsid w:val="00A666ED"/>
    <w:rsid w:val="00A667C4"/>
    <w:rsid w:val="00A667FD"/>
    <w:rsid w:val="00A668BD"/>
    <w:rsid w:val="00A668CB"/>
    <w:rsid w:val="00A66A2A"/>
    <w:rsid w:val="00A66B28"/>
    <w:rsid w:val="00A66D7E"/>
    <w:rsid w:val="00A66DA0"/>
    <w:rsid w:val="00A66F18"/>
    <w:rsid w:val="00A66F77"/>
    <w:rsid w:val="00A66FA6"/>
    <w:rsid w:val="00A66FB0"/>
    <w:rsid w:val="00A66FF3"/>
    <w:rsid w:val="00A6702F"/>
    <w:rsid w:val="00A67071"/>
    <w:rsid w:val="00A6710D"/>
    <w:rsid w:val="00A67157"/>
    <w:rsid w:val="00A67355"/>
    <w:rsid w:val="00A67443"/>
    <w:rsid w:val="00A67558"/>
    <w:rsid w:val="00A675D3"/>
    <w:rsid w:val="00A67911"/>
    <w:rsid w:val="00A67BE1"/>
    <w:rsid w:val="00A67CDF"/>
    <w:rsid w:val="00A67CF8"/>
    <w:rsid w:val="00A67D67"/>
    <w:rsid w:val="00A67ECE"/>
    <w:rsid w:val="00A67F50"/>
    <w:rsid w:val="00A67FFD"/>
    <w:rsid w:val="00A700BE"/>
    <w:rsid w:val="00A700F2"/>
    <w:rsid w:val="00A7016D"/>
    <w:rsid w:val="00A7055C"/>
    <w:rsid w:val="00A705CB"/>
    <w:rsid w:val="00A70782"/>
    <w:rsid w:val="00A70799"/>
    <w:rsid w:val="00A70986"/>
    <w:rsid w:val="00A70E03"/>
    <w:rsid w:val="00A710CE"/>
    <w:rsid w:val="00A7111B"/>
    <w:rsid w:val="00A711C5"/>
    <w:rsid w:val="00A711D1"/>
    <w:rsid w:val="00A7120B"/>
    <w:rsid w:val="00A712AA"/>
    <w:rsid w:val="00A71400"/>
    <w:rsid w:val="00A714F4"/>
    <w:rsid w:val="00A71541"/>
    <w:rsid w:val="00A7164C"/>
    <w:rsid w:val="00A716AC"/>
    <w:rsid w:val="00A716B2"/>
    <w:rsid w:val="00A71781"/>
    <w:rsid w:val="00A71807"/>
    <w:rsid w:val="00A71812"/>
    <w:rsid w:val="00A71905"/>
    <w:rsid w:val="00A719EF"/>
    <w:rsid w:val="00A71A1F"/>
    <w:rsid w:val="00A71B73"/>
    <w:rsid w:val="00A71BEC"/>
    <w:rsid w:val="00A71E46"/>
    <w:rsid w:val="00A71EF1"/>
    <w:rsid w:val="00A72018"/>
    <w:rsid w:val="00A7222A"/>
    <w:rsid w:val="00A7225B"/>
    <w:rsid w:val="00A722AD"/>
    <w:rsid w:val="00A723B3"/>
    <w:rsid w:val="00A723DB"/>
    <w:rsid w:val="00A72426"/>
    <w:rsid w:val="00A725FF"/>
    <w:rsid w:val="00A7295B"/>
    <w:rsid w:val="00A72B20"/>
    <w:rsid w:val="00A72C62"/>
    <w:rsid w:val="00A72CE3"/>
    <w:rsid w:val="00A72E62"/>
    <w:rsid w:val="00A72EE3"/>
    <w:rsid w:val="00A72FD0"/>
    <w:rsid w:val="00A73031"/>
    <w:rsid w:val="00A73049"/>
    <w:rsid w:val="00A731B0"/>
    <w:rsid w:val="00A73306"/>
    <w:rsid w:val="00A733C8"/>
    <w:rsid w:val="00A733CD"/>
    <w:rsid w:val="00A73477"/>
    <w:rsid w:val="00A735FD"/>
    <w:rsid w:val="00A73774"/>
    <w:rsid w:val="00A7379B"/>
    <w:rsid w:val="00A738E3"/>
    <w:rsid w:val="00A73B96"/>
    <w:rsid w:val="00A73BAD"/>
    <w:rsid w:val="00A73DD2"/>
    <w:rsid w:val="00A7421E"/>
    <w:rsid w:val="00A7454A"/>
    <w:rsid w:val="00A748C6"/>
    <w:rsid w:val="00A749AD"/>
    <w:rsid w:val="00A74A8E"/>
    <w:rsid w:val="00A74D14"/>
    <w:rsid w:val="00A74DBD"/>
    <w:rsid w:val="00A74E72"/>
    <w:rsid w:val="00A75566"/>
    <w:rsid w:val="00A757D5"/>
    <w:rsid w:val="00A7595C"/>
    <w:rsid w:val="00A7596A"/>
    <w:rsid w:val="00A75A0D"/>
    <w:rsid w:val="00A75B7E"/>
    <w:rsid w:val="00A75B92"/>
    <w:rsid w:val="00A75BE7"/>
    <w:rsid w:val="00A75C44"/>
    <w:rsid w:val="00A75C69"/>
    <w:rsid w:val="00A75CE5"/>
    <w:rsid w:val="00A75E67"/>
    <w:rsid w:val="00A75F0A"/>
    <w:rsid w:val="00A7604A"/>
    <w:rsid w:val="00A762CA"/>
    <w:rsid w:val="00A7632E"/>
    <w:rsid w:val="00A76517"/>
    <w:rsid w:val="00A767C0"/>
    <w:rsid w:val="00A76A39"/>
    <w:rsid w:val="00A76B3C"/>
    <w:rsid w:val="00A76CD8"/>
    <w:rsid w:val="00A76D4F"/>
    <w:rsid w:val="00A76DA4"/>
    <w:rsid w:val="00A76DFC"/>
    <w:rsid w:val="00A76ED8"/>
    <w:rsid w:val="00A76F79"/>
    <w:rsid w:val="00A76FFD"/>
    <w:rsid w:val="00A7706C"/>
    <w:rsid w:val="00A771B5"/>
    <w:rsid w:val="00A771DC"/>
    <w:rsid w:val="00A772CA"/>
    <w:rsid w:val="00A7743A"/>
    <w:rsid w:val="00A77576"/>
    <w:rsid w:val="00A77748"/>
    <w:rsid w:val="00A7797D"/>
    <w:rsid w:val="00A779DB"/>
    <w:rsid w:val="00A77A88"/>
    <w:rsid w:val="00A77B11"/>
    <w:rsid w:val="00A77B2F"/>
    <w:rsid w:val="00A77BB1"/>
    <w:rsid w:val="00A77C44"/>
    <w:rsid w:val="00A77CA1"/>
    <w:rsid w:val="00A77EBC"/>
    <w:rsid w:val="00A8010E"/>
    <w:rsid w:val="00A80163"/>
    <w:rsid w:val="00A80225"/>
    <w:rsid w:val="00A8023D"/>
    <w:rsid w:val="00A8039F"/>
    <w:rsid w:val="00A8063D"/>
    <w:rsid w:val="00A80676"/>
    <w:rsid w:val="00A80744"/>
    <w:rsid w:val="00A80AFF"/>
    <w:rsid w:val="00A80F93"/>
    <w:rsid w:val="00A80FB7"/>
    <w:rsid w:val="00A8100D"/>
    <w:rsid w:val="00A810A6"/>
    <w:rsid w:val="00A811CE"/>
    <w:rsid w:val="00A8121D"/>
    <w:rsid w:val="00A8123D"/>
    <w:rsid w:val="00A8132B"/>
    <w:rsid w:val="00A8155A"/>
    <w:rsid w:val="00A81562"/>
    <w:rsid w:val="00A81648"/>
    <w:rsid w:val="00A8165F"/>
    <w:rsid w:val="00A81792"/>
    <w:rsid w:val="00A817B4"/>
    <w:rsid w:val="00A817E8"/>
    <w:rsid w:val="00A81A8E"/>
    <w:rsid w:val="00A81AA5"/>
    <w:rsid w:val="00A81E9B"/>
    <w:rsid w:val="00A81FBF"/>
    <w:rsid w:val="00A82069"/>
    <w:rsid w:val="00A820B9"/>
    <w:rsid w:val="00A82130"/>
    <w:rsid w:val="00A8244A"/>
    <w:rsid w:val="00A825B2"/>
    <w:rsid w:val="00A82692"/>
    <w:rsid w:val="00A8286D"/>
    <w:rsid w:val="00A82951"/>
    <w:rsid w:val="00A82994"/>
    <w:rsid w:val="00A82ABB"/>
    <w:rsid w:val="00A82C2A"/>
    <w:rsid w:val="00A82CAF"/>
    <w:rsid w:val="00A82DC4"/>
    <w:rsid w:val="00A83239"/>
    <w:rsid w:val="00A832F1"/>
    <w:rsid w:val="00A833EB"/>
    <w:rsid w:val="00A835D7"/>
    <w:rsid w:val="00A835E6"/>
    <w:rsid w:val="00A83619"/>
    <w:rsid w:val="00A8366C"/>
    <w:rsid w:val="00A83A35"/>
    <w:rsid w:val="00A83B09"/>
    <w:rsid w:val="00A83B91"/>
    <w:rsid w:val="00A83C0A"/>
    <w:rsid w:val="00A83D09"/>
    <w:rsid w:val="00A83D50"/>
    <w:rsid w:val="00A83D5A"/>
    <w:rsid w:val="00A83E78"/>
    <w:rsid w:val="00A840BD"/>
    <w:rsid w:val="00A840BF"/>
    <w:rsid w:val="00A8411E"/>
    <w:rsid w:val="00A84167"/>
    <w:rsid w:val="00A841A7"/>
    <w:rsid w:val="00A846CD"/>
    <w:rsid w:val="00A847FF"/>
    <w:rsid w:val="00A84850"/>
    <w:rsid w:val="00A8486F"/>
    <w:rsid w:val="00A848E2"/>
    <w:rsid w:val="00A84BDD"/>
    <w:rsid w:val="00A84CA8"/>
    <w:rsid w:val="00A84D70"/>
    <w:rsid w:val="00A84E2F"/>
    <w:rsid w:val="00A84FF9"/>
    <w:rsid w:val="00A850AE"/>
    <w:rsid w:val="00A850DB"/>
    <w:rsid w:val="00A8514C"/>
    <w:rsid w:val="00A851F4"/>
    <w:rsid w:val="00A85257"/>
    <w:rsid w:val="00A852C6"/>
    <w:rsid w:val="00A8546D"/>
    <w:rsid w:val="00A854AD"/>
    <w:rsid w:val="00A8552D"/>
    <w:rsid w:val="00A85772"/>
    <w:rsid w:val="00A85AEC"/>
    <w:rsid w:val="00A85C12"/>
    <w:rsid w:val="00A85C25"/>
    <w:rsid w:val="00A85D7F"/>
    <w:rsid w:val="00A85DB5"/>
    <w:rsid w:val="00A85DE1"/>
    <w:rsid w:val="00A85F3C"/>
    <w:rsid w:val="00A85F76"/>
    <w:rsid w:val="00A85F82"/>
    <w:rsid w:val="00A8607F"/>
    <w:rsid w:val="00A8625A"/>
    <w:rsid w:val="00A863CB"/>
    <w:rsid w:val="00A86500"/>
    <w:rsid w:val="00A86575"/>
    <w:rsid w:val="00A866DC"/>
    <w:rsid w:val="00A8684E"/>
    <w:rsid w:val="00A8689B"/>
    <w:rsid w:val="00A86A7D"/>
    <w:rsid w:val="00A86C97"/>
    <w:rsid w:val="00A86DA0"/>
    <w:rsid w:val="00A86E00"/>
    <w:rsid w:val="00A86E1A"/>
    <w:rsid w:val="00A86E85"/>
    <w:rsid w:val="00A86F58"/>
    <w:rsid w:val="00A86FC1"/>
    <w:rsid w:val="00A86FEF"/>
    <w:rsid w:val="00A8713F"/>
    <w:rsid w:val="00A87224"/>
    <w:rsid w:val="00A87236"/>
    <w:rsid w:val="00A872BC"/>
    <w:rsid w:val="00A874A6"/>
    <w:rsid w:val="00A877C3"/>
    <w:rsid w:val="00A877D2"/>
    <w:rsid w:val="00A879B4"/>
    <w:rsid w:val="00A87AB2"/>
    <w:rsid w:val="00A87BF1"/>
    <w:rsid w:val="00A87CCD"/>
    <w:rsid w:val="00A87D89"/>
    <w:rsid w:val="00A87DB5"/>
    <w:rsid w:val="00A87DBC"/>
    <w:rsid w:val="00A87DD2"/>
    <w:rsid w:val="00A90025"/>
    <w:rsid w:val="00A9018D"/>
    <w:rsid w:val="00A9032E"/>
    <w:rsid w:val="00A90398"/>
    <w:rsid w:val="00A903CD"/>
    <w:rsid w:val="00A903F3"/>
    <w:rsid w:val="00A904EF"/>
    <w:rsid w:val="00A90517"/>
    <w:rsid w:val="00A907AC"/>
    <w:rsid w:val="00A909DF"/>
    <w:rsid w:val="00A90ABC"/>
    <w:rsid w:val="00A90ADC"/>
    <w:rsid w:val="00A90BA1"/>
    <w:rsid w:val="00A90D57"/>
    <w:rsid w:val="00A90DC5"/>
    <w:rsid w:val="00A90DD9"/>
    <w:rsid w:val="00A90E92"/>
    <w:rsid w:val="00A91007"/>
    <w:rsid w:val="00A91036"/>
    <w:rsid w:val="00A9108E"/>
    <w:rsid w:val="00A91095"/>
    <w:rsid w:val="00A91178"/>
    <w:rsid w:val="00A911A0"/>
    <w:rsid w:val="00A91223"/>
    <w:rsid w:val="00A9126F"/>
    <w:rsid w:val="00A91312"/>
    <w:rsid w:val="00A91527"/>
    <w:rsid w:val="00A91621"/>
    <w:rsid w:val="00A9165B"/>
    <w:rsid w:val="00A916A8"/>
    <w:rsid w:val="00A91720"/>
    <w:rsid w:val="00A918D6"/>
    <w:rsid w:val="00A91A04"/>
    <w:rsid w:val="00A91AA1"/>
    <w:rsid w:val="00A91B52"/>
    <w:rsid w:val="00A91BE3"/>
    <w:rsid w:val="00A91CA1"/>
    <w:rsid w:val="00A91CCF"/>
    <w:rsid w:val="00A91CD6"/>
    <w:rsid w:val="00A91E32"/>
    <w:rsid w:val="00A91EB0"/>
    <w:rsid w:val="00A91F08"/>
    <w:rsid w:val="00A91F27"/>
    <w:rsid w:val="00A91F2F"/>
    <w:rsid w:val="00A91F38"/>
    <w:rsid w:val="00A91FEC"/>
    <w:rsid w:val="00A922C0"/>
    <w:rsid w:val="00A922DE"/>
    <w:rsid w:val="00A92307"/>
    <w:rsid w:val="00A92793"/>
    <w:rsid w:val="00A9287D"/>
    <w:rsid w:val="00A9292E"/>
    <w:rsid w:val="00A929D8"/>
    <w:rsid w:val="00A92A2E"/>
    <w:rsid w:val="00A92B70"/>
    <w:rsid w:val="00A92BC9"/>
    <w:rsid w:val="00A92EA4"/>
    <w:rsid w:val="00A92F2B"/>
    <w:rsid w:val="00A9300A"/>
    <w:rsid w:val="00A9335D"/>
    <w:rsid w:val="00A93364"/>
    <w:rsid w:val="00A934AB"/>
    <w:rsid w:val="00A93532"/>
    <w:rsid w:val="00A93542"/>
    <w:rsid w:val="00A938F7"/>
    <w:rsid w:val="00A93A00"/>
    <w:rsid w:val="00A93AC2"/>
    <w:rsid w:val="00A93B13"/>
    <w:rsid w:val="00A93B3F"/>
    <w:rsid w:val="00A93D88"/>
    <w:rsid w:val="00A93DDD"/>
    <w:rsid w:val="00A93E52"/>
    <w:rsid w:val="00A94287"/>
    <w:rsid w:val="00A94340"/>
    <w:rsid w:val="00A9461A"/>
    <w:rsid w:val="00A947F9"/>
    <w:rsid w:val="00A94B05"/>
    <w:rsid w:val="00A94E23"/>
    <w:rsid w:val="00A94EBA"/>
    <w:rsid w:val="00A94F8F"/>
    <w:rsid w:val="00A95126"/>
    <w:rsid w:val="00A95138"/>
    <w:rsid w:val="00A9515C"/>
    <w:rsid w:val="00A951EE"/>
    <w:rsid w:val="00A95363"/>
    <w:rsid w:val="00A953C7"/>
    <w:rsid w:val="00A95420"/>
    <w:rsid w:val="00A9593E"/>
    <w:rsid w:val="00A95A7C"/>
    <w:rsid w:val="00A95BB1"/>
    <w:rsid w:val="00A95C6F"/>
    <w:rsid w:val="00A95D18"/>
    <w:rsid w:val="00A95EB3"/>
    <w:rsid w:val="00A95F5E"/>
    <w:rsid w:val="00A95FB3"/>
    <w:rsid w:val="00A961EE"/>
    <w:rsid w:val="00A96318"/>
    <w:rsid w:val="00A96636"/>
    <w:rsid w:val="00A968E4"/>
    <w:rsid w:val="00A969FB"/>
    <w:rsid w:val="00A96ADD"/>
    <w:rsid w:val="00A96B0C"/>
    <w:rsid w:val="00A96B2A"/>
    <w:rsid w:val="00A96C0D"/>
    <w:rsid w:val="00A96E20"/>
    <w:rsid w:val="00A96E5B"/>
    <w:rsid w:val="00A96E6B"/>
    <w:rsid w:val="00A9702E"/>
    <w:rsid w:val="00A970D5"/>
    <w:rsid w:val="00A970D9"/>
    <w:rsid w:val="00A97111"/>
    <w:rsid w:val="00A971DB"/>
    <w:rsid w:val="00A97260"/>
    <w:rsid w:val="00A97293"/>
    <w:rsid w:val="00A974C4"/>
    <w:rsid w:val="00A97530"/>
    <w:rsid w:val="00A97617"/>
    <w:rsid w:val="00A97778"/>
    <w:rsid w:val="00A977E5"/>
    <w:rsid w:val="00A97845"/>
    <w:rsid w:val="00A978A9"/>
    <w:rsid w:val="00A978D1"/>
    <w:rsid w:val="00A9796D"/>
    <w:rsid w:val="00A97A9A"/>
    <w:rsid w:val="00A97AC9"/>
    <w:rsid w:val="00A97B25"/>
    <w:rsid w:val="00A97E3A"/>
    <w:rsid w:val="00AA02C3"/>
    <w:rsid w:val="00AA03CA"/>
    <w:rsid w:val="00AA0627"/>
    <w:rsid w:val="00AA0671"/>
    <w:rsid w:val="00AA0788"/>
    <w:rsid w:val="00AA08D9"/>
    <w:rsid w:val="00AA09FF"/>
    <w:rsid w:val="00AA0BCD"/>
    <w:rsid w:val="00AA0D26"/>
    <w:rsid w:val="00AA0D6A"/>
    <w:rsid w:val="00AA0DED"/>
    <w:rsid w:val="00AA0FC6"/>
    <w:rsid w:val="00AA106D"/>
    <w:rsid w:val="00AA1178"/>
    <w:rsid w:val="00AA1209"/>
    <w:rsid w:val="00AA14C0"/>
    <w:rsid w:val="00AA14ED"/>
    <w:rsid w:val="00AA164F"/>
    <w:rsid w:val="00AA1663"/>
    <w:rsid w:val="00AA17AA"/>
    <w:rsid w:val="00AA1805"/>
    <w:rsid w:val="00AA1AE7"/>
    <w:rsid w:val="00AA1B70"/>
    <w:rsid w:val="00AA1CF6"/>
    <w:rsid w:val="00AA1EDD"/>
    <w:rsid w:val="00AA2084"/>
    <w:rsid w:val="00AA21ED"/>
    <w:rsid w:val="00AA2290"/>
    <w:rsid w:val="00AA2421"/>
    <w:rsid w:val="00AA244A"/>
    <w:rsid w:val="00AA2531"/>
    <w:rsid w:val="00AA2572"/>
    <w:rsid w:val="00AA265F"/>
    <w:rsid w:val="00AA2688"/>
    <w:rsid w:val="00AA2758"/>
    <w:rsid w:val="00AA2816"/>
    <w:rsid w:val="00AA28BD"/>
    <w:rsid w:val="00AA28CB"/>
    <w:rsid w:val="00AA29D3"/>
    <w:rsid w:val="00AA2B27"/>
    <w:rsid w:val="00AA2D1C"/>
    <w:rsid w:val="00AA2D64"/>
    <w:rsid w:val="00AA2DF6"/>
    <w:rsid w:val="00AA30C8"/>
    <w:rsid w:val="00AA3388"/>
    <w:rsid w:val="00AA3611"/>
    <w:rsid w:val="00AA3927"/>
    <w:rsid w:val="00AA39ED"/>
    <w:rsid w:val="00AA3B08"/>
    <w:rsid w:val="00AA3B7A"/>
    <w:rsid w:val="00AA3CEE"/>
    <w:rsid w:val="00AA3D3B"/>
    <w:rsid w:val="00AA3D84"/>
    <w:rsid w:val="00AA3DB0"/>
    <w:rsid w:val="00AA3E49"/>
    <w:rsid w:val="00AA3E68"/>
    <w:rsid w:val="00AA4060"/>
    <w:rsid w:val="00AA4206"/>
    <w:rsid w:val="00AA46DC"/>
    <w:rsid w:val="00AA471B"/>
    <w:rsid w:val="00AA4959"/>
    <w:rsid w:val="00AA4A3B"/>
    <w:rsid w:val="00AA4A7A"/>
    <w:rsid w:val="00AA4B9B"/>
    <w:rsid w:val="00AA4D09"/>
    <w:rsid w:val="00AA4D51"/>
    <w:rsid w:val="00AA4D64"/>
    <w:rsid w:val="00AA4ED7"/>
    <w:rsid w:val="00AA4FCC"/>
    <w:rsid w:val="00AA5002"/>
    <w:rsid w:val="00AA501C"/>
    <w:rsid w:val="00AA5106"/>
    <w:rsid w:val="00AA5119"/>
    <w:rsid w:val="00AA51B2"/>
    <w:rsid w:val="00AA5200"/>
    <w:rsid w:val="00AA5333"/>
    <w:rsid w:val="00AA54D9"/>
    <w:rsid w:val="00AA5504"/>
    <w:rsid w:val="00AA5527"/>
    <w:rsid w:val="00AA5593"/>
    <w:rsid w:val="00AA567A"/>
    <w:rsid w:val="00AA572D"/>
    <w:rsid w:val="00AA5778"/>
    <w:rsid w:val="00AA5781"/>
    <w:rsid w:val="00AA59B5"/>
    <w:rsid w:val="00AA5A4E"/>
    <w:rsid w:val="00AA5C11"/>
    <w:rsid w:val="00AA5C2D"/>
    <w:rsid w:val="00AA5C4D"/>
    <w:rsid w:val="00AA5DBF"/>
    <w:rsid w:val="00AA5FA2"/>
    <w:rsid w:val="00AA641B"/>
    <w:rsid w:val="00AA64C5"/>
    <w:rsid w:val="00AA6526"/>
    <w:rsid w:val="00AA653D"/>
    <w:rsid w:val="00AA6599"/>
    <w:rsid w:val="00AA6942"/>
    <w:rsid w:val="00AA69FB"/>
    <w:rsid w:val="00AA6AE0"/>
    <w:rsid w:val="00AA6C79"/>
    <w:rsid w:val="00AA6D3E"/>
    <w:rsid w:val="00AA6D4A"/>
    <w:rsid w:val="00AA6D50"/>
    <w:rsid w:val="00AA6D74"/>
    <w:rsid w:val="00AA6D99"/>
    <w:rsid w:val="00AA6EC5"/>
    <w:rsid w:val="00AA6FB2"/>
    <w:rsid w:val="00AA70BA"/>
    <w:rsid w:val="00AA73D7"/>
    <w:rsid w:val="00AA74DB"/>
    <w:rsid w:val="00AA7616"/>
    <w:rsid w:val="00AA7758"/>
    <w:rsid w:val="00AA7A34"/>
    <w:rsid w:val="00AA7A61"/>
    <w:rsid w:val="00AA7ABF"/>
    <w:rsid w:val="00AA7C9D"/>
    <w:rsid w:val="00AA7CF9"/>
    <w:rsid w:val="00AA7D0D"/>
    <w:rsid w:val="00AA7D5E"/>
    <w:rsid w:val="00AA7DAD"/>
    <w:rsid w:val="00AA7E23"/>
    <w:rsid w:val="00AA7E8E"/>
    <w:rsid w:val="00AA7ECB"/>
    <w:rsid w:val="00AA7F43"/>
    <w:rsid w:val="00AB0206"/>
    <w:rsid w:val="00AB07A0"/>
    <w:rsid w:val="00AB07EA"/>
    <w:rsid w:val="00AB0935"/>
    <w:rsid w:val="00AB0C3D"/>
    <w:rsid w:val="00AB0D13"/>
    <w:rsid w:val="00AB0D66"/>
    <w:rsid w:val="00AB10A8"/>
    <w:rsid w:val="00AB11D4"/>
    <w:rsid w:val="00AB1259"/>
    <w:rsid w:val="00AB1275"/>
    <w:rsid w:val="00AB14A5"/>
    <w:rsid w:val="00AB155A"/>
    <w:rsid w:val="00AB1586"/>
    <w:rsid w:val="00AB1810"/>
    <w:rsid w:val="00AB1886"/>
    <w:rsid w:val="00AB188A"/>
    <w:rsid w:val="00AB19BC"/>
    <w:rsid w:val="00AB19DD"/>
    <w:rsid w:val="00AB1AE5"/>
    <w:rsid w:val="00AB1B45"/>
    <w:rsid w:val="00AB1B61"/>
    <w:rsid w:val="00AB1B72"/>
    <w:rsid w:val="00AB1BBA"/>
    <w:rsid w:val="00AB1C32"/>
    <w:rsid w:val="00AB1CAE"/>
    <w:rsid w:val="00AB1CF6"/>
    <w:rsid w:val="00AB1D73"/>
    <w:rsid w:val="00AB1E09"/>
    <w:rsid w:val="00AB1FA1"/>
    <w:rsid w:val="00AB20B0"/>
    <w:rsid w:val="00AB2563"/>
    <w:rsid w:val="00AB256B"/>
    <w:rsid w:val="00AB2821"/>
    <w:rsid w:val="00AB293B"/>
    <w:rsid w:val="00AB2AC6"/>
    <w:rsid w:val="00AB2C27"/>
    <w:rsid w:val="00AB2C6A"/>
    <w:rsid w:val="00AB2F8F"/>
    <w:rsid w:val="00AB310F"/>
    <w:rsid w:val="00AB3259"/>
    <w:rsid w:val="00AB3277"/>
    <w:rsid w:val="00AB32DD"/>
    <w:rsid w:val="00AB32F6"/>
    <w:rsid w:val="00AB3301"/>
    <w:rsid w:val="00AB33C0"/>
    <w:rsid w:val="00AB35C0"/>
    <w:rsid w:val="00AB3682"/>
    <w:rsid w:val="00AB3685"/>
    <w:rsid w:val="00AB3714"/>
    <w:rsid w:val="00AB374C"/>
    <w:rsid w:val="00AB3811"/>
    <w:rsid w:val="00AB3961"/>
    <w:rsid w:val="00AB3C60"/>
    <w:rsid w:val="00AB3C91"/>
    <w:rsid w:val="00AB3F13"/>
    <w:rsid w:val="00AB4020"/>
    <w:rsid w:val="00AB4111"/>
    <w:rsid w:val="00AB421E"/>
    <w:rsid w:val="00AB422C"/>
    <w:rsid w:val="00AB442D"/>
    <w:rsid w:val="00AB45DF"/>
    <w:rsid w:val="00AB45E9"/>
    <w:rsid w:val="00AB4668"/>
    <w:rsid w:val="00AB48F4"/>
    <w:rsid w:val="00AB491C"/>
    <w:rsid w:val="00AB4A3C"/>
    <w:rsid w:val="00AB4A62"/>
    <w:rsid w:val="00AB4AA3"/>
    <w:rsid w:val="00AB4C3C"/>
    <w:rsid w:val="00AB4D1A"/>
    <w:rsid w:val="00AB4D1D"/>
    <w:rsid w:val="00AB4E44"/>
    <w:rsid w:val="00AB4F00"/>
    <w:rsid w:val="00AB4F4A"/>
    <w:rsid w:val="00AB511A"/>
    <w:rsid w:val="00AB5130"/>
    <w:rsid w:val="00AB5304"/>
    <w:rsid w:val="00AB530B"/>
    <w:rsid w:val="00AB5330"/>
    <w:rsid w:val="00AB53DE"/>
    <w:rsid w:val="00AB55F6"/>
    <w:rsid w:val="00AB5A95"/>
    <w:rsid w:val="00AB5B97"/>
    <w:rsid w:val="00AB5BE5"/>
    <w:rsid w:val="00AB5CA5"/>
    <w:rsid w:val="00AB5F11"/>
    <w:rsid w:val="00AB5FA3"/>
    <w:rsid w:val="00AB6097"/>
    <w:rsid w:val="00AB6213"/>
    <w:rsid w:val="00AB6287"/>
    <w:rsid w:val="00AB63EF"/>
    <w:rsid w:val="00AB6543"/>
    <w:rsid w:val="00AB65CF"/>
    <w:rsid w:val="00AB68AF"/>
    <w:rsid w:val="00AB6909"/>
    <w:rsid w:val="00AB6932"/>
    <w:rsid w:val="00AB6B79"/>
    <w:rsid w:val="00AB6BF2"/>
    <w:rsid w:val="00AB6CFB"/>
    <w:rsid w:val="00AB6F1D"/>
    <w:rsid w:val="00AB6FCB"/>
    <w:rsid w:val="00AB71DF"/>
    <w:rsid w:val="00AB729B"/>
    <w:rsid w:val="00AB72A7"/>
    <w:rsid w:val="00AB72C9"/>
    <w:rsid w:val="00AB72E9"/>
    <w:rsid w:val="00AB738C"/>
    <w:rsid w:val="00AB7459"/>
    <w:rsid w:val="00AB7643"/>
    <w:rsid w:val="00AB7747"/>
    <w:rsid w:val="00AB774E"/>
    <w:rsid w:val="00AB77A3"/>
    <w:rsid w:val="00AB77D9"/>
    <w:rsid w:val="00AB78A8"/>
    <w:rsid w:val="00AB7A3F"/>
    <w:rsid w:val="00AB7CF4"/>
    <w:rsid w:val="00AB7E29"/>
    <w:rsid w:val="00AB7E5D"/>
    <w:rsid w:val="00AB7F9E"/>
    <w:rsid w:val="00AC015C"/>
    <w:rsid w:val="00AC019D"/>
    <w:rsid w:val="00AC024F"/>
    <w:rsid w:val="00AC0379"/>
    <w:rsid w:val="00AC0B3E"/>
    <w:rsid w:val="00AC0B69"/>
    <w:rsid w:val="00AC0BB1"/>
    <w:rsid w:val="00AC0EF6"/>
    <w:rsid w:val="00AC0F36"/>
    <w:rsid w:val="00AC0F96"/>
    <w:rsid w:val="00AC0FA3"/>
    <w:rsid w:val="00AC1002"/>
    <w:rsid w:val="00AC1058"/>
    <w:rsid w:val="00AC1096"/>
    <w:rsid w:val="00AC11E6"/>
    <w:rsid w:val="00AC13E5"/>
    <w:rsid w:val="00AC144D"/>
    <w:rsid w:val="00AC1478"/>
    <w:rsid w:val="00AC14BB"/>
    <w:rsid w:val="00AC14CE"/>
    <w:rsid w:val="00AC14D5"/>
    <w:rsid w:val="00AC15A5"/>
    <w:rsid w:val="00AC1630"/>
    <w:rsid w:val="00AC16A4"/>
    <w:rsid w:val="00AC16CE"/>
    <w:rsid w:val="00AC1756"/>
    <w:rsid w:val="00AC1776"/>
    <w:rsid w:val="00AC17D1"/>
    <w:rsid w:val="00AC1BD5"/>
    <w:rsid w:val="00AC1DFE"/>
    <w:rsid w:val="00AC1E85"/>
    <w:rsid w:val="00AC1ED5"/>
    <w:rsid w:val="00AC1EEA"/>
    <w:rsid w:val="00AC1F61"/>
    <w:rsid w:val="00AC1F8F"/>
    <w:rsid w:val="00AC1FE1"/>
    <w:rsid w:val="00AC2068"/>
    <w:rsid w:val="00AC2071"/>
    <w:rsid w:val="00AC2112"/>
    <w:rsid w:val="00AC21A2"/>
    <w:rsid w:val="00AC21B8"/>
    <w:rsid w:val="00AC2232"/>
    <w:rsid w:val="00AC22C0"/>
    <w:rsid w:val="00AC2694"/>
    <w:rsid w:val="00AC26C3"/>
    <w:rsid w:val="00AC28EC"/>
    <w:rsid w:val="00AC2A56"/>
    <w:rsid w:val="00AC2A6F"/>
    <w:rsid w:val="00AC2BA4"/>
    <w:rsid w:val="00AC2BF7"/>
    <w:rsid w:val="00AC2C02"/>
    <w:rsid w:val="00AC2C2D"/>
    <w:rsid w:val="00AC2C4F"/>
    <w:rsid w:val="00AC2C87"/>
    <w:rsid w:val="00AC2CED"/>
    <w:rsid w:val="00AC3156"/>
    <w:rsid w:val="00AC3341"/>
    <w:rsid w:val="00AC33A9"/>
    <w:rsid w:val="00AC3442"/>
    <w:rsid w:val="00AC35F4"/>
    <w:rsid w:val="00AC372B"/>
    <w:rsid w:val="00AC37A8"/>
    <w:rsid w:val="00AC3975"/>
    <w:rsid w:val="00AC39D9"/>
    <w:rsid w:val="00AC3A0E"/>
    <w:rsid w:val="00AC3A28"/>
    <w:rsid w:val="00AC3A7B"/>
    <w:rsid w:val="00AC3C6D"/>
    <w:rsid w:val="00AC3D54"/>
    <w:rsid w:val="00AC3D75"/>
    <w:rsid w:val="00AC3DA7"/>
    <w:rsid w:val="00AC3EAD"/>
    <w:rsid w:val="00AC4366"/>
    <w:rsid w:val="00AC44FC"/>
    <w:rsid w:val="00AC459C"/>
    <w:rsid w:val="00AC474C"/>
    <w:rsid w:val="00AC4957"/>
    <w:rsid w:val="00AC49A1"/>
    <w:rsid w:val="00AC4A75"/>
    <w:rsid w:val="00AC4FDA"/>
    <w:rsid w:val="00AC4FF3"/>
    <w:rsid w:val="00AC507B"/>
    <w:rsid w:val="00AC50AF"/>
    <w:rsid w:val="00AC5262"/>
    <w:rsid w:val="00AC53E9"/>
    <w:rsid w:val="00AC5470"/>
    <w:rsid w:val="00AC5748"/>
    <w:rsid w:val="00AC57CD"/>
    <w:rsid w:val="00AC58E9"/>
    <w:rsid w:val="00AC5A06"/>
    <w:rsid w:val="00AC5B01"/>
    <w:rsid w:val="00AC5BFF"/>
    <w:rsid w:val="00AC5C2E"/>
    <w:rsid w:val="00AC5C39"/>
    <w:rsid w:val="00AC5CCF"/>
    <w:rsid w:val="00AC5D52"/>
    <w:rsid w:val="00AC5DA5"/>
    <w:rsid w:val="00AC60C5"/>
    <w:rsid w:val="00AC62FA"/>
    <w:rsid w:val="00AC63B8"/>
    <w:rsid w:val="00AC63D6"/>
    <w:rsid w:val="00AC6417"/>
    <w:rsid w:val="00AC6422"/>
    <w:rsid w:val="00AC6623"/>
    <w:rsid w:val="00AC6714"/>
    <w:rsid w:val="00AC673F"/>
    <w:rsid w:val="00AC67F5"/>
    <w:rsid w:val="00AC68F9"/>
    <w:rsid w:val="00AC69C6"/>
    <w:rsid w:val="00AC6A48"/>
    <w:rsid w:val="00AC6A50"/>
    <w:rsid w:val="00AC6E8A"/>
    <w:rsid w:val="00AC6F4D"/>
    <w:rsid w:val="00AC717C"/>
    <w:rsid w:val="00AC720C"/>
    <w:rsid w:val="00AC7318"/>
    <w:rsid w:val="00AC7324"/>
    <w:rsid w:val="00AC758C"/>
    <w:rsid w:val="00AC75C8"/>
    <w:rsid w:val="00AC763E"/>
    <w:rsid w:val="00AC7682"/>
    <w:rsid w:val="00AC7831"/>
    <w:rsid w:val="00AC792B"/>
    <w:rsid w:val="00AC79EA"/>
    <w:rsid w:val="00AC7AFD"/>
    <w:rsid w:val="00AC7B28"/>
    <w:rsid w:val="00AC7B3D"/>
    <w:rsid w:val="00AC7C2B"/>
    <w:rsid w:val="00AC7C32"/>
    <w:rsid w:val="00AC7E1A"/>
    <w:rsid w:val="00AC7ED8"/>
    <w:rsid w:val="00AC7F38"/>
    <w:rsid w:val="00AC7F43"/>
    <w:rsid w:val="00AC7F49"/>
    <w:rsid w:val="00AC7FB5"/>
    <w:rsid w:val="00AC7FCD"/>
    <w:rsid w:val="00AD00D6"/>
    <w:rsid w:val="00AD028F"/>
    <w:rsid w:val="00AD02F4"/>
    <w:rsid w:val="00AD032A"/>
    <w:rsid w:val="00AD03ED"/>
    <w:rsid w:val="00AD04A1"/>
    <w:rsid w:val="00AD055E"/>
    <w:rsid w:val="00AD05A9"/>
    <w:rsid w:val="00AD0972"/>
    <w:rsid w:val="00AD0ACE"/>
    <w:rsid w:val="00AD0BCF"/>
    <w:rsid w:val="00AD0BDF"/>
    <w:rsid w:val="00AD0E35"/>
    <w:rsid w:val="00AD0E4A"/>
    <w:rsid w:val="00AD0F50"/>
    <w:rsid w:val="00AD0F59"/>
    <w:rsid w:val="00AD1050"/>
    <w:rsid w:val="00AD1092"/>
    <w:rsid w:val="00AD1148"/>
    <w:rsid w:val="00AD1310"/>
    <w:rsid w:val="00AD155F"/>
    <w:rsid w:val="00AD16BF"/>
    <w:rsid w:val="00AD17AA"/>
    <w:rsid w:val="00AD1A8B"/>
    <w:rsid w:val="00AD1A9A"/>
    <w:rsid w:val="00AD1ACE"/>
    <w:rsid w:val="00AD1B4F"/>
    <w:rsid w:val="00AD1E8B"/>
    <w:rsid w:val="00AD1ED8"/>
    <w:rsid w:val="00AD203C"/>
    <w:rsid w:val="00AD2042"/>
    <w:rsid w:val="00AD21B5"/>
    <w:rsid w:val="00AD230B"/>
    <w:rsid w:val="00AD2684"/>
    <w:rsid w:val="00AD270C"/>
    <w:rsid w:val="00AD28AD"/>
    <w:rsid w:val="00AD2C05"/>
    <w:rsid w:val="00AD2D3F"/>
    <w:rsid w:val="00AD2D51"/>
    <w:rsid w:val="00AD2D81"/>
    <w:rsid w:val="00AD2DBB"/>
    <w:rsid w:val="00AD2E3E"/>
    <w:rsid w:val="00AD3069"/>
    <w:rsid w:val="00AD3166"/>
    <w:rsid w:val="00AD31AD"/>
    <w:rsid w:val="00AD3256"/>
    <w:rsid w:val="00AD34CC"/>
    <w:rsid w:val="00AD35A8"/>
    <w:rsid w:val="00AD35CC"/>
    <w:rsid w:val="00AD3741"/>
    <w:rsid w:val="00AD3980"/>
    <w:rsid w:val="00AD398D"/>
    <w:rsid w:val="00AD39A5"/>
    <w:rsid w:val="00AD3A42"/>
    <w:rsid w:val="00AD3B74"/>
    <w:rsid w:val="00AD3CDA"/>
    <w:rsid w:val="00AD3E91"/>
    <w:rsid w:val="00AD3F72"/>
    <w:rsid w:val="00AD3FC9"/>
    <w:rsid w:val="00AD4570"/>
    <w:rsid w:val="00AD4618"/>
    <w:rsid w:val="00AD468E"/>
    <w:rsid w:val="00AD476D"/>
    <w:rsid w:val="00AD47A7"/>
    <w:rsid w:val="00AD47CA"/>
    <w:rsid w:val="00AD47F2"/>
    <w:rsid w:val="00AD48C2"/>
    <w:rsid w:val="00AD493A"/>
    <w:rsid w:val="00AD4C87"/>
    <w:rsid w:val="00AD4FFE"/>
    <w:rsid w:val="00AD5001"/>
    <w:rsid w:val="00AD509A"/>
    <w:rsid w:val="00AD51BF"/>
    <w:rsid w:val="00AD51EE"/>
    <w:rsid w:val="00AD522E"/>
    <w:rsid w:val="00AD52F8"/>
    <w:rsid w:val="00AD5408"/>
    <w:rsid w:val="00AD549B"/>
    <w:rsid w:val="00AD55DC"/>
    <w:rsid w:val="00AD56C3"/>
    <w:rsid w:val="00AD56E9"/>
    <w:rsid w:val="00AD5732"/>
    <w:rsid w:val="00AD57F5"/>
    <w:rsid w:val="00AD58B1"/>
    <w:rsid w:val="00AD5B24"/>
    <w:rsid w:val="00AD5B60"/>
    <w:rsid w:val="00AD6223"/>
    <w:rsid w:val="00AD651C"/>
    <w:rsid w:val="00AD65C6"/>
    <w:rsid w:val="00AD660B"/>
    <w:rsid w:val="00AD6647"/>
    <w:rsid w:val="00AD664B"/>
    <w:rsid w:val="00AD66D2"/>
    <w:rsid w:val="00AD690A"/>
    <w:rsid w:val="00AD6AD3"/>
    <w:rsid w:val="00AD6AD7"/>
    <w:rsid w:val="00AD6EBF"/>
    <w:rsid w:val="00AD722D"/>
    <w:rsid w:val="00AD727B"/>
    <w:rsid w:val="00AD730D"/>
    <w:rsid w:val="00AD73B1"/>
    <w:rsid w:val="00AD76F9"/>
    <w:rsid w:val="00AD77C3"/>
    <w:rsid w:val="00AD77EC"/>
    <w:rsid w:val="00AD7806"/>
    <w:rsid w:val="00AD7870"/>
    <w:rsid w:val="00AD7954"/>
    <w:rsid w:val="00AD7A08"/>
    <w:rsid w:val="00AD7AEB"/>
    <w:rsid w:val="00AD7B63"/>
    <w:rsid w:val="00AD7BB6"/>
    <w:rsid w:val="00AD7D5B"/>
    <w:rsid w:val="00AD7DAD"/>
    <w:rsid w:val="00AD7FD5"/>
    <w:rsid w:val="00AE00EE"/>
    <w:rsid w:val="00AE042D"/>
    <w:rsid w:val="00AE0430"/>
    <w:rsid w:val="00AE043C"/>
    <w:rsid w:val="00AE0533"/>
    <w:rsid w:val="00AE067E"/>
    <w:rsid w:val="00AE068D"/>
    <w:rsid w:val="00AE0B39"/>
    <w:rsid w:val="00AE0C4C"/>
    <w:rsid w:val="00AE0FFF"/>
    <w:rsid w:val="00AE1158"/>
    <w:rsid w:val="00AE119C"/>
    <w:rsid w:val="00AE120D"/>
    <w:rsid w:val="00AE1443"/>
    <w:rsid w:val="00AE1463"/>
    <w:rsid w:val="00AE16CC"/>
    <w:rsid w:val="00AE172A"/>
    <w:rsid w:val="00AE1857"/>
    <w:rsid w:val="00AE1B08"/>
    <w:rsid w:val="00AE1BB3"/>
    <w:rsid w:val="00AE1D51"/>
    <w:rsid w:val="00AE1D5A"/>
    <w:rsid w:val="00AE1E38"/>
    <w:rsid w:val="00AE1E4B"/>
    <w:rsid w:val="00AE22FB"/>
    <w:rsid w:val="00AE2354"/>
    <w:rsid w:val="00AE23EE"/>
    <w:rsid w:val="00AE2443"/>
    <w:rsid w:val="00AE254E"/>
    <w:rsid w:val="00AE2662"/>
    <w:rsid w:val="00AE26C5"/>
    <w:rsid w:val="00AE26D2"/>
    <w:rsid w:val="00AE277D"/>
    <w:rsid w:val="00AE2840"/>
    <w:rsid w:val="00AE2932"/>
    <w:rsid w:val="00AE2A01"/>
    <w:rsid w:val="00AE2B6E"/>
    <w:rsid w:val="00AE2D16"/>
    <w:rsid w:val="00AE2E2F"/>
    <w:rsid w:val="00AE3114"/>
    <w:rsid w:val="00AE319B"/>
    <w:rsid w:val="00AE31B1"/>
    <w:rsid w:val="00AE3447"/>
    <w:rsid w:val="00AE3457"/>
    <w:rsid w:val="00AE37E8"/>
    <w:rsid w:val="00AE3812"/>
    <w:rsid w:val="00AE3A20"/>
    <w:rsid w:val="00AE3A35"/>
    <w:rsid w:val="00AE3B0F"/>
    <w:rsid w:val="00AE3B9D"/>
    <w:rsid w:val="00AE3BC8"/>
    <w:rsid w:val="00AE3BDD"/>
    <w:rsid w:val="00AE3C24"/>
    <w:rsid w:val="00AE3E71"/>
    <w:rsid w:val="00AE406D"/>
    <w:rsid w:val="00AE4118"/>
    <w:rsid w:val="00AE4175"/>
    <w:rsid w:val="00AE44CF"/>
    <w:rsid w:val="00AE4531"/>
    <w:rsid w:val="00AE454D"/>
    <w:rsid w:val="00AE4575"/>
    <w:rsid w:val="00AE46D5"/>
    <w:rsid w:val="00AE4782"/>
    <w:rsid w:val="00AE47FE"/>
    <w:rsid w:val="00AE4812"/>
    <w:rsid w:val="00AE49CE"/>
    <w:rsid w:val="00AE4A1D"/>
    <w:rsid w:val="00AE4B38"/>
    <w:rsid w:val="00AE4B54"/>
    <w:rsid w:val="00AE4D9F"/>
    <w:rsid w:val="00AE4DB2"/>
    <w:rsid w:val="00AE4E9A"/>
    <w:rsid w:val="00AE4EBA"/>
    <w:rsid w:val="00AE4F04"/>
    <w:rsid w:val="00AE502C"/>
    <w:rsid w:val="00AE50EA"/>
    <w:rsid w:val="00AE512D"/>
    <w:rsid w:val="00AE5137"/>
    <w:rsid w:val="00AE513B"/>
    <w:rsid w:val="00AE522B"/>
    <w:rsid w:val="00AE5362"/>
    <w:rsid w:val="00AE5417"/>
    <w:rsid w:val="00AE552C"/>
    <w:rsid w:val="00AE5546"/>
    <w:rsid w:val="00AE5565"/>
    <w:rsid w:val="00AE564E"/>
    <w:rsid w:val="00AE5798"/>
    <w:rsid w:val="00AE5893"/>
    <w:rsid w:val="00AE5960"/>
    <w:rsid w:val="00AE5A0F"/>
    <w:rsid w:val="00AE5A9C"/>
    <w:rsid w:val="00AE5B5A"/>
    <w:rsid w:val="00AE5BC1"/>
    <w:rsid w:val="00AE5BCB"/>
    <w:rsid w:val="00AE5CD1"/>
    <w:rsid w:val="00AE5D31"/>
    <w:rsid w:val="00AE5D4F"/>
    <w:rsid w:val="00AE5FB0"/>
    <w:rsid w:val="00AE61EF"/>
    <w:rsid w:val="00AE6302"/>
    <w:rsid w:val="00AE647F"/>
    <w:rsid w:val="00AE6498"/>
    <w:rsid w:val="00AE65AC"/>
    <w:rsid w:val="00AE6665"/>
    <w:rsid w:val="00AE6733"/>
    <w:rsid w:val="00AE6791"/>
    <w:rsid w:val="00AE69DF"/>
    <w:rsid w:val="00AE6B46"/>
    <w:rsid w:val="00AE6BB4"/>
    <w:rsid w:val="00AE6D2F"/>
    <w:rsid w:val="00AE6D78"/>
    <w:rsid w:val="00AE6DB8"/>
    <w:rsid w:val="00AE7189"/>
    <w:rsid w:val="00AE721F"/>
    <w:rsid w:val="00AE7224"/>
    <w:rsid w:val="00AE7233"/>
    <w:rsid w:val="00AE7462"/>
    <w:rsid w:val="00AE7678"/>
    <w:rsid w:val="00AE77EF"/>
    <w:rsid w:val="00AE7AA5"/>
    <w:rsid w:val="00AE7BE3"/>
    <w:rsid w:val="00AE7C99"/>
    <w:rsid w:val="00AE7DF9"/>
    <w:rsid w:val="00AE7ECB"/>
    <w:rsid w:val="00AE7F06"/>
    <w:rsid w:val="00AF008D"/>
    <w:rsid w:val="00AF0172"/>
    <w:rsid w:val="00AF0232"/>
    <w:rsid w:val="00AF0267"/>
    <w:rsid w:val="00AF038A"/>
    <w:rsid w:val="00AF04E7"/>
    <w:rsid w:val="00AF0538"/>
    <w:rsid w:val="00AF069F"/>
    <w:rsid w:val="00AF0870"/>
    <w:rsid w:val="00AF0A48"/>
    <w:rsid w:val="00AF0B47"/>
    <w:rsid w:val="00AF0CBF"/>
    <w:rsid w:val="00AF0E02"/>
    <w:rsid w:val="00AF0F63"/>
    <w:rsid w:val="00AF0F9A"/>
    <w:rsid w:val="00AF1083"/>
    <w:rsid w:val="00AF10DC"/>
    <w:rsid w:val="00AF12BE"/>
    <w:rsid w:val="00AF130E"/>
    <w:rsid w:val="00AF1414"/>
    <w:rsid w:val="00AF1533"/>
    <w:rsid w:val="00AF159E"/>
    <w:rsid w:val="00AF16E2"/>
    <w:rsid w:val="00AF17AF"/>
    <w:rsid w:val="00AF18D7"/>
    <w:rsid w:val="00AF1A7B"/>
    <w:rsid w:val="00AF1A94"/>
    <w:rsid w:val="00AF1CF7"/>
    <w:rsid w:val="00AF1D53"/>
    <w:rsid w:val="00AF1DC0"/>
    <w:rsid w:val="00AF1DE5"/>
    <w:rsid w:val="00AF2082"/>
    <w:rsid w:val="00AF2128"/>
    <w:rsid w:val="00AF213E"/>
    <w:rsid w:val="00AF21E8"/>
    <w:rsid w:val="00AF22B3"/>
    <w:rsid w:val="00AF242C"/>
    <w:rsid w:val="00AF2577"/>
    <w:rsid w:val="00AF257F"/>
    <w:rsid w:val="00AF2611"/>
    <w:rsid w:val="00AF2774"/>
    <w:rsid w:val="00AF27AD"/>
    <w:rsid w:val="00AF27DA"/>
    <w:rsid w:val="00AF27F4"/>
    <w:rsid w:val="00AF284A"/>
    <w:rsid w:val="00AF285E"/>
    <w:rsid w:val="00AF28D6"/>
    <w:rsid w:val="00AF291B"/>
    <w:rsid w:val="00AF29DD"/>
    <w:rsid w:val="00AF2AB1"/>
    <w:rsid w:val="00AF2B77"/>
    <w:rsid w:val="00AF2BB0"/>
    <w:rsid w:val="00AF2E10"/>
    <w:rsid w:val="00AF2EC9"/>
    <w:rsid w:val="00AF330B"/>
    <w:rsid w:val="00AF337A"/>
    <w:rsid w:val="00AF33CF"/>
    <w:rsid w:val="00AF33F9"/>
    <w:rsid w:val="00AF3445"/>
    <w:rsid w:val="00AF359A"/>
    <w:rsid w:val="00AF371B"/>
    <w:rsid w:val="00AF37BC"/>
    <w:rsid w:val="00AF39F8"/>
    <w:rsid w:val="00AF3B46"/>
    <w:rsid w:val="00AF3BC6"/>
    <w:rsid w:val="00AF3E7C"/>
    <w:rsid w:val="00AF41B5"/>
    <w:rsid w:val="00AF4242"/>
    <w:rsid w:val="00AF42DC"/>
    <w:rsid w:val="00AF441C"/>
    <w:rsid w:val="00AF442C"/>
    <w:rsid w:val="00AF45BC"/>
    <w:rsid w:val="00AF46B6"/>
    <w:rsid w:val="00AF46F9"/>
    <w:rsid w:val="00AF4728"/>
    <w:rsid w:val="00AF481D"/>
    <w:rsid w:val="00AF4A0F"/>
    <w:rsid w:val="00AF4B56"/>
    <w:rsid w:val="00AF4D50"/>
    <w:rsid w:val="00AF4D5E"/>
    <w:rsid w:val="00AF4D61"/>
    <w:rsid w:val="00AF4D84"/>
    <w:rsid w:val="00AF4EF3"/>
    <w:rsid w:val="00AF4FC0"/>
    <w:rsid w:val="00AF518C"/>
    <w:rsid w:val="00AF5355"/>
    <w:rsid w:val="00AF53A9"/>
    <w:rsid w:val="00AF53DD"/>
    <w:rsid w:val="00AF5505"/>
    <w:rsid w:val="00AF5527"/>
    <w:rsid w:val="00AF5539"/>
    <w:rsid w:val="00AF5600"/>
    <w:rsid w:val="00AF5612"/>
    <w:rsid w:val="00AF5790"/>
    <w:rsid w:val="00AF579C"/>
    <w:rsid w:val="00AF5911"/>
    <w:rsid w:val="00AF5996"/>
    <w:rsid w:val="00AF5A26"/>
    <w:rsid w:val="00AF5B24"/>
    <w:rsid w:val="00AF5B8A"/>
    <w:rsid w:val="00AF5B8F"/>
    <w:rsid w:val="00AF5BD0"/>
    <w:rsid w:val="00AF5C2E"/>
    <w:rsid w:val="00AF5D04"/>
    <w:rsid w:val="00AF5D2D"/>
    <w:rsid w:val="00AF5D9E"/>
    <w:rsid w:val="00AF5DAA"/>
    <w:rsid w:val="00AF5EAC"/>
    <w:rsid w:val="00AF5EFB"/>
    <w:rsid w:val="00AF5F44"/>
    <w:rsid w:val="00AF60AB"/>
    <w:rsid w:val="00AF6179"/>
    <w:rsid w:val="00AF6345"/>
    <w:rsid w:val="00AF682A"/>
    <w:rsid w:val="00AF6930"/>
    <w:rsid w:val="00AF69C5"/>
    <w:rsid w:val="00AF6A17"/>
    <w:rsid w:val="00AF6B5F"/>
    <w:rsid w:val="00AF6CFB"/>
    <w:rsid w:val="00AF6D34"/>
    <w:rsid w:val="00AF6E52"/>
    <w:rsid w:val="00AF6E79"/>
    <w:rsid w:val="00AF6EE1"/>
    <w:rsid w:val="00AF7020"/>
    <w:rsid w:val="00AF708F"/>
    <w:rsid w:val="00AF722C"/>
    <w:rsid w:val="00AF7356"/>
    <w:rsid w:val="00AF73DE"/>
    <w:rsid w:val="00AF7424"/>
    <w:rsid w:val="00AF7431"/>
    <w:rsid w:val="00AF743A"/>
    <w:rsid w:val="00AF74F8"/>
    <w:rsid w:val="00AF7624"/>
    <w:rsid w:val="00AF76A6"/>
    <w:rsid w:val="00AF7ADF"/>
    <w:rsid w:val="00AF7C85"/>
    <w:rsid w:val="00AF7E88"/>
    <w:rsid w:val="00AF7E94"/>
    <w:rsid w:val="00AF7EFA"/>
    <w:rsid w:val="00AF7FCD"/>
    <w:rsid w:val="00B00040"/>
    <w:rsid w:val="00B001BA"/>
    <w:rsid w:val="00B002C3"/>
    <w:rsid w:val="00B002FA"/>
    <w:rsid w:val="00B004D3"/>
    <w:rsid w:val="00B004EF"/>
    <w:rsid w:val="00B0072A"/>
    <w:rsid w:val="00B0089F"/>
    <w:rsid w:val="00B008ED"/>
    <w:rsid w:val="00B00A97"/>
    <w:rsid w:val="00B00CDE"/>
    <w:rsid w:val="00B00D09"/>
    <w:rsid w:val="00B00E9C"/>
    <w:rsid w:val="00B00F2F"/>
    <w:rsid w:val="00B01067"/>
    <w:rsid w:val="00B0129C"/>
    <w:rsid w:val="00B0139A"/>
    <w:rsid w:val="00B01631"/>
    <w:rsid w:val="00B017B3"/>
    <w:rsid w:val="00B017EF"/>
    <w:rsid w:val="00B01859"/>
    <w:rsid w:val="00B01921"/>
    <w:rsid w:val="00B019F2"/>
    <w:rsid w:val="00B01A3E"/>
    <w:rsid w:val="00B01A4C"/>
    <w:rsid w:val="00B01B45"/>
    <w:rsid w:val="00B01D64"/>
    <w:rsid w:val="00B01D97"/>
    <w:rsid w:val="00B01EB0"/>
    <w:rsid w:val="00B01F9E"/>
    <w:rsid w:val="00B02171"/>
    <w:rsid w:val="00B02235"/>
    <w:rsid w:val="00B0236A"/>
    <w:rsid w:val="00B02405"/>
    <w:rsid w:val="00B0245D"/>
    <w:rsid w:val="00B0266E"/>
    <w:rsid w:val="00B027C5"/>
    <w:rsid w:val="00B027C9"/>
    <w:rsid w:val="00B0282B"/>
    <w:rsid w:val="00B028BD"/>
    <w:rsid w:val="00B02B35"/>
    <w:rsid w:val="00B02C2B"/>
    <w:rsid w:val="00B02D17"/>
    <w:rsid w:val="00B02D5A"/>
    <w:rsid w:val="00B02D94"/>
    <w:rsid w:val="00B02F52"/>
    <w:rsid w:val="00B03049"/>
    <w:rsid w:val="00B030ED"/>
    <w:rsid w:val="00B0319C"/>
    <w:rsid w:val="00B03366"/>
    <w:rsid w:val="00B036AD"/>
    <w:rsid w:val="00B03B03"/>
    <w:rsid w:val="00B03B2F"/>
    <w:rsid w:val="00B03BDB"/>
    <w:rsid w:val="00B03BFC"/>
    <w:rsid w:val="00B03C01"/>
    <w:rsid w:val="00B03F38"/>
    <w:rsid w:val="00B0411A"/>
    <w:rsid w:val="00B0415D"/>
    <w:rsid w:val="00B0431D"/>
    <w:rsid w:val="00B04358"/>
    <w:rsid w:val="00B0448D"/>
    <w:rsid w:val="00B04679"/>
    <w:rsid w:val="00B04765"/>
    <w:rsid w:val="00B04820"/>
    <w:rsid w:val="00B04B32"/>
    <w:rsid w:val="00B04B8B"/>
    <w:rsid w:val="00B04BB5"/>
    <w:rsid w:val="00B04CD5"/>
    <w:rsid w:val="00B04CD8"/>
    <w:rsid w:val="00B04CF0"/>
    <w:rsid w:val="00B04D0E"/>
    <w:rsid w:val="00B04D6B"/>
    <w:rsid w:val="00B04DC2"/>
    <w:rsid w:val="00B04EB9"/>
    <w:rsid w:val="00B04F1A"/>
    <w:rsid w:val="00B04F47"/>
    <w:rsid w:val="00B055C0"/>
    <w:rsid w:val="00B05887"/>
    <w:rsid w:val="00B059D2"/>
    <w:rsid w:val="00B05AA0"/>
    <w:rsid w:val="00B05ADA"/>
    <w:rsid w:val="00B05CAC"/>
    <w:rsid w:val="00B05CD4"/>
    <w:rsid w:val="00B05D2A"/>
    <w:rsid w:val="00B05DF6"/>
    <w:rsid w:val="00B05EF0"/>
    <w:rsid w:val="00B05F1A"/>
    <w:rsid w:val="00B0602C"/>
    <w:rsid w:val="00B0609B"/>
    <w:rsid w:val="00B06178"/>
    <w:rsid w:val="00B061C8"/>
    <w:rsid w:val="00B0631F"/>
    <w:rsid w:val="00B0632C"/>
    <w:rsid w:val="00B0642B"/>
    <w:rsid w:val="00B06473"/>
    <w:rsid w:val="00B064BA"/>
    <w:rsid w:val="00B064D3"/>
    <w:rsid w:val="00B064FF"/>
    <w:rsid w:val="00B067AE"/>
    <w:rsid w:val="00B06834"/>
    <w:rsid w:val="00B06850"/>
    <w:rsid w:val="00B0686F"/>
    <w:rsid w:val="00B068B7"/>
    <w:rsid w:val="00B0690A"/>
    <w:rsid w:val="00B069EC"/>
    <w:rsid w:val="00B069FC"/>
    <w:rsid w:val="00B06B45"/>
    <w:rsid w:val="00B06BAD"/>
    <w:rsid w:val="00B06C15"/>
    <w:rsid w:val="00B06DEC"/>
    <w:rsid w:val="00B06E31"/>
    <w:rsid w:val="00B06E9D"/>
    <w:rsid w:val="00B06F04"/>
    <w:rsid w:val="00B06FC2"/>
    <w:rsid w:val="00B06FCB"/>
    <w:rsid w:val="00B07058"/>
    <w:rsid w:val="00B0717F"/>
    <w:rsid w:val="00B071DF"/>
    <w:rsid w:val="00B0733A"/>
    <w:rsid w:val="00B0742D"/>
    <w:rsid w:val="00B0780A"/>
    <w:rsid w:val="00B078B3"/>
    <w:rsid w:val="00B078E6"/>
    <w:rsid w:val="00B07BDC"/>
    <w:rsid w:val="00B07C1D"/>
    <w:rsid w:val="00B07C66"/>
    <w:rsid w:val="00B07C6E"/>
    <w:rsid w:val="00B07CBE"/>
    <w:rsid w:val="00B07FF2"/>
    <w:rsid w:val="00B1001A"/>
    <w:rsid w:val="00B10144"/>
    <w:rsid w:val="00B10155"/>
    <w:rsid w:val="00B101B5"/>
    <w:rsid w:val="00B102F8"/>
    <w:rsid w:val="00B10454"/>
    <w:rsid w:val="00B1046D"/>
    <w:rsid w:val="00B105F8"/>
    <w:rsid w:val="00B106AF"/>
    <w:rsid w:val="00B106B5"/>
    <w:rsid w:val="00B10744"/>
    <w:rsid w:val="00B1087B"/>
    <w:rsid w:val="00B10955"/>
    <w:rsid w:val="00B10AE1"/>
    <w:rsid w:val="00B10C40"/>
    <w:rsid w:val="00B10E29"/>
    <w:rsid w:val="00B10E89"/>
    <w:rsid w:val="00B10EE1"/>
    <w:rsid w:val="00B10FF4"/>
    <w:rsid w:val="00B11000"/>
    <w:rsid w:val="00B110D3"/>
    <w:rsid w:val="00B110ED"/>
    <w:rsid w:val="00B11137"/>
    <w:rsid w:val="00B111EC"/>
    <w:rsid w:val="00B11233"/>
    <w:rsid w:val="00B11329"/>
    <w:rsid w:val="00B11417"/>
    <w:rsid w:val="00B114DE"/>
    <w:rsid w:val="00B1157B"/>
    <w:rsid w:val="00B11721"/>
    <w:rsid w:val="00B117C9"/>
    <w:rsid w:val="00B117D3"/>
    <w:rsid w:val="00B117E4"/>
    <w:rsid w:val="00B11AC0"/>
    <w:rsid w:val="00B11AF0"/>
    <w:rsid w:val="00B11B8A"/>
    <w:rsid w:val="00B11FCC"/>
    <w:rsid w:val="00B120E3"/>
    <w:rsid w:val="00B12218"/>
    <w:rsid w:val="00B1266B"/>
    <w:rsid w:val="00B1287E"/>
    <w:rsid w:val="00B12939"/>
    <w:rsid w:val="00B1295A"/>
    <w:rsid w:val="00B12988"/>
    <w:rsid w:val="00B129AB"/>
    <w:rsid w:val="00B12A2D"/>
    <w:rsid w:val="00B12B3C"/>
    <w:rsid w:val="00B12B6D"/>
    <w:rsid w:val="00B12BA1"/>
    <w:rsid w:val="00B12BD3"/>
    <w:rsid w:val="00B12C33"/>
    <w:rsid w:val="00B12DF4"/>
    <w:rsid w:val="00B12EC9"/>
    <w:rsid w:val="00B12F14"/>
    <w:rsid w:val="00B13062"/>
    <w:rsid w:val="00B130FC"/>
    <w:rsid w:val="00B13182"/>
    <w:rsid w:val="00B131F8"/>
    <w:rsid w:val="00B1325D"/>
    <w:rsid w:val="00B13273"/>
    <w:rsid w:val="00B13456"/>
    <w:rsid w:val="00B13468"/>
    <w:rsid w:val="00B13552"/>
    <w:rsid w:val="00B13560"/>
    <w:rsid w:val="00B136D8"/>
    <w:rsid w:val="00B13740"/>
    <w:rsid w:val="00B1379E"/>
    <w:rsid w:val="00B13877"/>
    <w:rsid w:val="00B13917"/>
    <w:rsid w:val="00B13929"/>
    <w:rsid w:val="00B13A18"/>
    <w:rsid w:val="00B13C1A"/>
    <w:rsid w:val="00B13DD6"/>
    <w:rsid w:val="00B13ED1"/>
    <w:rsid w:val="00B13F31"/>
    <w:rsid w:val="00B140D0"/>
    <w:rsid w:val="00B14475"/>
    <w:rsid w:val="00B1461D"/>
    <w:rsid w:val="00B14754"/>
    <w:rsid w:val="00B1492B"/>
    <w:rsid w:val="00B14A40"/>
    <w:rsid w:val="00B14BC8"/>
    <w:rsid w:val="00B14C5A"/>
    <w:rsid w:val="00B14C6E"/>
    <w:rsid w:val="00B14C91"/>
    <w:rsid w:val="00B14E92"/>
    <w:rsid w:val="00B150D9"/>
    <w:rsid w:val="00B1540C"/>
    <w:rsid w:val="00B15442"/>
    <w:rsid w:val="00B154E7"/>
    <w:rsid w:val="00B155AE"/>
    <w:rsid w:val="00B157C7"/>
    <w:rsid w:val="00B157FE"/>
    <w:rsid w:val="00B15C78"/>
    <w:rsid w:val="00B15DDF"/>
    <w:rsid w:val="00B1619D"/>
    <w:rsid w:val="00B1623A"/>
    <w:rsid w:val="00B1628C"/>
    <w:rsid w:val="00B16385"/>
    <w:rsid w:val="00B1647F"/>
    <w:rsid w:val="00B1656F"/>
    <w:rsid w:val="00B16822"/>
    <w:rsid w:val="00B16A29"/>
    <w:rsid w:val="00B16A36"/>
    <w:rsid w:val="00B16AE7"/>
    <w:rsid w:val="00B16AF3"/>
    <w:rsid w:val="00B16C98"/>
    <w:rsid w:val="00B1709D"/>
    <w:rsid w:val="00B170EF"/>
    <w:rsid w:val="00B1741C"/>
    <w:rsid w:val="00B17709"/>
    <w:rsid w:val="00B17788"/>
    <w:rsid w:val="00B177C9"/>
    <w:rsid w:val="00B1790A"/>
    <w:rsid w:val="00B179EA"/>
    <w:rsid w:val="00B17AD2"/>
    <w:rsid w:val="00B17D56"/>
    <w:rsid w:val="00B17D9E"/>
    <w:rsid w:val="00B17EA0"/>
    <w:rsid w:val="00B17F15"/>
    <w:rsid w:val="00B200A4"/>
    <w:rsid w:val="00B2016A"/>
    <w:rsid w:val="00B2020C"/>
    <w:rsid w:val="00B20257"/>
    <w:rsid w:val="00B20455"/>
    <w:rsid w:val="00B204CE"/>
    <w:rsid w:val="00B205BD"/>
    <w:rsid w:val="00B20766"/>
    <w:rsid w:val="00B20A45"/>
    <w:rsid w:val="00B20ACD"/>
    <w:rsid w:val="00B20AD1"/>
    <w:rsid w:val="00B20AF7"/>
    <w:rsid w:val="00B20B32"/>
    <w:rsid w:val="00B20B57"/>
    <w:rsid w:val="00B20CC3"/>
    <w:rsid w:val="00B20E31"/>
    <w:rsid w:val="00B20EB8"/>
    <w:rsid w:val="00B2114D"/>
    <w:rsid w:val="00B211EA"/>
    <w:rsid w:val="00B21318"/>
    <w:rsid w:val="00B2134A"/>
    <w:rsid w:val="00B2143C"/>
    <w:rsid w:val="00B21485"/>
    <w:rsid w:val="00B2157F"/>
    <w:rsid w:val="00B215BA"/>
    <w:rsid w:val="00B215C6"/>
    <w:rsid w:val="00B217E7"/>
    <w:rsid w:val="00B218F8"/>
    <w:rsid w:val="00B21D33"/>
    <w:rsid w:val="00B21EAA"/>
    <w:rsid w:val="00B21F43"/>
    <w:rsid w:val="00B21FCF"/>
    <w:rsid w:val="00B220AA"/>
    <w:rsid w:val="00B220F6"/>
    <w:rsid w:val="00B2220A"/>
    <w:rsid w:val="00B225ED"/>
    <w:rsid w:val="00B2272B"/>
    <w:rsid w:val="00B2276C"/>
    <w:rsid w:val="00B2280D"/>
    <w:rsid w:val="00B2282F"/>
    <w:rsid w:val="00B228C6"/>
    <w:rsid w:val="00B2290A"/>
    <w:rsid w:val="00B2298C"/>
    <w:rsid w:val="00B229AF"/>
    <w:rsid w:val="00B22A62"/>
    <w:rsid w:val="00B22B41"/>
    <w:rsid w:val="00B22C5C"/>
    <w:rsid w:val="00B22D9E"/>
    <w:rsid w:val="00B22DAD"/>
    <w:rsid w:val="00B22DFA"/>
    <w:rsid w:val="00B233C0"/>
    <w:rsid w:val="00B233CB"/>
    <w:rsid w:val="00B234F2"/>
    <w:rsid w:val="00B23884"/>
    <w:rsid w:val="00B23897"/>
    <w:rsid w:val="00B23AAC"/>
    <w:rsid w:val="00B23E2A"/>
    <w:rsid w:val="00B23F39"/>
    <w:rsid w:val="00B23F5D"/>
    <w:rsid w:val="00B23FA4"/>
    <w:rsid w:val="00B2401B"/>
    <w:rsid w:val="00B24097"/>
    <w:rsid w:val="00B240E0"/>
    <w:rsid w:val="00B24107"/>
    <w:rsid w:val="00B24111"/>
    <w:rsid w:val="00B24131"/>
    <w:rsid w:val="00B2414F"/>
    <w:rsid w:val="00B242A3"/>
    <w:rsid w:val="00B24380"/>
    <w:rsid w:val="00B243DB"/>
    <w:rsid w:val="00B245E7"/>
    <w:rsid w:val="00B24605"/>
    <w:rsid w:val="00B2466D"/>
    <w:rsid w:val="00B24702"/>
    <w:rsid w:val="00B24783"/>
    <w:rsid w:val="00B247B6"/>
    <w:rsid w:val="00B24CED"/>
    <w:rsid w:val="00B24DAD"/>
    <w:rsid w:val="00B24EB4"/>
    <w:rsid w:val="00B24F30"/>
    <w:rsid w:val="00B250FE"/>
    <w:rsid w:val="00B253D3"/>
    <w:rsid w:val="00B2540E"/>
    <w:rsid w:val="00B25519"/>
    <w:rsid w:val="00B255D0"/>
    <w:rsid w:val="00B25636"/>
    <w:rsid w:val="00B25656"/>
    <w:rsid w:val="00B256E7"/>
    <w:rsid w:val="00B2578D"/>
    <w:rsid w:val="00B2588F"/>
    <w:rsid w:val="00B2597D"/>
    <w:rsid w:val="00B259CE"/>
    <w:rsid w:val="00B25B23"/>
    <w:rsid w:val="00B25C66"/>
    <w:rsid w:val="00B25C81"/>
    <w:rsid w:val="00B25C97"/>
    <w:rsid w:val="00B25DF1"/>
    <w:rsid w:val="00B25F32"/>
    <w:rsid w:val="00B260E2"/>
    <w:rsid w:val="00B261E0"/>
    <w:rsid w:val="00B263A8"/>
    <w:rsid w:val="00B26509"/>
    <w:rsid w:val="00B265ED"/>
    <w:rsid w:val="00B265F1"/>
    <w:rsid w:val="00B266D8"/>
    <w:rsid w:val="00B26912"/>
    <w:rsid w:val="00B26AA4"/>
    <w:rsid w:val="00B26E37"/>
    <w:rsid w:val="00B26FD6"/>
    <w:rsid w:val="00B27037"/>
    <w:rsid w:val="00B27261"/>
    <w:rsid w:val="00B27415"/>
    <w:rsid w:val="00B27717"/>
    <w:rsid w:val="00B2781A"/>
    <w:rsid w:val="00B27A26"/>
    <w:rsid w:val="00B27A3F"/>
    <w:rsid w:val="00B27A5F"/>
    <w:rsid w:val="00B27BF5"/>
    <w:rsid w:val="00B27D11"/>
    <w:rsid w:val="00B3004E"/>
    <w:rsid w:val="00B30095"/>
    <w:rsid w:val="00B300AC"/>
    <w:rsid w:val="00B301B3"/>
    <w:rsid w:val="00B3024D"/>
    <w:rsid w:val="00B30329"/>
    <w:rsid w:val="00B303F5"/>
    <w:rsid w:val="00B30755"/>
    <w:rsid w:val="00B3094E"/>
    <w:rsid w:val="00B30CD5"/>
    <w:rsid w:val="00B30EA8"/>
    <w:rsid w:val="00B3100A"/>
    <w:rsid w:val="00B31102"/>
    <w:rsid w:val="00B31106"/>
    <w:rsid w:val="00B311CB"/>
    <w:rsid w:val="00B3129D"/>
    <w:rsid w:val="00B31529"/>
    <w:rsid w:val="00B315EA"/>
    <w:rsid w:val="00B3179B"/>
    <w:rsid w:val="00B319FA"/>
    <w:rsid w:val="00B31ABF"/>
    <w:rsid w:val="00B31C60"/>
    <w:rsid w:val="00B31C90"/>
    <w:rsid w:val="00B31CAD"/>
    <w:rsid w:val="00B31D67"/>
    <w:rsid w:val="00B320EC"/>
    <w:rsid w:val="00B32124"/>
    <w:rsid w:val="00B321B0"/>
    <w:rsid w:val="00B32274"/>
    <w:rsid w:val="00B32667"/>
    <w:rsid w:val="00B32687"/>
    <w:rsid w:val="00B326EA"/>
    <w:rsid w:val="00B327FE"/>
    <w:rsid w:val="00B3282E"/>
    <w:rsid w:val="00B329CB"/>
    <w:rsid w:val="00B32B42"/>
    <w:rsid w:val="00B32B65"/>
    <w:rsid w:val="00B32C81"/>
    <w:rsid w:val="00B32DFE"/>
    <w:rsid w:val="00B32F09"/>
    <w:rsid w:val="00B32F97"/>
    <w:rsid w:val="00B3300C"/>
    <w:rsid w:val="00B33064"/>
    <w:rsid w:val="00B330E3"/>
    <w:rsid w:val="00B332C3"/>
    <w:rsid w:val="00B33376"/>
    <w:rsid w:val="00B33423"/>
    <w:rsid w:val="00B334E8"/>
    <w:rsid w:val="00B335C9"/>
    <w:rsid w:val="00B33632"/>
    <w:rsid w:val="00B337F3"/>
    <w:rsid w:val="00B33A16"/>
    <w:rsid w:val="00B33A48"/>
    <w:rsid w:val="00B33B6F"/>
    <w:rsid w:val="00B33BE3"/>
    <w:rsid w:val="00B34003"/>
    <w:rsid w:val="00B34158"/>
    <w:rsid w:val="00B341EE"/>
    <w:rsid w:val="00B34213"/>
    <w:rsid w:val="00B3443A"/>
    <w:rsid w:val="00B34621"/>
    <w:rsid w:val="00B34665"/>
    <w:rsid w:val="00B34882"/>
    <w:rsid w:val="00B34937"/>
    <w:rsid w:val="00B34C5B"/>
    <w:rsid w:val="00B34CB2"/>
    <w:rsid w:val="00B34D1F"/>
    <w:rsid w:val="00B34EFE"/>
    <w:rsid w:val="00B34F5D"/>
    <w:rsid w:val="00B3533A"/>
    <w:rsid w:val="00B353BF"/>
    <w:rsid w:val="00B35463"/>
    <w:rsid w:val="00B35670"/>
    <w:rsid w:val="00B3582B"/>
    <w:rsid w:val="00B359FE"/>
    <w:rsid w:val="00B36020"/>
    <w:rsid w:val="00B3611A"/>
    <w:rsid w:val="00B36215"/>
    <w:rsid w:val="00B36408"/>
    <w:rsid w:val="00B365D0"/>
    <w:rsid w:val="00B36673"/>
    <w:rsid w:val="00B366FE"/>
    <w:rsid w:val="00B367C8"/>
    <w:rsid w:val="00B368F8"/>
    <w:rsid w:val="00B36922"/>
    <w:rsid w:val="00B36A18"/>
    <w:rsid w:val="00B36AC3"/>
    <w:rsid w:val="00B36C37"/>
    <w:rsid w:val="00B36CC3"/>
    <w:rsid w:val="00B36D29"/>
    <w:rsid w:val="00B36D44"/>
    <w:rsid w:val="00B36DA5"/>
    <w:rsid w:val="00B36F73"/>
    <w:rsid w:val="00B36FC0"/>
    <w:rsid w:val="00B37044"/>
    <w:rsid w:val="00B37050"/>
    <w:rsid w:val="00B371D5"/>
    <w:rsid w:val="00B371F9"/>
    <w:rsid w:val="00B3731D"/>
    <w:rsid w:val="00B374AB"/>
    <w:rsid w:val="00B376B7"/>
    <w:rsid w:val="00B37784"/>
    <w:rsid w:val="00B378F8"/>
    <w:rsid w:val="00B37A2D"/>
    <w:rsid w:val="00B37E68"/>
    <w:rsid w:val="00B37EE3"/>
    <w:rsid w:val="00B37FEB"/>
    <w:rsid w:val="00B400FA"/>
    <w:rsid w:val="00B40127"/>
    <w:rsid w:val="00B401A1"/>
    <w:rsid w:val="00B401DA"/>
    <w:rsid w:val="00B403A6"/>
    <w:rsid w:val="00B4067F"/>
    <w:rsid w:val="00B40817"/>
    <w:rsid w:val="00B41065"/>
    <w:rsid w:val="00B4116D"/>
    <w:rsid w:val="00B41370"/>
    <w:rsid w:val="00B41375"/>
    <w:rsid w:val="00B414A0"/>
    <w:rsid w:val="00B41532"/>
    <w:rsid w:val="00B4153D"/>
    <w:rsid w:val="00B41571"/>
    <w:rsid w:val="00B41650"/>
    <w:rsid w:val="00B416F0"/>
    <w:rsid w:val="00B4177F"/>
    <w:rsid w:val="00B418DE"/>
    <w:rsid w:val="00B41D1E"/>
    <w:rsid w:val="00B41D8B"/>
    <w:rsid w:val="00B41FF2"/>
    <w:rsid w:val="00B42090"/>
    <w:rsid w:val="00B420B7"/>
    <w:rsid w:val="00B42163"/>
    <w:rsid w:val="00B421B6"/>
    <w:rsid w:val="00B42209"/>
    <w:rsid w:val="00B425CF"/>
    <w:rsid w:val="00B42669"/>
    <w:rsid w:val="00B426FE"/>
    <w:rsid w:val="00B4275A"/>
    <w:rsid w:val="00B428AC"/>
    <w:rsid w:val="00B428E3"/>
    <w:rsid w:val="00B428F1"/>
    <w:rsid w:val="00B42B68"/>
    <w:rsid w:val="00B42C4F"/>
    <w:rsid w:val="00B42D44"/>
    <w:rsid w:val="00B42E6B"/>
    <w:rsid w:val="00B42FA0"/>
    <w:rsid w:val="00B42FAE"/>
    <w:rsid w:val="00B43126"/>
    <w:rsid w:val="00B432FE"/>
    <w:rsid w:val="00B4339B"/>
    <w:rsid w:val="00B436BA"/>
    <w:rsid w:val="00B43831"/>
    <w:rsid w:val="00B4384E"/>
    <w:rsid w:val="00B438F6"/>
    <w:rsid w:val="00B4395E"/>
    <w:rsid w:val="00B4399D"/>
    <w:rsid w:val="00B439F3"/>
    <w:rsid w:val="00B43AE0"/>
    <w:rsid w:val="00B43C17"/>
    <w:rsid w:val="00B43C51"/>
    <w:rsid w:val="00B43C55"/>
    <w:rsid w:val="00B43C8A"/>
    <w:rsid w:val="00B43F02"/>
    <w:rsid w:val="00B43F27"/>
    <w:rsid w:val="00B43F99"/>
    <w:rsid w:val="00B44091"/>
    <w:rsid w:val="00B44252"/>
    <w:rsid w:val="00B44372"/>
    <w:rsid w:val="00B44736"/>
    <w:rsid w:val="00B44758"/>
    <w:rsid w:val="00B44817"/>
    <w:rsid w:val="00B448FB"/>
    <w:rsid w:val="00B449F1"/>
    <w:rsid w:val="00B44AB8"/>
    <w:rsid w:val="00B44B2A"/>
    <w:rsid w:val="00B44BBA"/>
    <w:rsid w:val="00B44C5C"/>
    <w:rsid w:val="00B44FB2"/>
    <w:rsid w:val="00B4515A"/>
    <w:rsid w:val="00B452B6"/>
    <w:rsid w:val="00B45435"/>
    <w:rsid w:val="00B4547C"/>
    <w:rsid w:val="00B454B2"/>
    <w:rsid w:val="00B4556D"/>
    <w:rsid w:val="00B456EF"/>
    <w:rsid w:val="00B4594C"/>
    <w:rsid w:val="00B45A81"/>
    <w:rsid w:val="00B45ACC"/>
    <w:rsid w:val="00B45DB8"/>
    <w:rsid w:val="00B45EC5"/>
    <w:rsid w:val="00B45F82"/>
    <w:rsid w:val="00B45F88"/>
    <w:rsid w:val="00B4608A"/>
    <w:rsid w:val="00B46582"/>
    <w:rsid w:val="00B465A3"/>
    <w:rsid w:val="00B46846"/>
    <w:rsid w:val="00B469A0"/>
    <w:rsid w:val="00B469AB"/>
    <w:rsid w:val="00B469F3"/>
    <w:rsid w:val="00B46A29"/>
    <w:rsid w:val="00B46B07"/>
    <w:rsid w:val="00B470ED"/>
    <w:rsid w:val="00B47218"/>
    <w:rsid w:val="00B4730A"/>
    <w:rsid w:val="00B4744C"/>
    <w:rsid w:val="00B474FC"/>
    <w:rsid w:val="00B47555"/>
    <w:rsid w:val="00B475D0"/>
    <w:rsid w:val="00B47803"/>
    <w:rsid w:val="00B47955"/>
    <w:rsid w:val="00B47AD8"/>
    <w:rsid w:val="00B50073"/>
    <w:rsid w:val="00B50074"/>
    <w:rsid w:val="00B50274"/>
    <w:rsid w:val="00B502DE"/>
    <w:rsid w:val="00B502F0"/>
    <w:rsid w:val="00B50378"/>
    <w:rsid w:val="00B503E8"/>
    <w:rsid w:val="00B50A3E"/>
    <w:rsid w:val="00B50A4F"/>
    <w:rsid w:val="00B50A6D"/>
    <w:rsid w:val="00B50DA4"/>
    <w:rsid w:val="00B50DC9"/>
    <w:rsid w:val="00B50EFD"/>
    <w:rsid w:val="00B50F68"/>
    <w:rsid w:val="00B50FB4"/>
    <w:rsid w:val="00B510F4"/>
    <w:rsid w:val="00B5134D"/>
    <w:rsid w:val="00B513F6"/>
    <w:rsid w:val="00B515BA"/>
    <w:rsid w:val="00B51624"/>
    <w:rsid w:val="00B5189B"/>
    <w:rsid w:val="00B519AC"/>
    <w:rsid w:val="00B51E9D"/>
    <w:rsid w:val="00B52054"/>
    <w:rsid w:val="00B521A7"/>
    <w:rsid w:val="00B5241E"/>
    <w:rsid w:val="00B5242B"/>
    <w:rsid w:val="00B524B9"/>
    <w:rsid w:val="00B526A8"/>
    <w:rsid w:val="00B5284A"/>
    <w:rsid w:val="00B528D0"/>
    <w:rsid w:val="00B52CDA"/>
    <w:rsid w:val="00B52F43"/>
    <w:rsid w:val="00B52F60"/>
    <w:rsid w:val="00B52FA4"/>
    <w:rsid w:val="00B52FF4"/>
    <w:rsid w:val="00B53006"/>
    <w:rsid w:val="00B530B8"/>
    <w:rsid w:val="00B531A6"/>
    <w:rsid w:val="00B531EA"/>
    <w:rsid w:val="00B537D4"/>
    <w:rsid w:val="00B5387C"/>
    <w:rsid w:val="00B538C0"/>
    <w:rsid w:val="00B53B5D"/>
    <w:rsid w:val="00B53B89"/>
    <w:rsid w:val="00B53CC4"/>
    <w:rsid w:val="00B53CCE"/>
    <w:rsid w:val="00B53DD8"/>
    <w:rsid w:val="00B541F8"/>
    <w:rsid w:val="00B54306"/>
    <w:rsid w:val="00B548CA"/>
    <w:rsid w:val="00B54AE8"/>
    <w:rsid w:val="00B54C36"/>
    <w:rsid w:val="00B54C7D"/>
    <w:rsid w:val="00B54CED"/>
    <w:rsid w:val="00B54E2D"/>
    <w:rsid w:val="00B54E46"/>
    <w:rsid w:val="00B54F83"/>
    <w:rsid w:val="00B54FD1"/>
    <w:rsid w:val="00B55018"/>
    <w:rsid w:val="00B55059"/>
    <w:rsid w:val="00B550C5"/>
    <w:rsid w:val="00B5541A"/>
    <w:rsid w:val="00B554B5"/>
    <w:rsid w:val="00B554D9"/>
    <w:rsid w:val="00B5556A"/>
    <w:rsid w:val="00B555AC"/>
    <w:rsid w:val="00B555B6"/>
    <w:rsid w:val="00B55731"/>
    <w:rsid w:val="00B55A4B"/>
    <w:rsid w:val="00B55B0E"/>
    <w:rsid w:val="00B55B7A"/>
    <w:rsid w:val="00B55CE3"/>
    <w:rsid w:val="00B55DAE"/>
    <w:rsid w:val="00B55E4A"/>
    <w:rsid w:val="00B55FB1"/>
    <w:rsid w:val="00B55FEE"/>
    <w:rsid w:val="00B560BF"/>
    <w:rsid w:val="00B564AE"/>
    <w:rsid w:val="00B564B4"/>
    <w:rsid w:val="00B56523"/>
    <w:rsid w:val="00B565A5"/>
    <w:rsid w:val="00B56626"/>
    <w:rsid w:val="00B56891"/>
    <w:rsid w:val="00B56A21"/>
    <w:rsid w:val="00B56A93"/>
    <w:rsid w:val="00B56AB3"/>
    <w:rsid w:val="00B56C30"/>
    <w:rsid w:val="00B56E05"/>
    <w:rsid w:val="00B56E92"/>
    <w:rsid w:val="00B56F3C"/>
    <w:rsid w:val="00B5700A"/>
    <w:rsid w:val="00B57028"/>
    <w:rsid w:val="00B57517"/>
    <w:rsid w:val="00B57669"/>
    <w:rsid w:val="00B576E8"/>
    <w:rsid w:val="00B5778B"/>
    <w:rsid w:val="00B5778D"/>
    <w:rsid w:val="00B577D4"/>
    <w:rsid w:val="00B57849"/>
    <w:rsid w:val="00B57907"/>
    <w:rsid w:val="00B57A1F"/>
    <w:rsid w:val="00B57ACD"/>
    <w:rsid w:val="00B57BB4"/>
    <w:rsid w:val="00B57BFC"/>
    <w:rsid w:val="00B57D06"/>
    <w:rsid w:val="00B57D2E"/>
    <w:rsid w:val="00B57E28"/>
    <w:rsid w:val="00B57FB1"/>
    <w:rsid w:val="00B600C3"/>
    <w:rsid w:val="00B6012D"/>
    <w:rsid w:val="00B60135"/>
    <w:rsid w:val="00B603A0"/>
    <w:rsid w:val="00B6055E"/>
    <w:rsid w:val="00B60685"/>
    <w:rsid w:val="00B609F1"/>
    <w:rsid w:val="00B60BCC"/>
    <w:rsid w:val="00B60CD1"/>
    <w:rsid w:val="00B60CD3"/>
    <w:rsid w:val="00B60D37"/>
    <w:rsid w:val="00B60D97"/>
    <w:rsid w:val="00B60DFD"/>
    <w:rsid w:val="00B60EE6"/>
    <w:rsid w:val="00B6102E"/>
    <w:rsid w:val="00B61035"/>
    <w:rsid w:val="00B610A8"/>
    <w:rsid w:val="00B61278"/>
    <w:rsid w:val="00B61318"/>
    <w:rsid w:val="00B61387"/>
    <w:rsid w:val="00B6145B"/>
    <w:rsid w:val="00B615B9"/>
    <w:rsid w:val="00B615CC"/>
    <w:rsid w:val="00B61673"/>
    <w:rsid w:val="00B616D0"/>
    <w:rsid w:val="00B6194A"/>
    <w:rsid w:val="00B619B6"/>
    <w:rsid w:val="00B619D7"/>
    <w:rsid w:val="00B61A5D"/>
    <w:rsid w:val="00B61AD8"/>
    <w:rsid w:val="00B61BB7"/>
    <w:rsid w:val="00B61CB9"/>
    <w:rsid w:val="00B61CDB"/>
    <w:rsid w:val="00B61CE1"/>
    <w:rsid w:val="00B61E7B"/>
    <w:rsid w:val="00B61E87"/>
    <w:rsid w:val="00B61FF0"/>
    <w:rsid w:val="00B62175"/>
    <w:rsid w:val="00B62332"/>
    <w:rsid w:val="00B62568"/>
    <w:rsid w:val="00B625EC"/>
    <w:rsid w:val="00B62689"/>
    <w:rsid w:val="00B628E1"/>
    <w:rsid w:val="00B62A5E"/>
    <w:rsid w:val="00B62A64"/>
    <w:rsid w:val="00B62A87"/>
    <w:rsid w:val="00B62D90"/>
    <w:rsid w:val="00B62DA7"/>
    <w:rsid w:val="00B62E28"/>
    <w:rsid w:val="00B62EC1"/>
    <w:rsid w:val="00B62EDB"/>
    <w:rsid w:val="00B62F82"/>
    <w:rsid w:val="00B630AD"/>
    <w:rsid w:val="00B630D9"/>
    <w:rsid w:val="00B6317D"/>
    <w:rsid w:val="00B631DD"/>
    <w:rsid w:val="00B63255"/>
    <w:rsid w:val="00B632C1"/>
    <w:rsid w:val="00B6336D"/>
    <w:rsid w:val="00B63371"/>
    <w:rsid w:val="00B63372"/>
    <w:rsid w:val="00B633F4"/>
    <w:rsid w:val="00B63431"/>
    <w:rsid w:val="00B63445"/>
    <w:rsid w:val="00B6346C"/>
    <w:rsid w:val="00B637C0"/>
    <w:rsid w:val="00B63976"/>
    <w:rsid w:val="00B6397B"/>
    <w:rsid w:val="00B63ADB"/>
    <w:rsid w:val="00B63AF1"/>
    <w:rsid w:val="00B63BFF"/>
    <w:rsid w:val="00B63E55"/>
    <w:rsid w:val="00B63E8A"/>
    <w:rsid w:val="00B63F3D"/>
    <w:rsid w:val="00B64073"/>
    <w:rsid w:val="00B64105"/>
    <w:rsid w:val="00B6410A"/>
    <w:rsid w:val="00B641C5"/>
    <w:rsid w:val="00B64471"/>
    <w:rsid w:val="00B6455F"/>
    <w:rsid w:val="00B64593"/>
    <w:rsid w:val="00B64641"/>
    <w:rsid w:val="00B6464D"/>
    <w:rsid w:val="00B646A1"/>
    <w:rsid w:val="00B647CE"/>
    <w:rsid w:val="00B647D9"/>
    <w:rsid w:val="00B648F6"/>
    <w:rsid w:val="00B6491E"/>
    <w:rsid w:val="00B649A4"/>
    <w:rsid w:val="00B64B54"/>
    <w:rsid w:val="00B64BB4"/>
    <w:rsid w:val="00B64BC8"/>
    <w:rsid w:val="00B64F72"/>
    <w:rsid w:val="00B64F9A"/>
    <w:rsid w:val="00B65017"/>
    <w:rsid w:val="00B6515A"/>
    <w:rsid w:val="00B653F8"/>
    <w:rsid w:val="00B654B7"/>
    <w:rsid w:val="00B6564B"/>
    <w:rsid w:val="00B657F4"/>
    <w:rsid w:val="00B65961"/>
    <w:rsid w:val="00B659AD"/>
    <w:rsid w:val="00B65B75"/>
    <w:rsid w:val="00B65BF7"/>
    <w:rsid w:val="00B65ECC"/>
    <w:rsid w:val="00B65FB7"/>
    <w:rsid w:val="00B66165"/>
    <w:rsid w:val="00B6618E"/>
    <w:rsid w:val="00B6620B"/>
    <w:rsid w:val="00B66222"/>
    <w:rsid w:val="00B66280"/>
    <w:rsid w:val="00B6658B"/>
    <w:rsid w:val="00B665A7"/>
    <w:rsid w:val="00B66685"/>
    <w:rsid w:val="00B66720"/>
    <w:rsid w:val="00B66A09"/>
    <w:rsid w:val="00B66B9F"/>
    <w:rsid w:val="00B66CB4"/>
    <w:rsid w:val="00B66D33"/>
    <w:rsid w:val="00B66D71"/>
    <w:rsid w:val="00B66F37"/>
    <w:rsid w:val="00B66F44"/>
    <w:rsid w:val="00B671EF"/>
    <w:rsid w:val="00B6721D"/>
    <w:rsid w:val="00B672B3"/>
    <w:rsid w:val="00B67427"/>
    <w:rsid w:val="00B674D2"/>
    <w:rsid w:val="00B67535"/>
    <w:rsid w:val="00B677B3"/>
    <w:rsid w:val="00B6783A"/>
    <w:rsid w:val="00B679C8"/>
    <w:rsid w:val="00B67BF2"/>
    <w:rsid w:val="00B67C08"/>
    <w:rsid w:val="00B67FD6"/>
    <w:rsid w:val="00B7000E"/>
    <w:rsid w:val="00B7005E"/>
    <w:rsid w:val="00B700A4"/>
    <w:rsid w:val="00B700C9"/>
    <w:rsid w:val="00B7018C"/>
    <w:rsid w:val="00B70216"/>
    <w:rsid w:val="00B703A6"/>
    <w:rsid w:val="00B704D8"/>
    <w:rsid w:val="00B70535"/>
    <w:rsid w:val="00B70639"/>
    <w:rsid w:val="00B7073A"/>
    <w:rsid w:val="00B707B4"/>
    <w:rsid w:val="00B70978"/>
    <w:rsid w:val="00B70A6B"/>
    <w:rsid w:val="00B70B6B"/>
    <w:rsid w:val="00B70B8B"/>
    <w:rsid w:val="00B70BE1"/>
    <w:rsid w:val="00B70D87"/>
    <w:rsid w:val="00B70E30"/>
    <w:rsid w:val="00B70F30"/>
    <w:rsid w:val="00B70F45"/>
    <w:rsid w:val="00B70F63"/>
    <w:rsid w:val="00B710A0"/>
    <w:rsid w:val="00B71175"/>
    <w:rsid w:val="00B711DE"/>
    <w:rsid w:val="00B71276"/>
    <w:rsid w:val="00B71288"/>
    <w:rsid w:val="00B71855"/>
    <w:rsid w:val="00B71A07"/>
    <w:rsid w:val="00B71A52"/>
    <w:rsid w:val="00B71A67"/>
    <w:rsid w:val="00B71E1F"/>
    <w:rsid w:val="00B71E34"/>
    <w:rsid w:val="00B71EDD"/>
    <w:rsid w:val="00B72140"/>
    <w:rsid w:val="00B72242"/>
    <w:rsid w:val="00B72252"/>
    <w:rsid w:val="00B725E0"/>
    <w:rsid w:val="00B7266D"/>
    <w:rsid w:val="00B72A0A"/>
    <w:rsid w:val="00B72A64"/>
    <w:rsid w:val="00B72BB9"/>
    <w:rsid w:val="00B72BEC"/>
    <w:rsid w:val="00B72D00"/>
    <w:rsid w:val="00B72D89"/>
    <w:rsid w:val="00B72DDA"/>
    <w:rsid w:val="00B72E3B"/>
    <w:rsid w:val="00B72F2C"/>
    <w:rsid w:val="00B7338C"/>
    <w:rsid w:val="00B734B1"/>
    <w:rsid w:val="00B738B1"/>
    <w:rsid w:val="00B73934"/>
    <w:rsid w:val="00B73938"/>
    <w:rsid w:val="00B739E5"/>
    <w:rsid w:val="00B73AE6"/>
    <w:rsid w:val="00B73B7A"/>
    <w:rsid w:val="00B73C81"/>
    <w:rsid w:val="00B73E6A"/>
    <w:rsid w:val="00B73F05"/>
    <w:rsid w:val="00B7420F"/>
    <w:rsid w:val="00B742AC"/>
    <w:rsid w:val="00B74377"/>
    <w:rsid w:val="00B743DC"/>
    <w:rsid w:val="00B74433"/>
    <w:rsid w:val="00B745C8"/>
    <w:rsid w:val="00B74741"/>
    <w:rsid w:val="00B747F8"/>
    <w:rsid w:val="00B74892"/>
    <w:rsid w:val="00B74941"/>
    <w:rsid w:val="00B749AA"/>
    <w:rsid w:val="00B74B52"/>
    <w:rsid w:val="00B74CCD"/>
    <w:rsid w:val="00B74E34"/>
    <w:rsid w:val="00B74EBA"/>
    <w:rsid w:val="00B74EF8"/>
    <w:rsid w:val="00B74F57"/>
    <w:rsid w:val="00B74F8D"/>
    <w:rsid w:val="00B75159"/>
    <w:rsid w:val="00B752F0"/>
    <w:rsid w:val="00B7537A"/>
    <w:rsid w:val="00B75472"/>
    <w:rsid w:val="00B755C7"/>
    <w:rsid w:val="00B75606"/>
    <w:rsid w:val="00B7572E"/>
    <w:rsid w:val="00B75752"/>
    <w:rsid w:val="00B757F1"/>
    <w:rsid w:val="00B75AF7"/>
    <w:rsid w:val="00B75B12"/>
    <w:rsid w:val="00B75B5B"/>
    <w:rsid w:val="00B75B88"/>
    <w:rsid w:val="00B75BE2"/>
    <w:rsid w:val="00B75C9C"/>
    <w:rsid w:val="00B75CA2"/>
    <w:rsid w:val="00B75D93"/>
    <w:rsid w:val="00B75DD0"/>
    <w:rsid w:val="00B75E85"/>
    <w:rsid w:val="00B76236"/>
    <w:rsid w:val="00B76373"/>
    <w:rsid w:val="00B76385"/>
    <w:rsid w:val="00B7638A"/>
    <w:rsid w:val="00B763E2"/>
    <w:rsid w:val="00B7643D"/>
    <w:rsid w:val="00B765DF"/>
    <w:rsid w:val="00B768E9"/>
    <w:rsid w:val="00B76A5D"/>
    <w:rsid w:val="00B76B27"/>
    <w:rsid w:val="00B76B98"/>
    <w:rsid w:val="00B76CEC"/>
    <w:rsid w:val="00B76DD3"/>
    <w:rsid w:val="00B76E14"/>
    <w:rsid w:val="00B76F4D"/>
    <w:rsid w:val="00B76FDF"/>
    <w:rsid w:val="00B7713D"/>
    <w:rsid w:val="00B7723F"/>
    <w:rsid w:val="00B773B0"/>
    <w:rsid w:val="00B773C5"/>
    <w:rsid w:val="00B773F8"/>
    <w:rsid w:val="00B77443"/>
    <w:rsid w:val="00B77455"/>
    <w:rsid w:val="00B777AF"/>
    <w:rsid w:val="00B778EB"/>
    <w:rsid w:val="00B77CD5"/>
    <w:rsid w:val="00B77D11"/>
    <w:rsid w:val="00B77D2A"/>
    <w:rsid w:val="00B77FD2"/>
    <w:rsid w:val="00B800CA"/>
    <w:rsid w:val="00B8010D"/>
    <w:rsid w:val="00B80177"/>
    <w:rsid w:val="00B80387"/>
    <w:rsid w:val="00B80481"/>
    <w:rsid w:val="00B80534"/>
    <w:rsid w:val="00B8078D"/>
    <w:rsid w:val="00B808D6"/>
    <w:rsid w:val="00B808FA"/>
    <w:rsid w:val="00B80930"/>
    <w:rsid w:val="00B8094A"/>
    <w:rsid w:val="00B80B8E"/>
    <w:rsid w:val="00B80C02"/>
    <w:rsid w:val="00B80E2B"/>
    <w:rsid w:val="00B81044"/>
    <w:rsid w:val="00B810CD"/>
    <w:rsid w:val="00B81149"/>
    <w:rsid w:val="00B8133A"/>
    <w:rsid w:val="00B81344"/>
    <w:rsid w:val="00B81483"/>
    <w:rsid w:val="00B8168B"/>
    <w:rsid w:val="00B8171E"/>
    <w:rsid w:val="00B8172F"/>
    <w:rsid w:val="00B817A3"/>
    <w:rsid w:val="00B817E0"/>
    <w:rsid w:val="00B8185C"/>
    <w:rsid w:val="00B8196A"/>
    <w:rsid w:val="00B81A2F"/>
    <w:rsid w:val="00B81A60"/>
    <w:rsid w:val="00B81A84"/>
    <w:rsid w:val="00B81A8F"/>
    <w:rsid w:val="00B81CC7"/>
    <w:rsid w:val="00B81D9F"/>
    <w:rsid w:val="00B81EE5"/>
    <w:rsid w:val="00B8210B"/>
    <w:rsid w:val="00B82167"/>
    <w:rsid w:val="00B821FE"/>
    <w:rsid w:val="00B822FB"/>
    <w:rsid w:val="00B823AB"/>
    <w:rsid w:val="00B824E8"/>
    <w:rsid w:val="00B82739"/>
    <w:rsid w:val="00B829AD"/>
    <w:rsid w:val="00B82AC2"/>
    <w:rsid w:val="00B82AE7"/>
    <w:rsid w:val="00B82B42"/>
    <w:rsid w:val="00B82CB0"/>
    <w:rsid w:val="00B82E4F"/>
    <w:rsid w:val="00B830B6"/>
    <w:rsid w:val="00B830F5"/>
    <w:rsid w:val="00B8315B"/>
    <w:rsid w:val="00B833BB"/>
    <w:rsid w:val="00B83415"/>
    <w:rsid w:val="00B834B7"/>
    <w:rsid w:val="00B8352F"/>
    <w:rsid w:val="00B83579"/>
    <w:rsid w:val="00B8366E"/>
    <w:rsid w:val="00B836B5"/>
    <w:rsid w:val="00B8386F"/>
    <w:rsid w:val="00B839B8"/>
    <w:rsid w:val="00B83A2F"/>
    <w:rsid w:val="00B83ADF"/>
    <w:rsid w:val="00B83E03"/>
    <w:rsid w:val="00B84049"/>
    <w:rsid w:val="00B84242"/>
    <w:rsid w:val="00B8433C"/>
    <w:rsid w:val="00B8443D"/>
    <w:rsid w:val="00B84640"/>
    <w:rsid w:val="00B8465B"/>
    <w:rsid w:val="00B8475D"/>
    <w:rsid w:val="00B849C3"/>
    <w:rsid w:val="00B84B54"/>
    <w:rsid w:val="00B84C5B"/>
    <w:rsid w:val="00B84CA7"/>
    <w:rsid w:val="00B84CEC"/>
    <w:rsid w:val="00B84CF6"/>
    <w:rsid w:val="00B84DD9"/>
    <w:rsid w:val="00B84E0C"/>
    <w:rsid w:val="00B84E57"/>
    <w:rsid w:val="00B84EE8"/>
    <w:rsid w:val="00B84FBC"/>
    <w:rsid w:val="00B850AD"/>
    <w:rsid w:val="00B850EE"/>
    <w:rsid w:val="00B852D0"/>
    <w:rsid w:val="00B85362"/>
    <w:rsid w:val="00B853AD"/>
    <w:rsid w:val="00B85488"/>
    <w:rsid w:val="00B85535"/>
    <w:rsid w:val="00B8565F"/>
    <w:rsid w:val="00B8569B"/>
    <w:rsid w:val="00B859E6"/>
    <w:rsid w:val="00B85B3C"/>
    <w:rsid w:val="00B85CAD"/>
    <w:rsid w:val="00B85D6B"/>
    <w:rsid w:val="00B85FE4"/>
    <w:rsid w:val="00B86016"/>
    <w:rsid w:val="00B861A8"/>
    <w:rsid w:val="00B861B6"/>
    <w:rsid w:val="00B861D6"/>
    <w:rsid w:val="00B86200"/>
    <w:rsid w:val="00B8635F"/>
    <w:rsid w:val="00B86410"/>
    <w:rsid w:val="00B86585"/>
    <w:rsid w:val="00B865A8"/>
    <w:rsid w:val="00B8669A"/>
    <w:rsid w:val="00B868DD"/>
    <w:rsid w:val="00B869B3"/>
    <w:rsid w:val="00B86A20"/>
    <w:rsid w:val="00B86B35"/>
    <w:rsid w:val="00B86B88"/>
    <w:rsid w:val="00B86C31"/>
    <w:rsid w:val="00B86CB6"/>
    <w:rsid w:val="00B86CBF"/>
    <w:rsid w:val="00B86D26"/>
    <w:rsid w:val="00B86FD7"/>
    <w:rsid w:val="00B87048"/>
    <w:rsid w:val="00B87056"/>
    <w:rsid w:val="00B87087"/>
    <w:rsid w:val="00B8715B"/>
    <w:rsid w:val="00B87164"/>
    <w:rsid w:val="00B8723B"/>
    <w:rsid w:val="00B873AD"/>
    <w:rsid w:val="00B87491"/>
    <w:rsid w:val="00B87498"/>
    <w:rsid w:val="00B874DA"/>
    <w:rsid w:val="00B87520"/>
    <w:rsid w:val="00B878A5"/>
    <w:rsid w:val="00B879D9"/>
    <w:rsid w:val="00B87A5A"/>
    <w:rsid w:val="00B87C8D"/>
    <w:rsid w:val="00B87CAF"/>
    <w:rsid w:val="00B87ED0"/>
    <w:rsid w:val="00B87EDF"/>
    <w:rsid w:val="00B87FA9"/>
    <w:rsid w:val="00B9002D"/>
    <w:rsid w:val="00B90074"/>
    <w:rsid w:val="00B900A0"/>
    <w:rsid w:val="00B900FE"/>
    <w:rsid w:val="00B9015A"/>
    <w:rsid w:val="00B90228"/>
    <w:rsid w:val="00B90352"/>
    <w:rsid w:val="00B9039F"/>
    <w:rsid w:val="00B903D5"/>
    <w:rsid w:val="00B905E5"/>
    <w:rsid w:val="00B906CB"/>
    <w:rsid w:val="00B90847"/>
    <w:rsid w:val="00B909ED"/>
    <w:rsid w:val="00B90AA3"/>
    <w:rsid w:val="00B90B45"/>
    <w:rsid w:val="00B90C93"/>
    <w:rsid w:val="00B90D40"/>
    <w:rsid w:val="00B90E52"/>
    <w:rsid w:val="00B90F0B"/>
    <w:rsid w:val="00B90F66"/>
    <w:rsid w:val="00B90F72"/>
    <w:rsid w:val="00B9107C"/>
    <w:rsid w:val="00B91177"/>
    <w:rsid w:val="00B9119C"/>
    <w:rsid w:val="00B91382"/>
    <w:rsid w:val="00B9152E"/>
    <w:rsid w:val="00B9169A"/>
    <w:rsid w:val="00B916C8"/>
    <w:rsid w:val="00B9178F"/>
    <w:rsid w:val="00B9179C"/>
    <w:rsid w:val="00B917E2"/>
    <w:rsid w:val="00B91A66"/>
    <w:rsid w:val="00B91BC3"/>
    <w:rsid w:val="00B91E89"/>
    <w:rsid w:val="00B91F63"/>
    <w:rsid w:val="00B92068"/>
    <w:rsid w:val="00B920BB"/>
    <w:rsid w:val="00B920DA"/>
    <w:rsid w:val="00B92605"/>
    <w:rsid w:val="00B92692"/>
    <w:rsid w:val="00B92756"/>
    <w:rsid w:val="00B92775"/>
    <w:rsid w:val="00B928D6"/>
    <w:rsid w:val="00B929C7"/>
    <w:rsid w:val="00B92A33"/>
    <w:rsid w:val="00B92ADA"/>
    <w:rsid w:val="00B92B3D"/>
    <w:rsid w:val="00B92D77"/>
    <w:rsid w:val="00B92D9F"/>
    <w:rsid w:val="00B92E7A"/>
    <w:rsid w:val="00B9303B"/>
    <w:rsid w:val="00B93048"/>
    <w:rsid w:val="00B930E4"/>
    <w:rsid w:val="00B930FE"/>
    <w:rsid w:val="00B931E2"/>
    <w:rsid w:val="00B932B0"/>
    <w:rsid w:val="00B93456"/>
    <w:rsid w:val="00B93506"/>
    <w:rsid w:val="00B935B9"/>
    <w:rsid w:val="00B93692"/>
    <w:rsid w:val="00B9370D"/>
    <w:rsid w:val="00B93748"/>
    <w:rsid w:val="00B9393C"/>
    <w:rsid w:val="00B93A4D"/>
    <w:rsid w:val="00B93B2C"/>
    <w:rsid w:val="00B93C28"/>
    <w:rsid w:val="00B93CB2"/>
    <w:rsid w:val="00B93D04"/>
    <w:rsid w:val="00B93D8E"/>
    <w:rsid w:val="00B93DE0"/>
    <w:rsid w:val="00B94022"/>
    <w:rsid w:val="00B940CC"/>
    <w:rsid w:val="00B942BB"/>
    <w:rsid w:val="00B9436D"/>
    <w:rsid w:val="00B945C3"/>
    <w:rsid w:val="00B94607"/>
    <w:rsid w:val="00B94698"/>
    <w:rsid w:val="00B94927"/>
    <w:rsid w:val="00B9499D"/>
    <w:rsid w:val="00B949A1"/>
    <w:rsid w:val="00B94B85"/>
    <w:rsid w:val="00B94BA3"/>
    <w:rsid w:val="00B94E79"/>
    <w:rsid w:val="00B94F44"/>
    <w:rsid w:val="00B9502D"/>
    <w:rsid w:val="00B9508E"/>
    <w:rsid w:val="00B951D1"/>
    <w:rsid w:val="00B952A6"/>
    <w:rsid w:val="00B952DA"/>
    <w:rsid w:val="00B95546"/>
    <w:rsid w:val="00B955C2"/>
    <w:rsid w:val="00B955E4"/>
    <w:rsid w:val="00B95602"/>
    <w:rsid w:val="00B95871"/>
    <w:rsid w:val="00B958CE"/>
    <w:rsid w:val="00B95A03"/>
    <w:rsid w:val="00B95AC8"/>
    <w:rsid w:val="00B95C0C"/>
    <w:rsid w:val="00B95CB4"/>
    <w:rsid w:val="00B95CF6"/>
    <w:rsid w:val="00B95ED6"/>
    <w:rsid w:val="00B95F39"/>
    <w:rsid w:val="00B960D6"/>
    <w:rsid w:val="00B961E7"/>
    <w:rsid w:val="00B9625A"/>
    <w:rsid w:val="00B962F6"/>
    <w:rsid w:val="00B963AA"/>
    <w:rsid w:val="00B963D2"/>
    <w:rsid w:val="00B964A4"/>
    <w:rsid w:val="00B965BF"/>
    <w:rsid w:val="00B96747"/>
    <w:rsid w:val="00B967E2"/>
    <w:rsid w:val="00B96822"/>
    <w:rsid w:val="00B96844"/>
    <w:rsid w:val="00B9696D"/>
    <w:rsid w:val="00B969BC"/>
    <w:rsid w:val="00B96A0D"/>
    <w:rsid w:val="00B96E5D"/>
    <w:rsid w:val="00B970A3"/>
    <w:rsid w:val="00B972B1"/>
    <w:rsid w:val="00B973E2"/>
    <w:rsid w:val="00B97410"/>
    <w:rsid w:val="00B975DB"/>
    <w:rsid w:val="00B97629"/>
    <w:rsid w:val="00B97790"/>
    <w:rsid w:val="00B977C4"/>
    <w:rsid w:val="00B977EE"/>
    <w:rsid w:val="00B977F6"/>
    <w:rsid w:val="00B9797D"/>
    <w:rsid w:val="00B97BCD"/>
    <w:rsid w:val="00B97D4F"/>
    <w:rsid w:val="00BA00F5"/>
    <w:rsid w:val="00BA0152"/>
    <w:rsid w:val="00BA040C"/>
    <w:rsid w:val="00BA0452"/>
    <w:rsid w:val="00BA0634"/>
    <w:rsid w:val="00BA065C"/>
    <w:rsid w:val="00BA074E"/>
    <w:rsid w:val="00BA084B"/>
    <w:rsid w:val="00BA0908"/>
    <w:rsid w:val="00BA09F2"/>
    <w:rsid w:val="00BA09F5"/>
    <w:rsid w:val="00BA0A3F"/>
    <w:rsid w:val="00BA0E5E"/>
    <w:rsid w:val="00BA0E7C"/>
    <w:rsid w:val="00BA0F20"/>
    <w:rsid w:val="00BA11B8"/>
    <w:rsid w:val="00BA12F4"/>
    <w:rsid w:val="00BA1325"/>
    <w:rsid w:val="00BA135D"/>
    <w:rsid w:val="00BA147B"/>
    <w:rsid w:val="00BA14ED"/>
    <w:rsid w:val="00BA14FD"/>
    <w:rsid w:val="00BA1506"/>
    <w:rsid w:val="00BA1568"/>
    <w:rsid w:val="00BA1819"/>
    <w:rsid w:val="00BA190F"/>
    <w:rsid w:val="00BA19B2"/>
    <w:rsid w:val="00BA1B00"/>
    <w:rsid w:val="00BA1B3F"/>
    <w:rsid w:val="00BA1B55"/>
    <w:rsid w:val="00BA1CDC"/>
    <w:rsid w:val="00BA1D04"/>
    <w:rsid w:val="00BA1D31"/>
    <w:rsid w:val="00BA1E48"/>
    <w:rsid w:val="00BA207A"/>
    <w:rsid w:val="00BA20DA"/>
    <w:rsid w:val="00BA2149"/>
    <w:rsid w:val="00BA2236"/>
    <w:rsid w:val="00BA236E"/>
    <w:rsid w:val="00BA25B9"/>
    <w:rsid w:val="00BA2608"/>
    <w:rsid w:val="00BA2613"/>
    <w:rsid w:val="00BA2683"/>
    <w:rsid w:val="00BA27B4"/>
    <w:rsid w:val="00BA27F7"/>
    <w:rsid w:val="00BA27FC"/>
    <w:rsid w:val="00BA29E9"/>
    <w:rsid w:val="00BA2C83"/>
    <w:rsid w:val="00BA2CBB"/>
    <w:rsid w:val="00BA2E75"/>
    <w:rsid w:val="00BA2EC2"/>
    <w:rsid w:val="00BA303F"/>
    <w:rsid w:val="00BA31F3"/>
    <w:rsid w:val="00BA3322"/>
    <w:rsid w:val="00BA3359"/>
    <w:rsid w:val="00BA337A"/>
    <w:rsid w:val="00BA33D0"/>
    <w:rsid w:val="00BA356D"/>
    <w:rsid w:val="00BA3625"/>
    <w:rsid w:val="00BA3685"/>
    <w:rsid w:val="00BA3778"/>
    <w:rsid w:val="00BA3802"/>
    <w:rsid w:val="00BA394D"/>
    <w:rsid w:val="00BA39C7"/>
    <w:rsid w:val="00BA3CD9"/>
    <w:rsid w:val="00BA3DD1"/>
    <w:rsid w:val="00BA3E4F"/>
    <w:rsid w:val="00BA3F6A"/>
    <w:rsid w:val="00BA3F96"/>
    <w:rsid w:val="00BA3F98"/>
    <w:rsid w:val="00BA4039"/>
    <w:rsid w:val="00BA418C"/>
    <w:rsid w:val="00BA43A1"/>
    <w:rsid w:val="00BA44E0"/>
    <w:rsid w:val="00BA4643"/>
    <w:rsid w:val="00BA4696"/>
    <w:rsid w:val="00BA4739"/>
    <w:rsid w:val="00BA4932"/>
    <w:rsid w:val="00BA4984"/>
    <w:rsid w:val="00BA4C61"/>
    <w:rsid w:val="00BA4D16"/>
    <w:rsid w:val="00BA4D5B"/>
    <w:rsid w:val="00BA4DB2"/>
    <w:rsid w:val="00BA4DCD"/>
    <w:rsid w:val="00BA4EEF"/>
    <w:rsid w:val="00BA4F3C"/>
    <w:rsid w:val="00BA53A3"/>
    <w:rsid w:val="00BA5455"/>
    <w:rsid w:val="00BA54CB"/>
    <w:rsid w:val="00BA54E7"/>
    <w:rsid w:val="00BA5511"/>
    <w:rsid w:val="00BA55FA"/>
    <w:rsid w:val="00BA56FA"/>
    <w:rsid w:val="00BA5736"/>
    <w:rsid w:val="00BA5942"/>
    <w:rsid w:val="00BA5962"/>
    <w:rsid w:val="00BA5979"/>
    <w:rsid w:val="00BA5A23"/>
    <w:rsid w:val="00BA5AAC"/>
    <w:rsid w:val="00BA5B37"/>
    <w:rsid w:val="00BA5B72"/>
    <w:rsid w:val="00BA5B85"/>
    <w:rsid w:val="00BA5E85"/>
    <w:rsid w:val="00BA5EB7"/>
    <w:rsid w:val="00BA5EDE"/>
    <w:rsid w:val="00BA5EFA"/>
    <w:rsid w:val="00BA5F61"/>
    <w:rsid w:val="00BA5FC5"/>
    <w:rsid w:val="00BA607B"/>
    <w:rsid w:val="00BA60E5"/>
    <w:rsid w:val="00BA6102"/>
    <w:rsid w:val="00BA61DF"/>
    <w:rsid w:val="00BA626F"/>
    <w:rsid w:val="00BA641E"/>
    <w:rsid w:val="00BA64A7"/>
    <w:rsid w:val="00BA6554"/>
    <w:rsid w:val="00BA66B1"/>
    <w:rsid w:val="00BA66BF"/>
    <w:rsid w:val="00BA68B8"/>
    <w:rsid w:val="00BA690C"/>
    <w:rsid w:val="00BA693F"/>
    <w:rsid w:val="00BA69C2"/>
    <w:rsid w:val="00BA6A47"/>
    <w:rsid w:val="00BA6AE2"/>
    <w:rsid w:val="00BA6B27"/>
    <w:rsid w:val="00BA6B76"/>
    <w:rsid w:val="00BA6D3B"/>
    <w:rsid w:val="00BA6DC1"/>
    <w:rsid w:val="00BA6DDD"/>
    <w:rsid w:val="00BA6EEF"/>
    <w:rsid w:val="00BA6EF4"/>
    <w:rsid w:val="00BA6FF0"/>
    <w:rsid w:val="00BA70C5"/>
    <w:rsid w:val="00BA7142"/>
    <w:rsid w:val="00BA7278"/>
    <w:rsid w:val="00BA7308"/>
    <w:rsid w:val="00BA745E"/>
    <w:rsid w:val="00BA7467"/>
    <w:rsid w:val="00BA7543"/>
    <w:rsid w:val="00BA75BE"/>
    <w:rsid w:val="00BA76C9"/>
    <w:rsid w:val="00BA779B"/>
    <w:rsid w:val="00BA78BD"/>
    <w:rsid w:val="00BA7A11"/>
    <w:rsid w:val="00BA7A71"/>
    <w:rsid w:val="00BA7B45"/>
    <w:rsid w:val="00BA7C36"/>
    <w:rsid w:val="00BA7F0D"/>
    <w:rsid w:val="00BA7F63"/>
    <w:rsid w:val="00BA7FC0"/>
    <w:rsid w:val="00BA7FFD"/>
    <w:rsid w:val="00BB0157"/>
    <w:rsid w:val="00BB01C4"/>
    <w:rsid w:val="00BB01F0"/>
    <w:rsid w:val="00BB0455"/>
    <w:rsid w:val="00BB0579"/>
    <w:rsid w:val="00BB072A"/>
    <w:rsid w:val="00BB08A9"/>
    <w:rsid w:val="00BB0BF7"/>
    <w:rsid w:val="00BB0DD5"/>
    <w:rsid w:val="00BB117D"/>
    <w:rsid w:val="00BB11FC"/>
    <w:rsid w:val="00BB125D"/>
    <w:rsid w:val="00BB139B"/>
    <w:rsid w:val="00BB1434"/>
    <w:rsid w:val="00BB1486"/>
    <w:rsid w:val="00BB14A2"/>
    <w:rsid w:val="00BB14DD"/>
    <w:rsid w:val="00BB16D4"/>
    <w:rsid w:val="00BB19C5"/>
    <w:rsid w:val="00BB1A0E"/>
    <w:rsid w:val="00BB1C0A"/>
    <w:rsid w:val="00BB1FDC"/>
    <w:rsid w:val="00BB22C5"/>
    <w:rsid w:val="00BB22F8"/>
    <w:rsid w:val="00BB231B"/>
    <w:rsid w:val="00BB232A"/>
    <w:rsid w:val="00BB237C"/>
    <w:rsid w:val="00BB2385"/>
    <w:rsid w:val="00BB246B"/>
    <w:rsid w:val="00BB257C"/>
    <w:rsid w:val="00BB2779"/>
    <w:rsid w:val="00BB2962"/>
    <w:rsid w:val="00BB2AA6"/>
    <w:rsid w:val="00BB2BA4"/>
    <w:rsid w:val="00BB2C39"/>
    <w:rsid w:val="00BB2CAE"/>
    <w:rsid w:val="00BB2D46"/>
    <w:rsid w:val="00BB2E06"/>
    <w:rsid w:val="00BB2F6B"/>
    <w:rsid w:val="00BB2FB5"/>
    <w:rsid w:val="00BB304E"/>
    <w:rsid w:val="00BB306B"/>
    <w:rsid w:val="00BB316B"/>
    <w:rsid w:val="00BB31BD"/>
    <w:rsid w:val="00BB31F8"/>
    <w:rsid w:val="00BB320B"/>
    <w:rsid w:val="00BB32D7"/>
    <w:rsid w:val="00BB32EC"/>
    <w:rsid w:val="00BB353D"/>
    <w:rsid w:val="00BB36DF"/>
    <w:rsid w:val="00BB37D0"/>
    <w:rsid w:val="00BB38DC"/>
    <w:rsid w:val="00BB3A8D"/>
    <w:rsid w:val="00BB3ABE"/>
    <w:rsid w:val="00BB3B01"/>
    <w:rsid w:val="00BB3EE2"/>
    <w:rsid w:val="00BB3F5B"/>
    <w:rsid w:val="00BB3F62"/>
    <w:rsid w:val="00BB3FDA"/>
    <w:rsid w:val="00BB4002"/>
    <w:rsid w:val="00BB4033"/>
    <w:rsid w:val="00BB40D1"/>
    <w:rsid w:val="00BB41A3"/>
    <w:rsid w:val="00BB41CA"/>
    <w:rsid w:val="00BB430F"/>
    <w:rsid w:val="00BB437D"/>
    <w:rsid w:val="00BB449C"/>
    <w:rsid w:val="00BB44D6"/>
    <w:rsid w:val="00BB4574"/>
    <w:rsid w:val="00BB459C"/>
    <w:rsid w:val="00BB469F"/>
    <w:rsid w:val="00BB4709"/>
    <w:rsid w:val="00BB483B"/>
    <w:rsid w:val="00BB4885"/>
    <w:rsid w:val="00BB48C6"/>
    <w:rsid w:val="00BB4914"/>
    <w:rsid w:val="00BB493C"/>
    <w:rsid w:val="00BB4961"/>
    <w:rsid w:val="00BB4C02"/>
    <w:rsid w:val="00BB4D5C"/>
    <w:rsid w:val="00BB4F99"/>
    <w:rsid w:val="00BB4FAE"/>
    <w:rsid w:val="00BB4FBC"/>
    <w:rsid w:val="00BB4FFA"/>
    <w:rsid w:val="00BB505E"/>
    <w:rsid w:val="00BB506A"/>
    <w:rsid w:val="00BB50EA"/>
    <w:rsid w:val="00BB539C"/>
    <w:rsid w:val="00BB53DA"/>
    <w:rsid w:val="00BB5415"/>
    <w:rsid w:val="00BB5505"/>
    <w:rsid w:val="00BB555E"/>
    <w:rsid w:val="00BB575C"/>
    <w:rsid w:val="00BB57B5"/>
    <w:rsid w:val="00BB57CC"/>
    <w:rsid w:val="00BB58C2"/>
    <w:rsid w:val="00BB5A90"/>
    <w:rsid w:val="00BB5B03"/>
    <w:rsid w:val="00BB5B58"/>
    <w:rsid w:val="00BB5BCB"/>
    <w:rsid w:val="00BB5C2C"/>
    <w:rsid w:val="00BB5D52"/>
    <w:rsid w:val="00BB5DBA"/>
    <w:rsid w:val="00BB5E1D"/>
    <w:rsid w:val="00BB5E66"/>
    <w:rsid w:val="00BB5F1E"/>
    <w:rsid w:val="00BB6196"/>
    <w:rsid w:val="00BB61B0"/>
    <w:rsid w:val="00BB61D6"/>
    <w:rsid w:val="00BB621B"/>
    <w:rsid w:val="00BB63BF"/>
    <w:rsid w:val="00BB64F4"/>
    <w:rsid w:val="00BB65B4"/>
    <w:rsid w:val="00BB65D1"/>
    <w:rsid w:val="00BB665F"/>
    <w:rsid w:val="00BB67B6"/>
    <w:rsid w:val="00BB6895"/>
    <w:rsid w:val="00BB694C"/>
    <w:rsid w:val="00BB6A0B"/>
    <w:rsid w:val="00BB6BB8"/>
    <w:rsid w:val="00BB6C3B"/>
    <w:rsid w:val="00BB6C3D"/>
    <w:rsid w:val="00BB6C77"/>
    <w:rsid w:val="00BB6E34"/>
    <w:rsid w:val="00BB7077"/>
    <w:rsid w:val="00BB7538"/>
    <w:rsid w:val="00BB758B"/>
    <w:rsid w:val="00BB761A"/>
    <w:rsid w:val="00BB76A3"/>
    <w:rsid w:val="00BB786C"/>
    <w:rsid w:val="00BB7877"/>
    <w:rsid w:val="00BB7C13"/>
    <w:rsid w:val="00BB7D08"/>
    <w:rsid w:val="00BB7D5E"/>
    <w:rsid w:val="00BC0074"/>
    <w:rsid w:val="00BC00D7"/>
    <w:rsid w:val="00BC0256"/>
    <w:rsid w:val="00BC02F3"/>
    <w:rsid w:val="00BC046E"/>
    <w:rsid w:val="00BC04CF"/>
    <w:rsid w:val="00BC0593"/>
    <w:rsid w:val="00BC07E8"/>
    <w:rsid w:val="00BC0919"/>
    <w:rsid w:val="00BC0973"/>
    <w:rsid w:val="00BC097C"/>
    <w:rsid w:val="00BC0ACD"/>
    <w:rsid w:val="00BC0BA2"/>
    <w:rsid w:val="00BC0D1C"/>
    <w:rsid w:val="00BC0D49"/>
    <w:rsid w:val="00BC0E30"/>
    <w:rsid w:val="00BC0E7E"/>
    <w:rsid w:val="00BC0E89"/>
    <w:rsid w:val="00BC11E7"/>
    <w:rsid w:val="00BC14E0"/>
    <w:rsid w:val="00BC158C"/>
    <w:rsid w:val="00BC16B2"/>
    <w:rsid w:val="00BC16E4"/>
    <w:rsid w:val="00BC172B"/>
    <w:rsid w:val="00BC1B52"/>
    <w:rsid w:val="00BC1B9E"/>
    <w:rsid w:val="00BC1FB4"/>
    <w:rsid w:val="00BC21DD"/>
    <w:rsid w:val="00BC22FC"/>
    <w:rsid w:val="00BC2362"/>
    <w:rsid w:val="00BC2379"/>
    <w:rsid w:val="00BC252B"/>
    <w:rsid w:val="00BC260D"/>
    <w:rsid w:val="00BC2768"/>
    <w:rsid w:val="00BC28EF"/>
    <w:rsid w:val="00BC2A43"/>
    <w:rsid w:val="00BC2A61"/>
    <w:rsid w:val="00BC2A7F"/>
    <w:rsid w:val="00BC2B59"/>
    <w:rsid w:val="00BC2B96"/>
    <w:rsid w:val="00BC2D42"/>
    <w:rsid w:val="00BC3074"/>
    <w:rsid w:val="00BC30A2"/>
    <w:rsid w:val="00BC30FC"/>
    <w:rsid w:val="00BC31EE"/>
    <w:rsid w:val="00BC3282"/>
    <w:rsid w:val="00BC32DC"/>
    <w:rsid w:val="00BC33B1"/>
    <w:rsid w:val="00BC35B6"/>
    <w:rsid w:val="00BC367F"/>
    <w:rsid w:val="00BC3699"/>
    <w:rsid w:val="00BC36F6"/>
    <w:rsid w:val="00BC381D"/>
    <w:rsid w:val="00BC388F"/>
    <w:rsid w:val="00BC3998"/>
    <w:rsid w:val="00BC3D54"/>
    <w:rsid w:val="00BC3E09"/>
    <w:rsid w:val="00BC3F71"/>
    <w:rsid w:val="00BC40CD"/>
    <w:rsid w:val="00BC4225"/>
    <w:rsid w:val="00BC42D2"/>
    <w:rsid w:val="00BC474D"/>
    <w:rsid w:val="00BC486C"/>
    <w:rsid w:val="00BC48A0"/>
    <w:rsid w:val="00BC499F"/>
    <w:rsid w:val="00BC49B2"/>
    <w:rsid w:val="00BC4A43"/>
    <w:rsid w:val="00BC4AA6"/>
    <w:rsid w:val="00BC4B1A"/>
    <w:rsid w:val="00BC4CFC"/>
    <w:rsid w:val="00BC4E5A"/>
    <w:rsid w:val="00BC4F33"/>
    <w:rsid w:val="00BC50BF"/>
    <w:rsid w:val="00BC5310"/>
    <w:rsid w:val="00BC5327"/>
    <w:rsid w:val="00BC5333"/>
    <w:rsid w:val="00BC536F"/>
    <w:rsid w:val="00BC539B"/>
    <w:rsid w:val="00BC54C7"/>
    <w:rsid w:val="00BC5546"/>
    <w:rsid w:val="00BC576B"/>
    <w:rsid w:val="00BC5789"/>
    <w:rsid w:val="00BC57C9"/>
    <w:rsid w:val="00BC57F1"/>
    <w:rsid w:val="00BC584D"/>
    <w:rsid w:val="00BC5947"/>
    <w:rsid w:val="00BC5E8E"/>
    <w:rsid w:val="00BC5E9F"/>
    <w:rsid w:val="00BC60E8"/>
    <w:rsid w:val="00BC611B"/>
    <w:rsid w:val="00BC61B4"/>
    <w:rsid w:val="00BC639A"/>
    <w:rsid w:val="00BC65E4"/>
    <w:rsid w:val="00BC6662"/>
    <w:rsid w:val="00BC6798"/>
    <w:rsid w:val="00BC67A8"/>
    <w:rsid w:val="00BC67B2"/>
    <w:rsid w:val="00BC6855"/>
    <w:rsid w:val="00BC6A16"/>
    <w:rsid w:val="00BC6A72"/>
    <w:rsid w:val="00BC6AA5"/>
    <w:rsid w:val="00BC6AB2"/>
    <w:rsid w:val="00BC6B59"/>
    <w:rsid w:val="00BC6C07"/>
    <w:rsid w:val="00BC6C66"/>
    <w:rsid w:val="00BC6C77"/>
    <w:rsid w:val="00BC6D04"/>
    <w:rsid w:val="00BC701C"/>
    <w:rsid w:val="00BC702E"/>
    <w:rsid w:val="00BC7163"/>
    <w:rsid w:val="00BC71F1"/>
    <w:rsid w:val="00BC72AE"/>
    <w:rsid w:val="00BC7474"/>
    <w:rsid w:val="00BC7515"/>
    <w:rsid w:val="00BC7597"/>
    <w:rsid w:val="00BC75D2"/>
    <w:rsid w:val="00BC7868"/>
    <w:rsid w:val="00BC7AC4"/>
    <w:rsid w:val="00BC7B4F"/>
    <w:rsid w:val="00BC7B84"/>
    <w:rsid w:val="00BC7B96"/>
    <w:rsid w:val="00BC7C34"/>
    <w:rsid w:val="00BC7E3F"/>
    <w:rsid w:val="00BC7E67"/>
    <w:rsid w:val="00BC7E75"/>
    <w:rsid w:val="00BD01B6"/>
    <w:rsid w:val="00BD0278"/>
    <w:rsid w:val="00BD0327"/>
    <w:rsid w:val="00BD0363"/>
    <w:rsid w:val="00BD0458"/>
    <w:rsid w:val="00BD052D"/>
    <w:rsid w:val="00BD058B"/>
    <w:rsid w:val="00BD0678"/>
    <w:rsid w:val="00BD0714"/>
    <w:rsid w:val="00BD07F0"/>
    <w:rsid w:val="00BD087E"/>
    <w:rsid w:val="00BD0958"/>
    <w:rsid w:val="00BD099B"/>
    <w:rsid w:val="00BD0AAB"/>
    <w:rsid w:val="00BD0B6E"/>
    <w:rsid w:val="00BD0B91"/>
    <w:rsid w:val="00BD0E27"/>
    <w:rsid w:val="00BD0EFE"/>
    <w:rsid w:val="00BD1150"/>
    <w:rsid w:val="00BD1357"/>
    <w:rsid w:val="00BD13B6"/>
    <w:rsid w:val="00BD1593"/>
    <w:rsid w:val="00BD1614"/>
    <w:rsid w:val="00BD1676"/>
    <w:rsid w:val="00BD17BA"/>
    <w:rsid w:val="00BD18C7"/>
    <w:rsid w:val="00BD1B51"/>
    <w:rsid w:val="00BD1BB8"/>
    <w:rsid w:val="00BD1DE0"/>
    <w:rsid w:val="00BD1F6B"/>
    <w:rsid w:val="00BD1FA8"/>
    <w:rsid w:val="00BD20E3"/>
    <w:rsid w:val="00BD20FE"/>
    <w:rsid w:val="00BD211D"/>
    <w:rsid w:val="00BD222A"/>
    <w:rsid w:val="00BD22D2"/>
    <w:rsid w:val="00BD23FC"/>
    <w:rsid w:val="00BD2483"/>
    <w:rsid w:val="00BD24DF"/>
    <w:rsid w:val="00BD264A"/>
    <w:rsid w:val="00BD26FF"/>
    <w:rsid w:val="00BD2866"/>
    <w:rsid w:val="00BD28FA"/>
    <w:rsid w:val="00BD295E"/>
    <w:rsid w:val="00BD2A8D"/>
    <w:rsid w:val="00BD2CCC"/>
    <w:rsid w:val="00BD2DAE"/>
    <w:rsid w:val="00BD2E77"/>
    <w:rsid w:val="00BD2F6A"/>
    <w:rsid w:val="00BD2F82"/>
    <w:rsid w:val="00BD302A"/>
    <w:rsid w:val="00BD3328"/>
    <w:rsid w:val="00BD334A"/>
    <w:rsid w:val="00BD3473"/>
    <w:rsid w:val="00BD3497"/>
    <w:rsid w:val="00BD36D2"/>
    <w:rsid w:val="00BD385A"/>
    <w:rsid w:val="00BD388A"/>
    <w:rsid w:val="00BD38E7"/>
    <w:rsid w:val="00BD3A9F"/>
    <w:rsid w:val="00BD3B15"/>
    <w:rsid w:val="00BD3BC0"/>
    <w:rsid w:val="00BD3C03"/>
    <w:rsid w:val="00BD3C89"/>
    <w:rsid w:val="00BD3F6D"/>
    <w:rsid w:val="00BD426A"/>
    <w:rsid w:val="00BD42E7"/>
    <w:rsid w:val="00BD44DF"/>
    <w:rsid w:val="00BD4520"/>
    <w:rsid w:val="00BD4596"/>
    <w:rsid w:val="00BD45E9"/>
    <w:rsid w:val="00BD47F8"/>
    <w:rsid w:val="00BD49C3"/>
    <w:rsid w:val="00BD4ADB"/>
    <w:rsid w:val="00BD4B3A"/>
    <w:rsid w:val="00BD4C19"/>
    <w:rsid w:val="00BD4CAE"/>
    <w:rsid w:val="00BD4DC6"/>
    <w:rsid w:val="00BD4E57"/>
    <w:rsid w:val="00BD4FDD"/>
    <w:rsid w:val="00BD4FF1"/>
    <w:rsid w:val="00BD5210"/>
    <w:rsid w:val="00BD5309"/>
    <w:rsid w:val="00BD5327"/>
    <w:rsid w:val="00BD5419"/>
    <w:rsid w:val="00BD54D8"/>
    <w:rsid w:val="00BD55E5"/>
    <w:rsid w:val="00BD57CD"/>
    <w:rsid w:val="00BD5890"/>
    <w:rsid w:val="00BD5935"/>
    <w:rsid w:val="00BD5A97"/>
    <w:rsid w:val="00BD5BC1"/>
    <w:rsid w:val="00BD5D66"/>
    <w:rsid w:val="00BD5D98"/>
    <w:rsid w:val="00BD5DE9"/>
    <w:rsid w:val="00BD5ED8"/>
    <w:rsid w:val="00BD5FEC"/>
    <w:rsid w:val="00BD6009"/>
    <w:rsid w:val="00BD6051"/>
    <w:rsid w:val="00BD61C5"/>
    <w:rsid w:val="00BD6737"/>
    <w:rsid w:val="00BD675A"/>
    <w:rsid w:val="00BD68DA"/>
    <w:rsid w:val="00BD6964"/>
    <w:rsid w:val="00BD6C3D"/>
    <w:rsid w:val="00BD6CD6"/>
    <w:rsid w:val="00BD6CE3"/>
    <w:rsid w:val="00BD6DF2"/>
    <w:rsid w:val="00BD7025"/>
    <w:rsid w:val="00BD7099"/>
    <w:rsid w:val="00BD72C8"/>
    <w:rsid w:val="00BD73CB"/>
    <w:rsid w:val="00BD74B1"/>
    <w:rsid w:val="00BD751C"/>
    <w:rsid w:val="00BD76A1"/>
    <w:rsid w:val="00BD7700"/>
    <w:rsid w:val="00BD7737"/>
    <w:rsid w:val="00BD7881"/>
    <w:rsid w:val="00BD78A8"/>
    <w:rsid w:val="00BD7AB8"/>
    <w:rsid w:val="00BD7AE3"/>
    <w:rsid w:val="00BD7B42"/>
    <w:rsid w:val="00BD7CC3"/>
    <w:rsid w:val="00BD7DD3"/>
    <w:rsid w:val="00BD7FE9"/>
    <w:rsid w:val="00BE0028"/>
    <w:rsid w:val="00BE0050"/>
    <w:rsid w:val="00BE00CD"/>
    <w:rsid w:val="00BE0243"/>
    <w:rsid w:val="00BE02AA"/>
    <w:rsid w:val="00BE04C7"/>
    <w:rsid w:val="00BE05EA"/>
    <w:rsid w:val="00BE0655"/>
    <w:rsid w:val="00BE0685"/>
    <w:rsid w:val="00BE0999"/>
    <w:rsid w:val="00BE0A0D"/>
    <w:rsid w:val="00BE0AF1"/>
    <w:rsid w:val="00BE0B0B"/>
    <w:rsid w:val="00BE0B60"/>
    <w:rsid w:val="00BE0BCD"/>
    <w:rsid w:val="00BE0D57"/>
    <w:rsid w:val="00BE0E32"/>
    <w:rsid w:val="00BE0E6F"/>
    <w:rsid w:val="00BE10F4"/>
    <w:rsid w:val="00BE10FE"/>
    <w:rsid w:val="00BE135C"/>
    <w:rsid w:val="00BE1399"/>
    <w:rsid w:val="00BE139E"/>
    <w:rsid w:val="00BE1405"/>
    <w:rsid w:val="00BE1505"/>
    <w:rsid w:val="00BE1668"/>
    <w:rsid w:val="00BE16A9"/>
    <w:rsid w:val="00BE17A5"/>
    <w:rsid w:val="00BE1874"/>
    <w:rsid w:val="00BE188A"/>
    <w:rsid w:val="00BE18FB"/>
    <w:rsid w:val="00BE1901"/>
    <w:rsid w:val="00BE199F"/>
    <w:rsid w:val="00BE19E9"/>
    <w:rsid w:val="00BE1BB7"/>
    <w:rsid w:val="00BE1C2D"/>
    <w:rsid w:val="00BE1CFB"/>
    <w:rsid w:val="00BE1D2C"/>
    <w:rsid w:val="00BE2050"/>
    <w:rsid w:val="00BE2262"/>
    <w:rsid w:val="00BE22D8"/>
    <w:rsid w:val="00BE230C"/>
    <w:rsid w:val="00BE2412"/>
    <w:rsid w:val="00BE2447"/>
    <w:rsid w:val="00BE25E6"/>
    <w:rsid w:val="00BE268C"/>
    <w:rsid w:val="00BE285F"/>
    <w:rsid w:val="00BE290E"/>
    <w:rsid w:val="00BE2989"/>
    <w:rsid w:val="00BE29B3"/>
    <w:rsid w:val="00BE2C6B"/>
    <w:rsid w:val="00BE2D8C"/>
    <w:rsid w:val="00BE2ED6"/>
    <w:rsid w:val="00BE2FD6"/>
    <w:rsid w:val="00BE312D"/>
    <w:rsid w:val="00BE31E0"/>
    <w:rsid w:val="00BE31F4"/>
    <w:rsid w:val="00BE33DF"/>
    <w:rsid w:val="00BE33ED"/>
    <w:rsid w:val="00BE3488"/>
    <w:rsid w:val="00BE3641"/>
    <w:rsid w:val="00BE36F0"/>
    <w:rsid w:val="00BE387E"/>
    <w:rsid w:val="00BE3920"/>
    <w:rsid w:val="00BE3CC3"/>
    <w:rsid w:val="00BE401C"/>
    <w:rsid w:val="00BE4026"/>
    <w:rsid w:val="00BE4078"/>
    <w:rsid w:val="00BE4167"/>
    <w:rsid w:val="00BE41F7"/>
    <w:rsid w:val="00BE445D"/>
    <w:rsid w:val="00BE4702"/>
    <w:rsid w:val="00BE4778"/>
    <w:rsid w:val="00BE477E"/>
    <w:rsid w:val="00BE4925"/>
    <w:rsid w:val="00BE498F"/>
    <w:rsid w:val="00BE49EE"/>
    <w:rsid w:val="00BE4A61"/>
    <w:rsid w:val="00BE4B1F"/>
    <w:rsid w:val="00BE4BEE"/>
    <w:rsid w:val="00BE4BFD"/>
    <w:rsid w:val="00BE4C0F"/>
    <w:rsid w:val="00BE4D9F"/>
    <w:rsid w:val="00BE4F8C"/>
    <w:rsid w:val="00BE501D"/>
    <w:rsid w:val="00BE51EE"/>
    <w:rsid w:val="00BE56DC"/>
    <w:rsid w:val="00BE5733"/>
    <w:rsid w:val="00BE57EF"/>
    <w:rsid w:val="00BE59C8"/>
    <w:rsid w:val="00BE59DE"/>
    <w:rsid w:val="00BE59F1"/>
    <w:rsid w:val="00BE5A05"/>
    <w:rsid w:val="00BE5B5E"/>
    <w:rsid w:val="00BE619B"/>
    <w:rsid w:val="00BE61A7"/>
    <w:rsid w:val="00BE61F8"/>
    <w:rsid w:val="00BE6381"/>
    <w:rsid w:val="00BE64C3"/>
    <w:rsid w:val="00BE652F"/>
    <w:rsid w:val="00BE664F"/>
    <w:rsid w:val="00BE668E"/>
    <w:rsid w:val="00BE6763"/>
    <w:rsid w:val="00BE6832"/>
    <w:rsid w:val="00BE69DF"/>
    <w:rsid w:val="00BE6A63"/>
    <w:rsid w:val="00BE6DB4"/>
    <w:rsid w:val="00BE6DEA"/>
    <w:rsid w:val="00BE6EDC"/>
    <w:rsid w:val="00BE71C2"/>
    <w:rsid w:val="00BE71F8"/>
    <w:rsid w:val="00BE7228"/>
    <w:rsid w:val="00BE763D"/>
    <w:rsid w:val="00BE76E2"/>
    <w:rsid w:val="00BE7722"/>
    <w:rsid w:val="00BE77D5"/>
    <w:rsid w:val="00BE7903"/>
    <w:rsid w:val="00BE797A"/>
    <w:rsid w:val="00BE7B4E"/>
    <w:rsid w:val="00BE7B81"/>
    <w:rsid w:val="00BE7E2C"/>
    <w:rsid w:val="00BE7FF3"/>
    <w:rsid w:val="00BF0255"/>
    <w:rsid w:val="00BF03DB"/>
    <w:rsid w:val="00BF03EF"/>
    <w:rsid w:val="00BF0436"/>
    <w:rsid w:val="00BF06DF"/>
    <w:rsid w:val="00BF0741"/>
    <w:rsid w:val="00BF097F"/>
    <w:rsid w:val="00BF0A87"/>
    <w:rsid w:val="00BF0AFB"/>
    <w:rsid w:val="00BF0B9A"/>
    <w:rsid w:val="00BF0BB6"/>
    <w:rsid w:val="00BF0CE8"/>
    <w:rsid w:val="00BF0DA9"/>
    <w:rsid w:val="00BF0DAE"/>
    <w:rsid w:val="00BF1019"/>
    <w:rsid w:val="00BF1061"/>
    <w:rsid w:val="00BF1118"/>
    <w:rsid w:val="00BF1125"/>
    <w:rsid w:val="00BF1128"/>
    <w:rsid w:val="00BF116F"/>
    <w:rsid w:val="00BF11F0"/>
    <w:rsid w:val="00BF126E"/>
    <w:rsid w:val="00BF12BB"/>
    <w:rsid w:val="00BF145C"/>
    <w:rsid w:val="00BF146F"/>
    <w:rsid w:val="00BF1631"/>
    <w:rsid w:val="00BF17E6"/>
    <w:rsid w:val="00BF18C3"/>
    <w:rsid w:val="00BF1B61"/>
    <w:rsid w:val="00BF1C20"/>
    <w:rsid w:val="00BF1C28"/>
    <w:rsid w:val="00BF1D45"/>
    <w:rsid w:val="00BF1E88"/>
    <w:rsid w:val="00BF1F7D"/>
    <w:rsid w:val="00BF2212"/>
    <w:rsid w:val="00BF224F"/>
    <w:rsid w:val="00BF2311"/>
    <w:rsid w:val="00BF2339"/>
    <w:rsid w:val="00BF2433"/>
    <w:rsid w:val="00BF2727"/>
    <w:rsid w:val="00BF27BC"/>
    <w:rsid w:val="00BF27EC"/>
    <w:rsid w:val="00BF2930"/>
    <w:rsid w:val="00BF2A6A"/>
    <w:rsid w:val="00BF2AD8"/>
    <w:rsid w:val="00BF2EAF"/>
    <w:rsid w:val="00BF2FA2"/>
    <w:rsid w:val="00BF2FC1"/>
    <w:rsid w:val="00BF2FEF"/>
    <w:rsid w:val="00BF3129"/>
    <w:rsid w:val="00BF3145"/>
    <w:rsid w:val="00BF3169"/>
    <w:rsid w:val="00BF330A"/>
    <w:rsid w:val="00BF349B"/>
    <w:rsid w:val="00BF35DF"/>
    <w:rsid w:val="00BF3A33"/>
    <w:rsid w:val="00BF3A9A"/>
    <w:rsid w:val="00BF3AC3"/>
    <w:rsid w:val="00BF3DFB"/>
    <w:rsid w:val="00BF4021"/>
    <w:rsid w:val="00BF41B7"/>
    <w:rsid w:val="00BF42F2"/>
    <w:rsid w:val="00BF42FA"/>
    <w:rsid w:val="00BF4334"/>
    <w:rsid w:val="00BF458C"/>
    <w:rsid w:val="00BF4767"/>
    <w:rsid w:val="00BF47BF"/>
    <w:rsid w:val="00BF4C00"/>
    <w:rsid w:val="00BF4C0E"/>
    <w:rsid w:val="00BF4D4D"/>
    <w:rsid w:val="00BF4D6B"/>
    <w:rsid w:val="00BF4EBF"/>
    <w:rsid w:val="00BF4F5F"/>
    <w:rsid w:val="00BF4FCA"/>
    <w:rsid w:val="00BF51CE"/>
    <w:rsid w:val="00BF51D6"/>
    <w:rsid w:val="00BF53B6"/>
    <w:rsid w:val="00BF53BE"/>
    <w:rsid w:val="00BF5410"/>
    <w:rsid w:val="00BF551E"/>
    <w:rsid w:val="00BF560D"/>
    <w:rsid w:val="00BF56C6"/>
    <w:rsid w:val="00BF5707"/>
    <w:rsid w:val="00BF576C"/>
    <w:rsid w:val="00BF5780"/>
    <w:rsid w:val="00BF58AD"/>
    <w:rsid w:val="00BF5947"/>
    <w:rsid w:val="00BF598C"/>
    <w:rsid w:val="00BF5A34"/>
    <w:rsid w:val="00BF5AD5"/>
    <w:rsid w:val="00BF5C69"/>
    <w:rsid w:val="00BF5D1E"/>
    <w:rsid w:val="00BF5D50"/>
    <w:rsid w:val="00BF5DBC"/>
    <w:rsid w:val="00BF5E0F"/>
    <w:rsid w:val="00BF5FE7"/>
    <w:rsid w:val="00BF601E"/>
    <w:rsid w:val="00BF60D5"/>
    <w:rsid w:val="00BF623A"/>
    <w:rsid w:val="00BF62AA"/>
    <w:rsid w:val="00BF635D"/>
    <w:rsid w:val="00BF639E"/>
    <w:rsid w:val="00BF64D2"/>
    <w:rsid w:val="00BF6512"/>
    <w:rsid w:val="00BF6630"/>
    <w:rsid w:val="00BF66FC"/>
    <w:rsid w:val="00BF67EF"/>
    <w:rsid w:val="00BF680F"/>
    <w:rsid w:val="00BF6905"/>
    <w:rsid w:val="00BF69B6"/>
    <w:rsid w:val="00BF69C5"/>
    <w:rsid w:val="00BF69E4"/>
    <w:rsid w:val="00BF6A00"/>
    <w:rsid w:val="00BF6BBB"/>
    <w:rsid w:val="00BF6BC8"/>
    <w:rsid w:val="00BF6C17"/>
    <w:rsid w:val="00BF6C41"/>
    <w:rsid w:val="00BF6C62"/>
    <w:rsid w:val="00BF6D97"/>
    <w:rsid w:val="00BF6DBF"/>
    <w:rsid w:val="00BF6ED3"/>
    <w:rsid w:val="00BF70B6"/>
    <w:rsid w:val="00BF7154"/>
    <w:rsid w:val="00BF72D9"/>
    <w:rsid w:val="00BF7350"/>
    <w:rsid w:val="00BF73A8"/>
    <w:rsid w:val="00BF74AD"/>
    <w:rsid w:val="00BF75B2"/>
    <w:rsid w:val="00BF75B9"/>
    <w:rsid w:val="00BF75C6"/>
    <w:rsid w:val="00BF7694"/>
    <w:rsid w:val="00BF77DF"/>
    <w:rsid w:val="00BF7921"/>
    <w:rsid w:val="00BF79A4"/>
    <w:rsid w:val="00BF7A4E"/>
    <w:rsid w:val="00BF7BE5"/>
    <w:rsid w:val="00BF7D3E"/>
    <w:rsid w:val="00BF7EC7"/>
    <w:rsid w:val="00BF7EC9"/>
    <w:rsid w:val="00C00197"/>
    <w:rsid w:val="00C001B5"/>
    <w:rsid w:val="00C00340"/>
    <w:rsid w:val="00C00400"/>
    <w:rsid w:val="00C0042A"/>
    <w:rsid w:val="00C0045E"/>
    <w:rsid w:val="00C00497"/>
    <w:rsid w:val="00C0054E"/>
    <w:rsid w:val="00C00583"/>
    <w:rsid w:val="00C005EA"/>
    <w:rsid w:val="00C007A3"/>
    <w:rsid w:val="00C008C2"/>
    <w:rsid w:val="00C0090F"/>
    <w:rsid w:val="00C00A25"/>
    <w:rsid w:val="00C00C31"/>
    <w:rsid w:val="00C00D85"/>
    <w:rsid w:val="00C00DA1"/>
    <w:rsid w:val="00C00E79"/>
    <w:rsid w:val="00C00E90"/>
    <w:rsid w:val="00C00F2D"/>
    <w:rsid w:val="00C01061"/>
    <w:rsid w:val="00C01286"/>
    <w:rsid w:val="00C014A0"/>
    <w:rsid w:val="00C01542"/>
    <w:rsid w:val="00C01698"/>
    <w:rsid w:val="00C016A3"/>
    <w:rsid w:val="00C01712"/>
    <w:rsid w:val="00C0181E"/>
    <w:rsid w:val="00C01A69"/>
    <w:rsid w:val="00C01BD6"/>
    <w:rsid w:val="00C01C63"/>
    <w:rsid w:val="00C01CED"/>
    <w:rsid w:val="00C01E59"/>
    <w:rsid w:val="00C01EED"/>
    <w:rsid w:val="00C01F60"/>
    <w:rsid w:val="00C022BE"/>
    <w:rsid w:val="00C022F5"/>
    <w:rsid w:val="00C024E8"/>
    <w:rsid w:val="00C0282B"/>
    <w:rsid w:val="00C028B8"/>
    <w:rsid w:val="00C028EE"/>
    <w:rsid w:val="00C029B0"/>
    <w:rsid w:val="00C02B69"/>
    <w:rsid w:val="00C02BE5"/>
    <w:rsid w:val="00C02CFD"/>
    <w:rsid w:val="00C02F18"/>
    <w:rsid w:val="00C02FA1"/>
    <w:rsid w:val="00C03069"/>
    <w:rsid w:val="00C030AC"/>
    <w:rsid w:val="00C030D6"/>
    <w:rsid w:val="00C03233"/>
    <w:rsid w:val="00C033FA"/>
    <w:rsid w:val="00C037BF"/>
    <w:rsid w:val="00C037F8"/>
    <w:rsid w:val="00C03AC6"/>
    <w:rsid w:val="00C03C50"/>
    <w:rsid w:val="00C03CB2"/>
    <w:rsid w:val="00C03CED"/>
    <w:rsid w:val="00C03E2F"/>
    <w:rsid w:val="00C03EEE"/>
    <w:rsid w:val="00C04014"/>
    <w:rsid w:val="00C0417C"/>
    <w:rsid w:val="00C0425A"/>
    <w:rsid w:val="00C0448C"/>
    <w:rsid w:val="00C044DB"/>
    <w:rsid w:val="00C04500"/>
    <w:rsid w:val="00C0458F"/>
    <w:rsid w:val="00C04626"/>
    <w:rsid w:val="00C0463A"/>
    <w:rsid w:val="00C0472B"/>
    <w:rsid w:val="00C0484D"/>
    <w:rsid w:val="00C048B6"/>
    <w:rsid w:val="00C048B9"/>
    <w:rsid w:val="00C0493F"/>
    <w:rsid w:val="00C0496A"/>
    <w:rsid w:val="00C04A72"/>
    <w:rsid w:val="00C04B15"/>
    <w:rsid w:val="00C04DB0"/>
    <w:rsid w:val="00C04E90"/>
    <w:rsid w:val="00C04EFD"/>
    <w:rsid w:val="00C0501E"/>
    <w:rsid w:val="00C05180"/>
    <w:rsid w:val="00C051AF"/>
    <w:rsid w:val="00C05211"/>
    <w:rsid w:val="00C05314"/>
    <w:rsid w:val="00C054D6"/>
    <w:rsid w:val="00C05750"/>
    <w:rsid w:val="00C05756"/>
    <w:rsid w:val="00C057E5"/>
    <w:rsid w:val="00C05A36"/>
    <w:rsid w:val="00C05C02"/>
    <w:rsid w:val="00C05C45"/>
    <w:rsid w:val="00C05CD8"/>
    <w:rsid w:val="00C05CF9"/>
    <w:rsid w:val="00C05DA1"/>
    <w:rsid w:val="00C05DDB"/>
    <w:rsid w:val="00C05ED4"/>
    <w:rsid w:val="00C061DE"/>
    <w:rsid w:val="00C0627C"/>
    <w:rsid w:val="00C062A2"/>
    <w:rsid w:val="00C063F0"/>
    <w:rsid w:val="00C06617"/>
    <w:rsid w:val="00C067AB"/>
    <w:rsid w:val="00C06926"/>
    <w:rsid w:val="00C069E6"/>
    <w:rsid w:val="00C06AEA"/>
    <w:rsid w:val="00C06B83"/>
    <w:rsid w:val="00C06C6C"/>
    <w:rsid w:val="00C06D28"/>
    <w:rsid w:val="00C06D4D"/>
    <w:rsid w:val="00C06E10"/>
    <w:rsid w:val="00C06EB0"/>
    <w:rsid w:val="00C072DF"/>
    <w:rsid w:val="00C0731C"/>
    <w:rsid w:val="00C0734B"/>
    <w:rsid w:val="00C073AC"/>
    <w:rsid w:val="00C0744C"/>
    <w:rsid w:val="00C07695"/>
    <w:rsid w:val="00C07810"/>
    <w:rsid w:val="00C07909"/>
    <w:rsid w:val="00C07B3A"/>
    <w:rsid w:val="00C07D6F"/>
    <w:rsid w:val="00C07E0A"/>
    <w:rsid w:val="00C07E51"/>
    <w:rsid w:val="00C07F6D"/>
    <w:rsid w:val="00C07FBD"/>
    <w:rsid w:val="00C10006"/>
    <w:rsid w:val="00C10114"/>
    <w:rsid w:val="00C101CA"/>
    <w:rsid w:val="00C1030B"/>
    <w:rsid w:val="00C10456"/>
    <w:rsid w:val="00C10578"/>
    <w:rsid w:val="00C105D1"/>
    <w:rsid w:val="00C1073D"/>
    <w:rsid w:val="00C107EE"/>
    <w:rsid w:val="00C10820"/>
    <w:rsid w:val="00C108F8"/>
    <w:rsid w:val="00C10920"/>
    <w:rsid w:val="00C10951"/>
    <w:rsid w:val="00C10A08"/>
    <w:rsid w:val="00C10AAB"/>
    <w:rsid w:val="00C10B5B"/>
    <w:rsid w:val="00C10C57"/>
    <w:rsid w:val="00C10C8F"/>
    <w:rsid w:val="00C10CD5"/>
    <w:rsid w:val="00C10E21"/>
    <w:rsid w:val="00C10E36"/>
    <w:rsid w:val="00C10F1B"/>
    <w:rsid w:val="00C111C0"/>
    <w:rsid w:val="00C11215"/>
    <w:rsid w:val="00C11245"/>
    <w:rsid w:val="00C1127B"/>
    <w:rsid w:val="00C112E6"/>
    <w:rsid w:val="00C11515"/>
    <w:rsid w:val="00C118F2"/>
    <w:rsid w:val="00C1194C"/>
    <w:rsid w:val="00C11960"/>
    <w:rsid w:val="00C11AEB"/>
    <w:rsid w:val="00C11C22"/>
    <w:rsid w:val="00C11C62"/>
    <w:rsid w:val="00C11C79"/>
    <w:rsid w:val="00C11DAC"/>
    <w:rsid w:val="00C120B3"/>
    <w:rsid w:val="00C120C4"/>
    <w:rsid w:val="00C123D9"/>
    <w:rsid w:val="00C12698"/>
    <w:rsid w:val="00C12831"/>
    <w:rsid w:val="00C12B9C"/>
    <w:rsid w:val="00C12BBE"/>
    <w:rsid w:val="00C12CD7"/>
    <w:rsid w:val="00C12D81"/>
    <w:rsid w:val="00C12DB4"/>
    <w:rsid w:val="00C12EC4"/>
    <w:rsid w:val="00C12FE9"/>
    <w:rsid w:val="00C1301F"/>
    <w:rsid w:val="00C13241"/>
    <w:rsid w:val="00C1327E"/>
    <w:rsid w:val="00C133B9"/>
    <w:rsid w:val="00C134AD"/>
    <w:rsid w:val="00C134B7"/>
    <w:rsid w:val="00C134CA"/>
    <w:rsid w:val="00C135BC"/>
    <w:rsid w:val="00C1360B"/>
    <w:rsid w:val="00C13761"/>
    <w:rsid w:val="00C138D0"/>
    <w:rsid w:val="00C138D2"/>
    <w:rsid w:val="00C138DF"/>
    <w:rsid w:val="00C13903"/>
    <w:rsid w:val="00C1393E"/>
    <w:rsid w:val="00C13C07"/>
    <w:rsid w:val="00C13C32"/>
    <w:rsid w:val="00C13CB4"/>
    <w:rsid w:val="00C13E3C"/>
    <w:rsid w:val="00C14137"/>
    <w:rsid w:val="00C141E0"/>
    <w:rsid w:val="00C14316"/>
    <w:rsid w:val="00C14366"/>
    <w:rsid w:val="00C143BD"/>
    <w:rsid w:val="00C1454F"/>
    <w:rsid w:val="00C14730"/>
    <w:rsid w:val="00C147EE"/>
    <w:rsid w:val="00C1480F"/>
    <w:rsid w:val="00C148DC"/>
    <w:rsid w:val="00C14A3B"/>
    <w:rsid w:val="00C14A9D"/>
    <w:rsid w:val="00C14B58"/>
    <w:rsid w:val="00C14C13"/>
    <w:rsid w:val="00C14EA2"/>
    <w:rsid w:val="00C14F09"/>
    <w:rsid w:val="00C14FBA"/>
    <w:rsid w:val="00C14FDF"/>
    <w:rsid w:val="00C15135"/>
    <w:rsid w:val="00C151B7"/>
    <w:rsid w:val="00C151C2"/>
    <w:rsid w:val="00C15578"/>
    <w:rsid w:val="00C156E5"/>
    <w:rsid w:val="00C1571D"/>
    <w:rsid w:val="00C1589C"/>
    <w:rsid w:val="00C15914"/>
    <w:rsid w:val="00C15C81"/>
    <w:rsid w:val="00C15C95"/>
    <w:rsid w:val="00C15E62"/>
    <w:rsid w:val="00C15E75"/>
    <w:rsid w:val="00C160AF"/>
    <w:rsid w:val="00C160F4"/>
    <w:rsid w:val="00C1617F"/>
    <w:rsid w:val="00C1635B"/>
    <w:rsid w:val="00C16519"/>
    <w:rsid w:val="00C16838"/>
    <w:rsid w:val="00C1689B"/>
    <w:rsid w:val="00C168A4"/>
    <w:rsid w:val="00C168A8"/>
    <w:rsid w:val="00C16905"/>
    <w:rsid w:val="00C1690F"/>
    <w:rsid w:val="00C16B86"/>
    <w:rsid w:val="00C16BE6"/>
    <w:rsid w:val="00C16E96"/>
    <w:rsid w:val="00C16EF1"/>
    <w:rsid w:val="00C16FCC"/>
    <w:rsid w:val="00C1704D"/>
    <w:rsid w:val="00C17070"/>
    <w:rsid w:val="00C170BB"/>
    <w:rsid w:val="00C1712E"/>
    <w:rsid w:val="00C17306"/>
    <w:rsid w:val="00C1730B"/>
    <w:rsid w:val="00C173CD"/>
    <w:rsid w:val="00C1746F"/>
    <w:rsid w:val="00C17486"/>
    <w:rsid w:val="00C175E8"/>
    <w:rsid w:val="00C175F3"/>
    <w:rsid w:val="00C17601"/>
    <w:rsid w:val="00C1760E"/>
    <w:rsid w:val="00C177C3"/>
    <w:rsid w:val="00C1786F"/>
    <w:rsid w:val="00C1791E"/>
    <w:rsid w:val="00C1799E"/>
    <w:rsid w:val="00C179CE"/>
    <w:rsid w:val="00C17ABF"/>
    <w:rsid w:val="00C17B9A"/>
    <w:rsid w:val="00C17C14"/>
    <w:rsid w:val="00C17DAC"/>
    <w:rsid w:val="00C17E2B"/>
    <w:rsid w:val="00C17EC6"/>
    <w:rsid w:val="00C17EE2"/>
    <w:rsid w:val="00C2000B"/>
    <w:rsid w:val="00C200AC"/>
    <w:rsid w:val="00C2012A"/>
    <w:rsid w:val="00C202B1"/>
    <w:rsid w:val="00C202B3"/>
    <w:rsid w:val="00C202EA"/>
    <w:rsid w:val="00C203BD"/>
    <w:rsid w:val="00C204F0"/>
    <w:rsid w:val="00C205B6"/>
    <w:rsid w:val="00C2061F"/>
    <w:rsid w:val="00C20704"/>
    <w:rsid w:val="00C207AE"/>
    <w:rsid w:val="00C2082D"/>
    <w:rsid w:val="00C20837"/>
    <w:rsid w:val="00C208FF"/>
    <w:rsid w:val="00C209EE"/>
    <w:rsid w:val="00C20BA3"/>
    <w:rsid w:val="00C20BFD"/>
    <w:rsid w:val="00C20DD2"/>
    <w:rsid w:val="00C20E28"/>
    <w:rsid w:val="00C20ED7"/>
    <w:rsid w:val="00C20ED9"/>
    <w:rsid w:val="00C20F6A"/>
    <w:rsid w:val="00C2124D"/>
    <w:rsid w:val="00C212CC"/>
    <w:rsid w:val="00C21374"/>
    <w:rsid w:val="00C21417"/>
    <w:rsid w:val="00C2143F"/>
    <w:rsid w:val="00C2149B"/>
    <w:rsid w:val="00C21838"/>
    <w:rsid w:val="00C21921"/>
    <w:rsid w:val="00C21942"/>
    <w:rsid w:val="00C219C9"/>
    <w:rsid w:val="00C219F5"/>
    <w:rsid w:val="00C21A20"/>
    <w:rsid w:val="00C21BA0"/>
    <w:rsid w:val="00C21BB3"/>
    <w:rsid w:val="00C21C68"/>
    <w:rsid w:val="00C21DBE"/>
    <w:rsid w:val="00C21F29"/>
    <w:rsid w:val="00C21F62"/>
    <w:rsid w:val="00C221D4"/>
    <w:rsid w:val="00C2249B"/>
    <w:rsid w:val="00C22599"/>
    <w:rsid w:val="00C22636"/>
    <w:rsid w:val="00C2266C"/>
    <w:rsid w:val="00C226A8"/>
    <w:rsid w:val="00C2275F"/>
    <w:rsid w:val="00C228D1"/>
    <w:rsid w:val="00C22AA6"/>
    <w:rsid w:val="00C22C51"/>
    <w:rsid w:val="00C22C76"/>
    <w:rsid w:val="00C22D09"/>
    <w:rsid w:val="00C22F93"/>
    <w:rsid w:val="00C22FB6"/>
    <w:rsid w:val="00C22FE2"/>
    <w:rsid w:val="00C2305F"/>
    <w:rsid w:val="00C23154"/>
    <w:rsid w:val="00C23263"/>
    <w:rsid w:val="00C232DE"/>
    <w:rsid w:val="00C233B9"/>
    <w:rsid w:val="00C23554"/>
    <w:rsid w:val="00C235C8"/>
    <w:rsid w:val="00C235CB"/>
    <w:rsid w:val="00C2379C"/>
    <w:rsid w:val="00C237A4"/>
    <w:rsid w:val="00C23BB1"/>
    <w:rsid w:val="00C23D4A"/>
    <w:rsid w:val="00C23EB1"/>
    <w:rsid w:val="00C23EF4"/>
    <w:rsid w:val="00C240E3"/>
    <w:rsid w:val="00C24156"/>
    <w:rsid w:val="00C24209"/>
    <w:rsid w:val="00C24244"/>
    <w:rsid w:val="00C24320"/>
    <w:rsid w:val="00C24841"/>
    <w:rsid w:val="00C24853"/>
    <w:rsid w:val="00C249AB"/>
    <w:rsid w:val="00C24A1D"/>
    <w:rsid w:val="00C24A92"/>
    <w:rsid w:val="00C24AF7"/>
    <w:rsid w:val="00C24AFC"/>
    <w:rsid w:val="00C24BE4"/>
    <w:rsid w:val="00C24C78"/>
    <w:rsid w:val="00C24CE4"/>
    <w:rsid w:val="00C24DA1"/>
    <w:rsid w:val="00C24E96"/>
    <w:rsid w:val="00C24ED6"/>
    <w:rsid w:val="00C250D7"/>
    <w:rsid w:val="00C2512C"/>
    <w:rsid w:val="00C2559E"/>
    <w:rsid w:val="00C2563C"/>
    <w:rsid w:val="00C25899"/>
    <w:rsid w:val="00C258D9"/>
    <w:rsid w:val="00C258E8"/>
    <w:rsid w:val="00C2596A"/>
    <w:rsid w:val="00C25A8D"/>
    <w:rsid w:val="00C25ABC"/>
    <w:rsid w:val="00C25BB0"/>
    <w:rsid w:val="00C25BEA"/>
    <w:rsid w:val="00C25C02"/>
    <w:rsid w:val="00C25C36"/>
    <w:rsid w:val="00C25C7A"/>
    <w:rsid w:val="00C25D20"/>
    <w:rsid w:val="00C25D8A"/>
    <w:rsid w:val="00C25E98"/>
    <w:rsid w:val="00C25FA0"/>
    <w:rsid w:val="00C25FEC"/>
    <w:rsid w:val="00C261A0"/>
    <w:rsid w:val="00C26280"/>
    <w:rsid w:val="00C2629A"/>
    <w:rsid w:val="00C2629D"/>
    <w:rsid w:val="00C264FE"/>
    <w:rsid w:val="00C26500"/>
    <w:rsid w:val="00C26669"/>
    <w:rsid w:val="00C2688B"/>
    <w:rsid w:val="00C26948"/>
    <w:rsid w:val="00C269DA"/>
    <w:rsid w:val="00C26A5F"/>
    <w:rsid w:val="00C26AD6"/>
    <w:rsid w:val="00C26B20"/>
    <w:rsid w:val="00C26BAF"/>
    <w:rsid w:val="00C26C62"/>
    <w:rsid w:val="00C26CDA"/>
    <w:rsid w:val="00C26DE2"/>
    <w:rsid w:val="00C2710C"/>
    <w:rsid w:val="00C27281"/>
    <w:rsid w:val="00C2744A"/>
    <w:rsid w:val="00C27537"/>
    <w:rsid w:val="00C27CCA"/>
    <w:rsid w:val="00C27DD0"/>
    <w:rsid w:val="00C27E41"/>
    <w:rsid w:val="00C30028"/>
    <w:rsid w:val="00C3003D"/>
    <w:rsid w:val="00C301C9"/>
    <w:rsid w:val="00C302D6"/>
    <w:rsid w:val="00C30399"/>
    <w:rsid w:val="00C303C1"/>
    <w:rsid w:val="00C30490"/>
    <w:rsid w:val="00C304E6"/>
    <w:rsid w:val="00C305CD"/>
    <w:rsid w:val="00C307DA"/>
    <w:rsid w:val="00C308DC"/>
    <w:rsid w:val="00C30AE8"/>
    <w:rsid w:val="00C30C24"/>
    <w:rsid w:val="00C30CB1"/>
    <w:rsid w:val="00C30CEE"/>
    <w:rsid w:val="00C30CF2"/>
    <w:rsid w:val="00C30D89"/>
    <w:rsid w:val="00C30ED1"/>
    <w:rsid w:val="00C30F6D"/>
    <w:rsid w:val="00C30FB6"/>
    <w:rsid w:val="00C31024"/>
    <w:rsid w:val="00C31160"/>
    <w:rsid w:val="00C311C3"/>
    <w:rsid w:val="00C31343"/>
    <w:rsid w:val="00C3174C"/>
    <w:rsid w:val="00C31788"/>
    <w:rsid w:val="00C317A9"/>
    <w:rsid w:val="00C31866"/>
    <w:rsid w:val="00C318F4"/>
    <w:rsid w:val="00C319E3"/>
    <w:rsid w:val="00C31D17"/>
    <w:rsid w:val="00C31E85"/>
    <w:rsid w:val="00C32168"/>
    <w:rsid w:val="00C321B9"/>
    <w:rsid w:val="00C3222C"/>
    <w:rsid w:val="00C3233E"/>
    <w:rsid w:val="00C3236F"/>
    <w:rsid w:val="00C323DA"/>
    <w:rsid w:val="00C3241E"/>
    <w:rsid w:val="00C324FD"/>
    <w:rsid w:val="00C3258C"/>
    <w:rsid w:val="00C326DD"/>
    <w:rsid w:val="00C32859"/>
    <w:rsid w:val="00C32888"/>
    <w:rsid w:val="00C328FE"/>
    <w:rsid w:val="00C32BFC"/>
    <w:rsid w:val="00C32CF7"/>
    <w:rsid w:val="00C32D3B"/>
    <w:rsid w:val="00C32DAC"/>
    <w:rsid w:val="00C3302D"/>
    <w:rsid w:val="00C33220"/>
    <w:rsid w:val="00C3329A"/>
    <w:rsid w:val="00C332F9"/>
    <w:rsid w:val="00C33412"/>
    <w:rsid w:val="00C33507"/>
    <w:rsid w:val="00C33538"/>
    <w:rsid w:val="00C3358C"/>
    <w:rsid w:val="00C335CC"/>
    <w:rsid w:val="00C3365D"/>
    <w:rsid w:val="00C3372F"/>
    <w:rsid w:val="00C33772"/>
    <w:rsid w:val="00C338B9"/>
    <w:rsid w:val="00C33A92"/>
    <w:rsid w:val="00C33AD2"/>
    <w:rsid w:val="00C33BFD"/>
    <w:rsid w:val="00C33C5B"/>
    <w:rsid w:val="00C33C99"/>
    <w:rsid w:val="00C33E34"/>
    <w:rsid w:val="00C33E58"/>
    <w:rsid w:val="00C33E76"/>
    <w:rsid w:val="00C340B1"/>
    <w:rsid w:val="00C34200"/>
    <w:rsid w:val="00C342AA"/>
    <w:rsid w:val="00C3439A"/>
    <w:rsid w:val="00C3442A"/>
    <w:rsid w:val="00C3447F"/>
    <w:rsid w:val="00C344BD"/>
    <w:rsid w:val="00C3465F"/>
    <w:rsid w:val="00C3476D"/>
    <w:rsid w:val="00C3497F"/>
    <w:rsid w:val="00C349FA"/>
    <w:rsid w:val="00C34A24"/>
    <w:rsid w:val="00C34A31"/>
    <w:rsid w:val="00C34BBC"/>
    <w:rsid w:val="00C34C40"/>
    <w:rsid w:val="00C34CED"/>
    <w:rsid w:val="00C34D9E"/>
    <w:rsid w:val="00C34E36"/>
    <w:rsid w:val="00C34F4A"/>
    <w:rsid w:val="00C34F52"/>
    <w:rsid w:val="00C34F8E"/>
    <w:rsid w:val="00C35299"/>
    <w:rsid w:val="00C352A4"/>
    <w:rsid w:val="00C352F6"/>
    <w:rsid w:val="00C3537F"/>
    <w:rsid w:val="00C35382"/>
    <w:rsid w:val="00C35397"/>
    <w:rsid w:val="00C3550E"/>
    <w:rsid w:val="00C355AD"/>
    <w:rsid w:val="00C35605"/>
    <w:rsid w:val="00C35737"/>
    <w:rsid w:val="00C359BD"/>
    <w:rsid w:val="00C35A9B"/>
    <w:rsid w:val="00C35E73"/>
    <w:rsid w:val="00C35F74"/>
    <w:rsid w:val="00C35FB8"/>
    <w:rsid w:val="00C3607A"/>
    <w:rsid w:val="00C36094"/>
    <w:rsid w:val="00C36125"/>
    <w:rsid w:val="00C36361"/>
    <w:rsid w:val="00C363A5"/>
    <w:rsid w:val="00C363D6"/>
    <w:rsid w:val="00C3652A"/>
    <w:rsid w:val="00C36667"/>
    <w:rsid w:val="00C3667C"/>
    <w:rsid w:val="00C367A0"/>
    <w:rsid w:val="00C36802"/>
    <w:rsid w:val="00C3691A"/>
    <w:rsid w:val="00C36979"/>
    <w:rsid w:val="00C3699F"/>
    <w:rsid w:val="00C36AF8"/>
    <w:rsid w:val="00C36C85"/>
    <w:rsid w:val="00C36CFA"/>
    <w:rsid w:val="00C36DEE"/>
    <w:rsid w:val="00C36E36"/>
    <w:rsid w:val="00C36EE3"/>
    <w:rsid w:val="00C36F7B"/>
    <w:rsid w:val="00C37160"/>
    <w:rsid w:val="00C3736A"/>
    <w:rsid w:val="00C3741E"/>
    <w:rsid w:val="00C37629"/>
    <w:rsid w:val="00C376DA"/>
    <w:rsid w:val="00C377F5"/>
    <w:rsid w:val="00C37835"/>
    <w:rsid w:val="00C378D3"/>
    <w:rsid w:val="00C37921"/>
    <w:rsid w:val="00C37AAA"/>
    <w:rsid w:val="00C37C3D"/>
    <w:rsid w:val="00C37D75"/>
    <w:rsid w:val="00C37DC1"/>
    <w:rsid w:val="00C37E98"/>
    <w:rsid w:val="00C37FF3"/>
    <w:rsid w:val="00C37FF5"/>
    <w:rsid w:val="00C4001A"/>
    <w:rsid w:val="00C4067B"/>
    <w:rsid w:val="00C4087C"/>
    <w:rsid w:val="00C409E9"/>
    <w:rsid w:val="00C40A1A"/>
    <w:rsid w:val="00C40A54"/>
    <w:rsid w:val="00C40BA6"/>
    <w:rsid w:val="00C40BF1"/>
    <w:rsid w:val="00C40C33"/>
    <w:rsid w:val="00C40D60"/>
    <w:rsid w:val="00C40E88"/>
    <w:rsid w:val="00C41210"/>
    <w:rsid w:val="00C412A8"/>
    <w:rsid w:val="00C412EA"/>
    <w:rsid w:val="00C413C8"/>
    <w:rsid w:val="00C41448"/>
    <w:rsid w:val="00C41513"/>
    <w:rsid w:val="00C41526"/>
    <w:rsid w:val="00C418A4"/>
    <w:rsid w:val="00C4190E"/>
    <w:rsid w:val="00C41A6E"/>
    <w:rsid w:val="00C41A75"/>
    <w:rsid w:val="00C41B36"/>
    <w:rsid w:val="00C41BEA"/>
    <w:rsid w:val="00C41C8F"/>
    <w:rsid w:val="00C41CAD"/>
    <w:rsid w:val="00C41DA2"/>
    <w:rsid w:val="00C41E87"/>
    <w:rsid w:val="00C41E8F"/>
    <w:rsid w:val="00C41F89"/>
    <w:rsid w:val="00C42076"/>
    <w:rsid w:val="00C4227D"/>
    <w:rsid w:val="00C422A9"/>
    <w:rsid w:val="00C4234A"/>
    <w:rsid w:val="00C42398"/>
    <w:rsid w:val="00C42500"/>
    <w:rsid w:val="00C42561"/>
    <w:rsid w:val="00C4261B"/>
    <w:rsid w:val="00C42747"/>
    <w:rsid w:val="00C427FC"/>
    <w:rsid w:val="00C428FA"/>
    <w:rsid w:val="00C42922"/>
    <w:rsid w:val="00C42AB1"/>
    <w:rsid w:val="00C42B4A"/>
    <w:rsid w:val="00C42BEF"/>
    <w:rsid w:val="00C42C09"/>
    <w:rsid w:val="00C42C54"/>
    <w:rsid w:val="00C42C6C"/>
    <w:rsid w:val="00C42C93"/>
    <w:rsid w:val="00C42CDB"/>
    <w:rsid w:val="00C42F11"/>
    <w:rsid w:val="00C42F2A"/>
    <w:rsid w:val="00C4310C"/>
    <w:rsid w:val="00C4312B"/>
    <w:rsid w:val="00C431B9"/>
    <w:rsid w:val="00C4328F"/>
    <w:rsid w:val="00C434D1"/>
    <w:rsid w:val="00C4386E"/>
    <w:rsid w:val="00C43892"/>
    <w:rsid w:val="00C43994"/>
    <w:rsid w:val="00C43AD5"/>
    <w:rsid w:val="00C43EAF"/>
    <w:rsid w:val="00C43EF0"/>
    <w:rsid w:val="00C43FFB"/>
    <w:rsid w:val="00C4409D"/>
    <w:rsid w:val="00C44308"/>
    <w:rsid w:val="00C4436F"/>
    <w:rsid w:val="00C443B4"/>
    <w:rsid w:val="00C443C5"/>
    <w:rsid w:val="00C443CE"/>
    <w:rsid w:val="00C4444D"/>
    <w:rsid w:val="00C4463E"/>
    <w:rsid w:val="00C447DD"/>
    <w:rsid w:val="00C44838"/>
    <w:rsid w:val="00C4490E"/>
    <w:rsid w:val="00C44B85"/>
    <w:rsid w:val="00C44CA7"/>
    <w:rsid w:val="00C44E72"/>
    <w:rsid w:val="00C45022"/>
    <w:rsid w:val="00C450B6"/>
    <w:rsid w:val="00C4515B"/>
    <w:rsid w:val="00C4517F"/>
    <w:rsid w:val="00C45219"/>
    <w:rsid w:val="00C4524C"/>
    <w:rsid w:val="00C45330"/>
    <w:rsid w:val="00C4536D"/>
    <w:rsid w:val="00C45370"/>
    <w:rsid w:val="00C4541A"/>
    <w:rsid w:val="00C4548B"/>
    <w:rsid w:val="00C45573"/>
    <w:rsid w:val="00C45739"/>
    <w:rsid w:val="00C45786"/>
    <w:rsid w:val="00C45814"/>
    <w:rsid w:val="00C45A06"/>
    <w:rsid w:val="00C45B4A"/>
    <w:rsid w:val="00C45C0A"/>
    <w:rsid w:val="00C45DFF"/>
    <w:rsid w:val="00C461A5"/>
    <w:rsid w:val="00C4632A"/>
    <w:rsid w:val="00C4664E"/>
    <w:rsid w:val="00C46858"/>
    <w:rsid w:val="00C46A30"/>
    <w:rsid w:val="00C46E01"/>
    <w:rsid w:val="00C46ED4"/>
    <w:rsid w:val="00C46F6E"/>
    <w:rsid w:val="00C46FA2"/>
    <w:rsid w:val="00C470AC"/>
    <w:rsid w:val="00C4738F"/>
    <w:rsid w:val="00C4759E"/>
    <w:rsid w:val="00C475C4"/>
    <w:rsid w:val="00C47656"/>
    <w:rsid w:val="00C47878"/>
    <w:rsid w:val="00C47914"/>
    <w:rsid w:val="00C47A24"/>
    <w:rsid w:val="00C47A2B"/>
    <w:rsid w:val="00C47A7E"/>
    <w:rsid w:val="00C47C49"/>
    <w:rsid w:val="00C47CFF"/>
    <w:rsid w:val="00C47D5C"/>
    <w:rsid w:val="00C47DA0"/>
    <w:rsid w:val="00C47DD2"/>
    <w:rsid w:val="00C47E0E"/>
    <w:rsid w:val="00C47E5B"/>
    <w:rsid w:val="00C47EC6"/>
    <w:rsid w:val="00C47ED4"/>
    <w:rsid w:val="00C47FBE"/>
    <w:rsid w:val="00C50224"/>
    <w:rsid w:val="00C502EB"/>
    <w:rsid w:val="00C50351"/>
    <w:rsid w:val="00C503AF"/>
    <w:rsid w:val="00C5055D"/>
    <w:rsid w:val="00C5064B"/>
    <w:rsid w:val="00C506DF"/>
    <w:rsid w:val="00C507F6"/>
    <w:rsid w:val="00C50859"/>
    <w:rsid w:val="00C50884"/>
    <w:rsid w:val="00C5099A"/>
    <w:rsid w:val="00C50CA2"/>
    <w:rsid w:val="00C50FF0"/>
    <w:rsid w:val="00C5102C"/>
    <w:rsid w:val="00C51127"/>
    <w:rsid w:val="00C5118A"/>
    <w:rsid w:val="00C514B6"/>
    <w:rsid w:val="00C5152C"/>
    <w:rsid w:val="00C5195E"/>
    <w:rsid w:val="00C51A53"/>
    <w:rsid w:val="00C51B72"/>
    <w:rsid w:val="00C51D0E"/>
    <w:rsid w:val="00C51D6D"/>
    <w:rsid w:val="00C51F1A"/>
    <w:rsid w:val="00C52029"/>
    <w:rsid w:val="00C52210"/>
    <w:rsid w:val="00C526A1"/>
    <w:rsid w:val="00C5274F"/>
    <w:rsid w:val="00C5280F"/>
    <w:rsid w:val="00C528E4"/>
    <w:rsid w:val="00C52992"/>
    <w:rsid w:val="00C52D6D"/>
    <w:rsid w:val="00C52DE6"/>
    <w:rsid w:val="00C5315F"/>
    <w:rsid w:val="00C5324E"/>
    <w:rsid w:val="00C53340"/>
    <w:rsid w:val="00C533DB"/>
    <w:rsid w:val="00C534B7"/>
    <w:rsid w:val="00C534F8"/>
    <w:rsid w:val="00C5355A"/>
    <w:rsid w:val="00C5357A"/>
    <w:rsid w:val="00C53690"/>
    <w:rsid w:val="00C53966"/>
    <w:rsid w:val="00C53977"/>
    <w:rsid w:val="00C539B2"/>
    <w:rsid w:val="00C53A5C"/>
    <w:rsid w:val="00C53BCE"/>
    <w:rsid w:val="00C53BDA"/>
    <w:rsid w:val="00C53C02"/>
    <w:rsid w:val="00C53C10"/>
    <w:rsid w:val="00C53D72"/>
    <w:rsid w:val="00C53D81"/>
    <w:rsid w:val="00C53E89"/>
    <w:rsid w:val="00C53F50"/>
    <w:rsid w:val="00C54023"/>
    <w:rsid w:val="00C540E0"/>
    <w:rsid w:val="00C54212"/>
    <w:rsid w:val="00C54277"/>
    <w:rsid w:val="00C543F1"/>
    <w:rsid w:val="00C54490"/>
    <w:rsid w:val="00C545BA"/>
    <w:rsid w:val="00C54733"/>
    <w:rsid w:val="00C548C0"/>
    <w:rsid w:val="00C549D7"/>
    <w:rsid w:val="00C54B39"/>
    <w:rsid w:val="00C54C4C"/>
    <w:rsid w:val="00C54D27"/>
    <w:rsid w:val="00C54D51"/>
    <w:rsid w:val="00C54D76"/>
    <w:rsid w:val="00C54DE3"/>
    <w:rsid w:val="00C54F00"/>
    <w:rsid w:val="00C55103"/>
    <w:rsid w:val="00C551BE"/>
    <w:rsid w:val="00C55376"/>
    <w:rsid w:val="00C55414"/>
    <w:rsid w:val="00C55450"/>
    <w:rsid w:val="00C55473"/>
    <w:rsid w:val="00C5550A"/>
    <w:rsid w:val="00C5569B"/>
    <w:rsid w:val="00C556B3"/>
    <w:rsid w:val="00C5576E"/>
    <w:rsid w:val="00C557D9"/>
    <w:rsid w:val="00C559E8"/>
    <w:rsid w:val="00C55A65"/>
    <w:rsid w:val="00C55B1F"/>
    <w:rsid w:val="00C55B3F"/>
    <w:rsid w:val="00C55BA7"/>
    <w:rsid w:val="00C55BB0"/>
    <w:rsid w:val="00C55CCF"/>
    <w:rsid w:val="00C55CD8"/>
    <w:rsid w:val="00C55CEE"/>
    <w:rsid w:val="00C55DBA"/>
    <w:rsid w:val="00C55E3A"/>
    <w:rsid w:val="00C55E69"/>
    <w:rsid w:val="00C55F1E"/>
    <w:rsid w:val="00C56142"/>
    <w:rsid w:val="00C561D8"/>
    <w:rsid w:val="00C56225"/>
    <w:rsid w:val="00C5627C"/>
    <w:rsid w:val="00C562B5"/>
    <w:rsid w:val="00C56317"/>
    <w:rsid w:val="00C56325"/>
    <w:rsid w:val="00C563CC"/>
    <w:rsid w:val="00C5649F"/>
    <w:rsid w:val="00C5650A"/>
    <w:rsid w:val="00C56807"/>
    <w:rsid w:val="00C56B33"/>
    <w:rsid w:val="00C56BA4"/>
    <w:rsid w:val="00C56BDE"/>
    <w:rsid w:val="00C56C5A"/>
    <w:rsid w:val="00C56C64"/>
    <w:rsid w:val="00C57095"/>
    <w:rsid w:val="00C57139"/>
    <w:rsid w:val="00C571A3"/>
    <w:rsid w:val="00C57426"/>
    <w:rsid w:val="00C57438"/>
    <w:rsid w:val="00C574C0"/>
    <w:rsid w:val="00C5750F"/>
    <w:rsid w:val="00C575B2"/>
    <w:rsid w:val="00C575BE"/>
    <w:rsid w:val="00C57605"/>
    <w:rsid w:val="00C57736"/>
    <w:rsid w:val="00C57B25"/>
    <w:rsid w:val="00C57C2B"/>
    <w:rsid w:val="00C57C8C"/>
    <w:rsid w:val="00C57D67"/>
    <w:rsid w:val="00C57DEF"/>
    <w:rsid w:val="00C57E08"/>
    <w:rsid w:val="00C57E9B"/>
    <w:rsid w:val="00C57F18"/>
    <w:rsid w:val="00C57F71"/>
    <w:rsid w:val="00C601A9"/>
    <w:rsid w:val="00C601E2"/>
    <w:rsid w:val="00C602D9"/>
    <w:rsid w:val="00C60359"/>
    <w:rsid w:val="00C60374"/>
    <w:rsid w:val="00C603B2"/>
    <w:rsid w:val="00C60499"/>
    <w:rsid w:val="00C604AA"/>
    <w:rsid w:val="00C6069B"/>
    <w:rsid w:val="00C606DA"/>
    <w:rsid w:val="00C6074C"/>
    <w:rsid w:val="00C6077D"/>
    <w:rsid w:val="00C609EB"/>
    <w:rsid w:val="00C60C45"/>
    <w:rsid w:val="00C60C4F"/>
    <w:rsid w:val="00C60C5F"/>
    <w:rsid w:val="00C60C62"/>
    <w:rsid w:val="00C60D06"/>
    <w:rsid w:val="00C60E7E"/>
    <w:rsid w:val="00C60F74"/>
    <w:rsid w:val="00C60FAF"/>
    <w:rsid w:val="00C6106D"/>
    <w:rsid w:val="00C61077"/>
    <w:rsid w:val="00C61097"/>
    <w:rsid w:val="00C611BC"/>
    <w:rsid w:val="00C6140C"/>
    <w:rsid w:val="00C61410"/>
    <w:rsid w:val="00C61954"/>
    <w:rsid w:val="00C619FC"/>
    <w:rsid w:val="00C61AF2"/>
    <w:rsid w:val="00C61B6E"/>
    <w:rsid w:val="00C61CE7"/>
    <w:rsid w:val="00C61E4B"/>
    <w:rsid w:val="00C62030"/>
    <w:rsid w:val="00C620B8"/>
    <w:rsid w:val="00C620E4"/>
    <w:rsid w:val="00C6221B"/>
    <w:rsid w:val="00C62355"/>
    <w:rsid w:val="00C623AE"/>
    <w:rsid w:val="00C62504"/>
    <w:rsid w:val="00C6274D"/>
    <w:rsid w:val="00C62926"/>
    <w:rsid w:val="00C62983"/>
    <w:rsid w:val="00C62A3D"/>
    <w:rsid w:val="00C62B51"/>
    <w:rsid w:val="00C62C5C"/>
    <w:rsid w:val="00C62D63"/>
    <w:rsid w:val="00C6300B"/>
    <w:rsid w:val="00C63010"/>
    <w:rsid w:val="00C63467"/>
    <w:rsid w:val="00C634E5"/>
    <w:rsid w:val="00C63754"/>
    <w:rsid w:val="00C63772"/>
    <w:rsid w:val="00C6384B"/>
    <w:rsid w:val="00C63A36"/>
    <w:rsid w:val="00C63A5F"/>
    <w:rsid w:val="00C63B93"/>
    <w:rsid w:val="00C63D91"/>
    <w:rsid w:val="00C63E22"/>
    <w:rsid w:val="00C63F53"/>
    <w:rsid w:val="00C64038"/>
    <w:rsid w:val="00C6413F"/>
    <w:rsid w:val="00C64227"/>
    <w:rsid w:val="00C64301"/>
    <w:rsid w:val="00C6436D"/>
    <w:rsid w:val="00C643E0"/>
    <w:rsid w:val="00C643E7"/>
    <w:rsid w:val="00C644AF"/>
    <w:rsid w:val="00C64579"/>
    <w:rsid w:val="00C647A4"/>
    <w:rsid w:val="00C64937"/>
    <w:rsid w:val="00C64B43"/>
    <w:rsid w:val="00C64B56"/>
    <w:rsid w:val="00C64B7F"/>
    <w:rsid w:val="00C64BFF"/>
    <w:rsid w:val="00C64C19"/>
    <w:rsid w:val="00C64C32"/>
    <w:rsid w:val="00C64DF6"/>
    <w:rsid w:val="00C64EF5"/>
    <w:rsid w:val="00C65010"/>
    <w:rsid w:val="00C6532F"/>
    <w:rsid w:val="00C653ED"/>
    <w:rsid w:val="00C65435"/>
    <w:rsid w:val="00C654E4"/>
    <w:rsid w:val="00C65645"/>
    <w:rsid w:val="00C656D7"/>
    <w:rsid w:val="00C657DE"/>
    <w:rsid w:val="00C65846"/>
    <w:rsid w:val="00C6594F"/>
    <w:rsid w:val="00C6598F"/>
    <w:rsid w:val="00C659BA"/>
    <w:rsid w:val="00C65BF0"/>
    <w:rsid w:val="00C65DBA"/>
    <w:rsid w:val="00C65EC8"/>
    <w:rsid w:val="00C65F39"/>
    <w:rsid w:val="00C66137"/>
    <w:rsid w:val="00C6631E"/>
    <w:rsid w:val="00C66364"/>
    <w:rsid w:val="00C6646C"/>
    <w:rsid w:val="00C664F1"/>
    <w:rsid w:val="00C66507"/>
    <w:rsid w:val="00C6653D"/>
    <w:rsid w:val="00C66576"/>
    <w:rsid w:val="00C66699"/>
    <w:rsid w:val="00C667E9"/>
    <w:rsid w:val="00C66808"/>
    <w:rsid w:val="00C669AB"/>
    <w:rsid w:val="00C66A51"/>
    <w:rsid w:val="00C66B25"/>
    <w:rsid w:val="00C66B64"/>
    <w:rsid w:val="00C66C6B"/>
    <w:rsid w:val="00C66EA2"/>
    <w:rsid w:val="00C66F3E"/>
    <w:rsid w:val="00C6714E"/>
    <w:rsid w:val="00C6715A"/>
    <w:rsid w:val="00C671C6"/>
    <w:rsid w:val="00C67288"/>
    <w:rsid w:val="00C67312"/>
    <w:rsid w:val="00C673EE"/>
    <w:rsid w:val="00C67799"/>
    <w:rsid w:val="00C67891"/>
    <w:rsid w:val="00C678AC"/>
    <w:rsid w:val="00C679A3"/>
    <w:rsid w:val="00C67B03"/>
    <w:rsid w:val="00C702CE"/>
    <w:rsid w:val="00C704E9"/>
    <w:rsid w:val="00C705ED"/>
    <w:rsid w:val="00C70836"/>
    <w:rsid w:val="00C708F9"/>
    <w:rsid w:val="00C70A12"/>
    <w:rsid w:val="00C70A8E"/>
    <w:rsid w:val="00C70A98"/>
    <w:rsid w:val="00C70AB1"/>
    <w:rsid w:val="00C70AB3"/>
    <w:rsid w:val="00C70AC9"/>
    <w:rsid w:val="00C70B42"/>
    <w:rsid w:val="00C70BDF"/>
    <w:rsid w:val="00C70CE3"/>
    <w:rsid w:val="00C70F9C"/>
    <w:rsid w:val="00C71013"/>
    <w:rsid w:val="00C7122A"/>
    <w:rsid w:val="00C713B4"/>
    <w:rsid w:val="00C7142A"/>
    <w:rsid w:val="00C7163C"/>
    <w:rsid w:val="00C71785"/>
    <w:rsid w:val="00C71791"/>
    <w:rsid w:val="00C71C4C"/>
    <w:rsid w:val="00C71D81"/>
    <w:rsid w:val="00C71E40"/>
    <w:rsid w:val="00C71F6E"/>
    <w:rsid w:val="00C72418"/>
    <w:rsid w:val="00C7250C"/>
    <w:rsid w:val="00C726A8"/>
    <w:rsid w:val="00C72750"/>
    <w:rsid w:val="00C72816"/>
    <w:rsid w:val="00C7286A"/>
    <w:rsid w:val="00C728AA"/>
    <w:rsid w:val="00C72933"/>
    <w:rsid w:val="00C729AA"/>
    <w:rsid w:val="00C72A24"/>
    <w:rsid w:val="00C72BED"/>
    <w:rsid w:val="00C72BF6"/>
    <w:rsid w:val="00C72CDE"/>
    <w:rsid w:val="00C72D04"/>
    <w:rsid w:val="00C7301D"/>
    <w:rsid w:val="00C7331A"/>
    <w:rsid w:val="00C73452"/>
    <w:rsid w:val="00C735FB"/>
    <w:rsid w:val="00C73661"/>
    <w:rsid w:val="00C73DCC"/>
    <w:rsid w:val="00C73F88"/>
    <w:rsid w:val="00C741BB"/>
    <w:rsid w:val="00C743BF"/>
    <w:rsid w:val="00C744F5"/>
    <w:rsid w:val="00C745CC"/>
    <w:rsid w:val="00C74975"/>
    <w:rsid w:val="00C74A27"/>
    <w:rsid w:val="00C74B6C"/>
    <w:rsid w:val="00C74BFC"/>
    <w:rsid w:val="00C74ED7"/>
    <w:rsid w:val="00C74FE4"/>
    <w:rsid w:val="00C74FFF"/>
    <w:rsid w:val="00C75238"/>
    <w:rsid w:val="00C75414"/>
    <w:rsid w:val="00C75455"/>
    <w:rsid w:val="00C7547F"/>
    <w:rsid w:val="00C755BE"/>
    <w:rsid w:val="00C755D2"/>
    <w:rsid w:val="00C75608"/>
    <w:rsid w:val="00C75618"/>
    <w:rsid w:val="00C757E3"/>
    <w:rsid w:val="00C759FE"/>
    <w:rsid w:val="00C75A08"/>
    <w:rsid w:val="00C75A51"/>
    <w:rsid w:val="00C75A9B"/>
    <w:rsid w:val="00C75D3F"/>
    <w:rsid w:val="00C75E2F"/>
    <w:rsid w:val="00C75F6E"/>
    <w:rsid w:val="00C76027"/>
    <w:rsid w:val="00C76160"/>
    <w:rsid w:val="00C763C9"/>
    <w:rsid w:val="00C7647A"/>
    <w:rsid w:val="00C767B0"/>
    <w:rsid w:val="00C76918"/>
    <w:rsid w:val="00C7691F"/>
    <w:rsid w:val="00C76950"/>
    <w:rsid w:val="00C76B37"/>
    <w:rsid w:val="00C76BE7"/>
    <w:rsid w:val="00C76C86"/>
    <w:rsid w:val="00C76CEF"/>
    <w:rsid w:val="00C76E24"/>
    <w:rsid w:val="00C7707E"/>
    <w:rsid w:val="00C771C7"/>
    <w:rsid w:val="00C772DA"/>
    <w:rsid w:val="00C7742F"/>
    <w:rsid w:val="00C7748B"/>
    <w:rsid w:val="00C77557"/>
    <w:rsid w:val="00C77593"/>
    <w:rsid w:val="00C775E9"/>
    <w:rsid w:val="00C7760A"/>
    <w:rsid w:val="00C77658"/>
    <w:rsid w:val="00C776E2"/>
    <w:rsid w:val="00C777BC"/>
    <w:rsid w:val="00C778E2"/>
    <w:rsid w:val="00C779C3"/>
    <w:rsid w:val="00C77A55"/>
    <w:rsid w:val="00C77AAF"/>
    <w:rsid w:val="00C77BDC"/>
    <w:rsid w:val="00C77BF7"/>
    <w:rsid w:val="00C77C94"/>
    <w:rsid w:val="00C77CC9"/>
    <w:rsid w:val="00C77EEE"/>
    <w:rsid w:val="00C77FAB"/>
    <w:rsid w:val="00C80057"/>
    <w:rsid w:val="00C8005E"/>
    <w:rsid w:val="00C8011B"/>
    <w:rsid w:val="00C80245"/>
    <w:rsid w:val="00C802B6"/>
    <w:rsid w:val="00C802E6"/>
    <w:rsid w:val="00C8031C"/>
    <w:rsid w:val="00C8034A"/>
    <w:rsid w:val="00C80499"/>
    <w:rsid w:val="00C8064D"/>
    <w:rsid w:val="00C80682"/>
    <w:rsid w:val="00C80693"/>
    <w:rsid w:val="00C80BEA"/>
    <w:rsid w:val="00C80C8F"/>
    <w:rsid w:val="00C80CD3"/>
    <w:rsid w:val="00C80DF0"/>
    <w:rsid w:val="00C80EC1"/>
    <w:rsid w:val="00C80FE6"/>
    <w:rsid w:val="00C8100B"/>
    <w:rsid w:val="00C8121E"/>
    <w:rsid w:val="00C813A6"/>
    <w:rsid w:val="00C81537"/>
    <w:rsid w:val="00C815D6"/>
    <w:rsid w:val="00C817A0"/>
    <w:rsid w:val="00C8191E"/>
    <w:rsid w:val="00C81A92"/>
    <w:rsid w:val="00C81C0F"/>
    <w:rsid w:val="00C81D43"/>
    <w:rsid w:val="00C81D83"/>
    <w:rsid w:val="00C81D92"/>
    <w:rsid w:val="00C81DD6"/>
    <w:rsid w:val="00C81E2D"/>
    <w:rsid w:val="00C81E61"/>
    <w:rsid w:val="00C81F4E"/>
    <w:rsid w:val="00C820FC"/>
    <w:rsid w:val="00C82150"/>
    <w:rsid w:val="00C82184"/>
    <w:rsid w:val="00C82232"/>
    <w:rsid w:val="00C8240E"/>
    <w:rsid w:val="00C82788"/>
    <w:rsid w:val="00C82899"/>
    <w:rsid w:val="00C82913"/>
    <w:rsid w:val="00C8295A"/>
    <w:rsid w:val="00C829A7"/>
    <w:rsid w:val="00C82A34"/>
    <w:rsid w:val="00C82B90"/>
    <w:rsid w:val="00C82C11"/>
    <w:rsid w:val="00C82C14"/>
    <w:rsid w:val="00C82D74"/>
    <w:rsid w:val="00C82E7B"/>
    <w:rsid w:val="00C82F70"/>
    <w:rsid w:val="00C82FBB"/>
    <w:rsid w:val="00C83139"/>
    <w:rsid w:val="00C832B3"/>
    <w:rsid w:val="00C8332A"/>
    <w:rsid w:val="00C833FB"/>
    <w:rsid w:val="00C83523"/>
    <w:rsid w:val="00C83535"/>
    <w:rsid w:val="00C83625"/>
    <w:rsid w:val="00C83628"/>
    <w:rsid w:val="00C8366B"/>
    <w:rsid w:val="00C83727"/>
    <w:rsid w:val="00C8376A"/>
    <w:rsid w:val="00C839FA"/>
    <w:rsid w:val="00C83A48"/>
    <w:rsid w:val="00C83AF1"/>
    <w:rsid w:val="00C83C70"/>
    <w:rsid w:val="00C83CEE"/>
    <w:rsid w:val="00C83D41"/>
    <w:rsid w:val="00C83D97"/>
    <w:rsid w:val="00C83EA1"/>
    <w:rsid w:val="00C83FC9"/>
    <w:rsid w:val="00C83FCD"/>
    <w:rsid w:val="00C841F3"/>
    <w:rsid w:val="00C8427A"/>
    <w:rsid w:val="00C842D7"/>
    <w:rsid w:val="00C84369"/>
    <w:rsid w:val="00C84579"/>
    <w:rsid w:val="00C84665"/>
    <w:rsid w:val="00C848DA"/>
    <w:rsid w:val="00C8490E"/>
    <w:rsid w:val="00C84AA7"/>
    <w:rsid w:val="00C84B76"/>
    <w:rsid w:val="00C84E94"/>
    <w:rsid w:val="00C84EF2"/>
    <w:rsid w:val="00C84FBA"/>
    <w:rsid w:val="00C85046"/>
    <w:rsid w:val="00C852B8"/>
    <w:rsid w:val="00C853D8"/>
    <w:rsid w:val="00C85451"/>
    <w:rsid w:val="00C8547D"/>
    <w:rsid w:val="00C854E9"/>
    <w:rsid w:val="00C855A1"/>
    <w:rsid w:val="00C855A5"/>
    <w:rsid w:val="00C855FC"/>
    <w:rsid w:val="00C85639"/>
    <w:rsid w:val="00C856AD"/>
    <w:rsid w:val="00C8576D"/>
    <w:rsid w:val="00C857D0"/>
    <w:rsid w:val="00C857F7"/>
    <w:rsid w:val="00C85828"/>
    <w:rsid w:val="00C85841"/>
    <w:rsid w:val="00C8584B"/>
    <w:rsid w:val="00C85943"/>
    <w:rsid w:val="00C859D8"/>
    <w:rsid w:val="00C85A03"/>
    <w:rsid w:val="00C85B3F"/>
    <w:rsid w:val="00C85C18"/>
    <w:rsid w:val="00C85E79"/>
    <w:rsid w:val="00C85EDC"/>
    <w:rsid w:val="00C8666E"/>
    <w:rsid w:val="00C86710"/>
    <w:rsid w:val="00C86731"/>
    <w:rsid w:val="00C86759"/>
    <w:rsid w:val="00C867C9"/>
    <w:rsid w:val="00C86982"/>
    <w:rsid w:val="00C86BAB"/>
    <w:rsid w:val="00C86C79"/>
    <w:rsid w:val="00C86D27"/>
    <w:rsid w:val="00C86D64"/>
    <w:rsid w:val="00C86EAC"/>
    <w:rsid w:val="00C87111"/>
    <w:rsid w:val="00C871A0"/>
    <w:rsid w:val="00C871B0"/>
    <w:rsid w:val="00C87226"/>
    <w:rsid w:val="00C872B1"/>
    <w:rsid w:val="00C873C1"/>
    <w:rsid w:val="00C87558"/>
    <w:rsid w:val="00C87603"/>
    <w:rsid w:val="00C876C1"/>
    <w:rsid w:val="00C87706"/>
    <w:rsid w:val="00C878BA"/>
    <w:rsid w:val="00C87928"/>
    <w:rsid w:val="00C8797D"/>
    <w:rsid w:val="00C879C9"/>
    <w:rsid w:val="00C87A42"/>
    <w:rsid w:val="00C87AA4"/>
    <w:rsid w:val="00C87BFB"/>
    <w:rsid w:val="00C87C30"/>
    <w:rsid w:val="00C87C6B"/>
    <w:rsid w:val="00C87DE9"/>
    <w:rsid w:val="00C87F04"/>
    <w:rsid w:val="00C87FEB"/>
    <w:rsid w:val="00C900A9"/>
    <w:rsid w:val="00C900DD"/>
    <w:rsid w:val="00C90279"/>
    <w:rsid w:val="00C9050C"/>
    <w:rsid w:val="00C90622"/>
    <w:rsid w:val="00C90634"/>
    <w:rsid w:val="00C9091B"/>
    <w:rsid w:val="00C90BC8"/>
    <w:rsid w:val="00C90DA7"/>
    <w:rsid w:val="00C90DEF"/>
    <w:rsid w:val="00C90E20"/>
    <w:rsid w:val="00C90E78"/>
    <w:rsid w:val="00C90F10"/>
    <w:rsid w:val="00C90FCD"/>
    <w:rsid w:val="00C910C6"/>
    <w:rsid w:val="00C913A4"/>
    <w:rsid w:val="00C913F6"/>
    <w:rsid w:val="00C9147E"/>
    <w:rsid w:val="00C91545"/>
    <w:rsid w:val="00C915FB"/>
    <w:rsid w:val="00C91658"/>
    <w:rsid w:val="00C91750"/>
    <w:rsid w:val="00C9187A"/>
    <w:rsid w:val="00C918C5"/>
    <w:rsid w:val="00C91CAA"/>
    <w:rsid w:val="00C91E23"/>
    <w:rsid w:val="00C91E6C"/>
    <w:rsid w:val="00C92096"/>
    <w:rsid w:val="00C9227C"/>
    <w:rsid w:val="00C9228C"/>
    <w:rsid w:val="00C92308"/>
    <w:rsid w:val="00C92388"/>
    <w:rsid w:val="00C924BA"/>
    <w:rsid w:val="00C92536"/>
    <w:rsid w:val="00C9253B"/>
    <w:rsid w:val="00C9257D"/>
    <w:rsid w:val="00C9258A"/>
    <w:rsid w:val="00C925C6"/>
    <w:rsid w:val="00C927AA"/>
    <w:rsid w:val="00C927C4"/>
    <w:rsid w:val="00C928EA"/>
    <w:rsid w:val="00C92986"/>
    <w:rsid w:val="00C92A8A"/>
    <w:rsid w:val="00C92AE5"/>
    <w:rsid w:val="00C93074"/>
    <w:rsid w:val="00C930FF"/>
    <w:rsid w:val="00C93169"/>
    <w:rsid w:val="00C93183"/>
    <w:rsid w:val="00C9350C"/>
    <w:rsid w:val="00C93548"/>
    <w:rsid w:val="00C936D2"/>
    <w:rsid w:val="00C93730"/>
    <w:rsid w:val="00C9379E"/>
    <w:rsid w:val="00C937CA"/>
    <w:rsid w:val="00C93925"/>
    <w:rsid w:val="00C9396B"/>
    <w:rsid w:val="00C93A36"/>
    <w:rsid w:val="00C93A49"/>
    <w:rsid w:val="00C93A9E"/>
    <w:rsid w:val="00C93AC4"/>
    <w:rsid w:val="00C93AF3"/>
    <w:rsid w:val="00C93B50"/>
    <w:rsid w:val="00C93BCF"/>
    <w:rsid w:val="00C93CFC"/>
    <w:rsid w:val="00C93DBF"/>
    <w:rsid w:val="00C93DFF"/>
    <w:rsid w:val="00C93E20"/>
    <w:rsid w:val="00C93E46"/>
    <w:rsid w:val="00C93F2E"/>
    <w:rsid w:val="00C9412E"/>
    <w:rsid w:val="00C94165"/>
    <w:rsid w:val="00C94184"/>
    <w:rsid w:val="00C94250"/>
    <w:rsid w:val="00C94264"/>
    <w:rsid w:val="00C9429B"/>
    <w:rsid w:val="00C94360"/>
    <w:rsid w:val="00C9436A"/>
    <w:rsid w:val="00C94409"/>
    <w:rsid w:val="00C945A8"/>
    <w:rsid w:val="00C94606"/>
    <w:rsid w:val="00C94733"/>
    <w:rsid w:val="00C9480A"/>
    <w:rsid w:val="00C948C8"/>
    <w:rsid w:val="00C9490F"/>
    <w:rsid w:val="00C94923"/>
    <w:rsid w:val="00C9495A"/>
    <w:rsid w:val="00C94A43"/>
    <w:rsid w:val="00C94B6F"/>
    <w:rsid w:val="00C95012"/>
    <w:rsid w:val="00C95120"/>
    <w:rsid w:val="00C95161"/>
    <w:rsid w:val="00C951AE"/>
    <w:rsid w:val="00C951CF"/>
    <w:rsid w:val="00C9526D"/>
    <w:rsid w:val="00C952CF"/>
    <w:rsid w:val="00C95394"/>
    <w:rsid w:val="00C954F3"/>
    <w:rsid w:val="00C956F6"/>
    <w:rsid w:val="00C959D8"/>
    <w:rsid w:val="00C95AA1"/>
    <w:rsid w:val="00C95EC4"/>
    <w:rsid w:val="00C95F2C"/>
    <w:rsid w:val="00C9602C"/>
    <w:rsid w:val="00C960B7"/>
    <w:rsid w:val="00C96316"/>
    <w:rsid w:val="00C96366"/>
    <w:rsid w:val="00C964CD"/>
    <w:rsid w:val="00C9656B"/>
    <w:rsid w:val="00C96880"/>
    <w:rsid w:val="00C96A24"/>
    <w:rsid w:val="00C96B8B"/>
    <w:rsid w:val="00C96F2A"/>
    <w:rsid w:val="00C97076"/>
    <w:rsid w:val="00C97199"/>
    <w:rsid w:val="00C972B1"/>
    <w:rsid w:val="00C97353"/>
    <w:rsid w:val="00C973E4"/>
    <w:rsid w:val="00C97405"/>
    <w:rsid w:val="00C9756F"/>
    <w:rsid w:val="00C976E8"/>
    <w:rsid w:val="00C9793D"/>
    <w:rsid w:val="00C97A9E"/>
    <w:rsid w:val="00C97B60"/>
    <w:rsid w:val="00C97BDF"/>
    <w:rsid w:val="00C97C32"/>
    <w:rsid w:val="00C97C58"/>
    <w:rsid w:val="00C97C7D"/>
    <w:rsid w:val="00C97F32"/>
    <w:rsid w:val="00CA0059"/>
    <w:rsid w:val="00CA00B0"/>
    <w:rsid w:val="00CA0304"/>
    <w:rsid w:val="00CA030A"/>
    <w:rsid w:val="00CA0486"/>
    <w:rsid w:val="00CA0613"/>
    <w:rsid w:val="00CA08A7"/>
    <w:rsid w:val="00CA08B7"/>
    <w:rsid w:val="00CA08D1"/>
    <w:rsid w:val="00CA0C96"/>
    <w:rsid w:val="00CA0D26"/>
    <w:rsid w:val="00CA10E0"/>
    <w:rsid w:val="00CA14C1"/>
    <w:rsid w:val="00CA14D2"/>
    <w:rsid w:val="00CA15B4"/>
    <w:rsid w:val="00CA1673"/>
    <w:rsid w:val="00CA16E9"/>
    <w:rsid w:val="00CA1726"/>
    <w:rsid w:val="00CA1845"/>
    <w:rsid w:val="00CA18A2"/>
    <w:rsid w:val="00CA194F"/>
    <w:rsid w:val="00CA1B1A"/>
    <w:rsid w:val="00CA1B31"/>
    <w:rsid w:val="00CA1C57"/>
    <w:rsid w:val="00CA1D28"/>
    <w:rsid w:val="00CA1D39"/>
    <w:rsid w:val="00CA1D42"/>
    <w:rsid w:val="00CA1F3D"/>
    <w:rsid w:val="00CA1F52"/>
    <w:rsid w:val="00CA1F94"/>
    <w:rsid w:val="00CA204E"/>
    <w:rsid w:val="00CA238D"/>
    <w:rsid w:val="00CA24A1"/>
    <w:rsid w:val="00CA2667"/>
    <w:rsid w:val="00CA27FA"/>
    <w:rsid w:val="00CA2876"/>
    <w:rsid w:val="00CA2A29"/>
    <w:rsid w:val="00CA2B00"/>
    <w:rsid w:val="00CA2B02"/>
    <w:rsid w:val="00CA2B4D"/>
    <w:rsid w:val="00CA2BB1"/>
    <w:rsid w:val="00CA2BBF"/>
    <w:rsid w:val="00CA2CCE"/>
    <w:rsid w:val="00CA2D3C"/>
    <w:rsid w:val="00CA2DC8"/>
    <w:rsid w:val="00CA2F36"/>
    <w:rsid w:val="00CA3089"/>
    <w:rsid w:val="00CA308E"/>
    <w:rsid w:val="00CA3105"/>
    <w:rsid w:val="00CA33D9"/>
    <w:rsid w:val="00CA35A8"/>
    <w:rsid w:val="00CA35DA"/>
    <w:rsid w:val="00CA38A7"/>
    <w:rsid w:val="00CA39D0"/>
    <w:rsid w:val="00CA3AC9"/>
    <w:rsid w:val="00CA3ACA"/>
    <w:rsid w:val="00CA3AF9"/>
    <w:rsid w:val="00CA3B51"/>
    <w:rsid w:val="00CA3FCB"/>
    <w:rsid w:val="00CA42D0"/>
    <w:rsid w:val="00CA4367"/>
    <w:rsid w:val="00CA43FD"/>
    <w:rsid w:val="00CA45E2"/>
    <w:rsid w:val="00CA45F1"/>
    <w:rsid w:val="00CA46DB"/>
    <w:rsid w:val="00CA4753"/>
    <w:rsid w:val="00CA4A47"/>
    <w:rsid w:val="00CA4BF9"/>
    <w:rsid w:val="00CA4D07"/>
    <w:rsid w:val="00CA4D23"/>
    <w:rsid w:val="00CA4D9D"/>
    <w:rsid w:val="00CA4DBA"/>
    <w:rsid w:val="00CA4E7D"/>
    <w:rsid w:val="00CA4E80"/>
    <w:rsid w:val="00CA4E99"/>
    <w:rsid w:val="00CA4ED3"/>
    <w:rsid w:val="00CA4F46"/>
    <w:rsid w:val="00CA516B"/>
    <w:rsid w:val="00CA517D"/>
    <w:rsid w:val="00CA5247"/>
    <w:rsid w:val="00CA5484"/>
    <w:rsid w:val="00CA553D"/>
    <w:rsid w:val="00CA5545"/>
    <w:rsid w:val="00CA5852"/>
    <w:rsid w:val="00CA59F0"/>
    <w:rsid w:val="00CA5A8E"/>
    <w:rsid w:val="00CA5AA4"/>
    <w:rsid w:val="00CA5C29"/>
    <w:rsid w:val="00CA5C76"/>
    <w:rsid w:val="00CA6043"/>
    <w:rsid w:val="00CA60D0"/>
    <w:rsid w:val="00CA624E"/>
    <w:rsid w:val="00CA634A"/>
    <w:rsid w:val="00CA63DA"/>
    <w:rsid w:val="00CA64B7"/>
    <w:rsid w:val="00CA6562"/>
    <w:rsid w:val="00CA6721"/>
    <w:rsid w:val="00CA6757"/>
    <w:rsid w:val="00CA6861"/>
    <w:rsid w:val="00CA6BE6"/>
    <w:rsid w:val="00CA6C6F"/>
    <w:rsid w:val="00CA6D5D"/>
    <w:rsid w:val="00CA707C"/>
    <w:rsid w:val="00CA71BC"/>
    <w:rsid w:val="00CA72F9"/>
    <w:rsid w:val="00CA762E"/>
    <w:rsid w:val="00CA772C"/>
    <w:rsid w:val="00CA780C"/>
    <w:rsid w:val="00CA7ABC"/>
    <w:rsid w:val="00CA7C25"/>
    <w:rsid w:val="00CA7C9B"/>
    <w:rsid w:val="00CA7D87"/>
    <w:rsid w:val="00CA7DBB"/>
    <w:rsid w:val="00CA7E02"/>
    <w:rsid w:val="00CA7E0D"/>
    <w:rsid w:val="00CA7E41"/>
    <w:rsid w:val="00CA7E78"/>
    <w:rsid w:val="00CA7EAA"/>
    <w:rsid w:val="00CA7EE2"/>
    <w:rsid w:val="00CA7EF8"/>
    <w:rsid w:val="00CA7F6E"/>
    <w:rsid w:val="00CB0003"/>
    <w:rsid w:val="00CB013D"/>
    <w:rsid w:val="00CB0186"/>
    <w:rsid w:val="00CB028B"/>
    <w:rsid w:val="00CB0397"/>
    <w:rsid w:val="00CB052B"/>
    <w:rsid w:val="00CB067A"/>
    <w:rsid w:val="00CB068E"/>
    <w:rsid w:val="00CB06D7"/>
    <w:rsid w:val="00CB06DC"/>
    <w:rsid w:val="00CB092B"/>
    <w:rsid w:val="00CB092C"/>
    <w:rsid w:val="00CB0ABF"/>
    <w:rsid w:val="00CB0C1D"/>
    <w:rsid w:val="00CB0C57"/>
    <w:rsid w:val="00CB10D0"/>
    <w:rsid w:val="00CB1103"/>
    <w:rsid w:val="00CB11E9"/>
    <w:rsid w:val="00CB1259"/>
    <w:rsid w:val="00CB1439"/>
    <w:rsid w:val="00CB144C"/>
    <w:rsid w:val="00CB14CD"/>
    <w:rsid w:val="00CB1538"/>
    <w:rsid w:val="00CB15F5"/>
    <w:rsid w:val="00CB1832"/>
    <w:rsid w:val="00CB1836"/>
    <w:rsid w:val="00CB19C0"/>
    <w:rsid w:val="00CB19DE"/>
    <w:rsid w:val="00CB1C89"/>
    <w:rsid w:val="00CB1D56"/>
    <w:rsid w:val="00CB1DC6"/>
    <w:rsid w:val="00CB1E15"/>
    <w:rsid w:val="00CB2130"/>
    <w:rsid w:val="00CB2186"/>
    <w:rsid w:val="00CB21EC"/>
    <w:rsid w:val="00CB2221"/>
    <w:rsid w:val="00CB223E"/>
    <w:rsid w:val="00CB226A"/>
    <w:rsid w:val="00CB2345"/>
    <w:rsid w:val="00CB243A"/>
    <w:rsid w:val="00CB251F"/>
    <w:rsid w:val="00CB26CB"/>
    <w:rsid w:val="00CB2751"/>
    <w:rsid w:val="00CB28B7"/>
    <w:rsid w:val="00CB28F7"/>
    <w:rsid w:val="00CB2947"/>
    <w:rsid w:val="00CB2997"/>
    <w:rsid w:val="00CB2C02"/>
    <w:rsid w:val="00CB2C33"/>
    <w:rsid w:val="00CB2C38"/>
    <w:rsid w:val="00CB2DCB"/>
    <w:rsid w:val="00CB2DF1"/>
    <w:rsid w:val="00CB2ECC"/>
    <w:rsid w:val="00CB2EF2"/>
    <w:rsid w:val="00CB3681"/>
    <w:rsid w:val="00CB388A"/>
    <w:rsid w:val="00CB399F"/>
    <w:rsid w:val="00CB3A32"/>
    <w:rsid w:val="00CB3A5A"/>
    <w:rsid w:val="00CB3ABD"/>
    <w:rsid w:val="00CB3B46"/>
    <w:rsid w:val="00CB3B62"/>
    <w:rsid w:val="00CB3CA9"/>
    <w:rsid w:val="00CB3DB8"/>
    <w:rsid w:val="00CB3E3C"/>
    <w:rsid w:val="00CB3F69"/>
    <w:rsid w:val="00CB3F79"/>
    <w:rsid w:val="00CB4132"/>
    <w:rsid w:val="00CB41EC"/>
    <w:rsid w:val="00CB4358"/>
    <w:rsid w:val="00CB4374"/>
    <w:rsid w:val="00CB43AD"/>
    <w:rsid w:val="00CB4403"/>
    <w:rsid w:val="00CB4482"/>
    <w:rsid w:val="00CB44B8"/>
    <w:rsid w:val="00CB44D0"/>
    <w:rsid w:val="00CB44FC"/>
    <w:rsid w:val="00CB479F"/>
    <w:rsid w:val="00CB4AA9"/>
    <w:rsid w:val="00CB4C66"/>
    <w:rsid w:val="00CB4C86"/>
    <w:rsid w:val="00CB4D58"/>
    <w:rsid w:val="00CB4D7D"/>
    <w:rsid w:val="00CB4EDC"/>
    <w:rsid w:val="00CB4F94"/>
    <w:rsid w:val="00CB4FC8"/>
    <w:rsid w:val="00CB50F6"/>
    <w:rsid w:val="00CB510A"/>
    <w:rsid w:val="00CB525E"/>
    <w:rsid w:val="00CB537A"/>
    <w:rsid w:val="00CB5475"/>
    <w:rsid w:val="00CB54C4"/>
    <w:rsid w:val="00CB5528"/>
    <w:rsid w:val="00CB5535"/>
    <w:rsid w:val="00CB575C"/>
    <w:rsid w:val="00CB57B9"/>
    <w:rsid w:val="00CB5861"/>
    <w:rsid w:val="00CB58B2"/>
    <w:rsid w:val="00CB5933"/>
    <w:rsid w:val="00CB5AB2"/>
    <w:rsid w:val="00CB5B97"/>
    <w:rsid w:val="00CB5D04"/>
    <w:rsid w:val="00CB5D3B"/>
    <w:rsid w:val="00CB5DB4"/>
    <w:rsid w:val="00CB5E4F"/>
    <w:rsid w:val="00CB5F4A"/>
    <w:rsid w:val="00CB5F8E"/>
    <w:rsid w:val="00CB5FB8"/>
    <w:rsid w:val="00CB5FC2"/>
    <w:rsid w:val="00CB605D"/>
    <w:rsid w:val="00CB61A9"/>
    <w:rsid w:val="00CB6487"/>
    <w:rsid w:val="00CB64D6"/>
    <w:rsid w:val="00CB6537"/>
    <w:rsid w:val="00CB66CE"/>
    <w:rsid w:val="00CB6710"/>
    <w:rsid w:val="00CB689D"/>
    <w:rsid w:val="00CB6963"/>
    <w:rsid w:val="00CB6993"/>
    <w:rsid w:val="00CB6DD5"/>
    <w:rsid w:val="00CB6DFA"/>
    <w:rsid w:val="00CB6E74"/>
    <w:rsid w:val="00CB6E80"/>
    <w:rsid w:val="00CB7413"/>
    <w:rsid w:val="00CB7507"/>
    <w:rsid w:val="00CB7572"/>
    <w:rsid w:val="00CB75EE"/>
    <w:rsid w:val="00CB77DD"/>
    <w:rsid w:val="00CB793C"/>
    <w:rsid w:val="00CB7C3B"/>
    <w:rsid w:val="00CB7C4B"/>
    <w:rsid w:val="00CB7C79"/>
    <w:rsid w:val="00CB7F15"/>
    <w:rsid w:val="00CB7F1D"/>
    <w:rsid w:val="00CB7F29"/>
    <w:rsid w:val="00CC0135"/>
    <w:rsid w:val="00CC017B"/>
    <w:rsid w:val="00CC017F"/>
    <w:rsid w:val="00CC029B"/>
    <w:rsid w:val="00CC03C7"/>
    <w:rsid w:val="00CC0478"/>
    <w:rsid w:val="00CC0626"/>
    <w:rsid w:val="00CC062D"/>
    <w:rsid w:val="00CC06DF"/>
    <w:rsid w:val="00CC0732"/>
    <w:rsid w:val="00CC0952"/>
    <w:rsid w:val="00CC0994"/>
    <w:rsid w:val="00CC0B53"/>
    <w:rsid w:val="00CC0CCD"/>
    <w:rsid w:val="00CC0D0F"/>
    <w:rsid w:val="00CC0DE4"/>
    <w:rsid w:val="00CC0DFB"/>
    <w:rsid w:val="00CC0EB8"/>
    <w:rsid w:val="00CC0ECA"/>
    <w:rsid w:val="00CC0F88"/>
    <w:rsid w:val="00CC0FF1"/>
    <w:rsid w:val="00CC1190"/>
    <w:rsid w:val="00CC11CA"/>
    <w:rsid w:val="00CC1204"/>
    <w:rsid w:val="00CC138A"/>
    <w:rsid w:val="00CC13B5"/>
    <w:rsid w:val="00CC13BD"/>
    <w:rsid w:val="00CC140E"/>
    <w:rsid w:val="00CC15F9"/>
    <w:rsid w:val="00CC176B"/>
    <w:rsid w:val="00CC18C4"/>
    <w:rsid w:val="00CC19F5"/>
    <w:rsid w:val="00CC1AC0"/>
    <w:rsid w:val="00CC1B35"/>
    <w:rsid w:val="00CC1C50"/>
    <w:rsid w:val="00CC1D9E"/>
    <w:rsid w:val="00CC1DB9"/>
    <w:rsid w:val="00CC1E32"/>
    <w:rsid w:val="00CC1EF3"/>
    <w:rsid w:val="00CC1F03"/>
    <w:rsid w:val="00CC1F15"/>
    <w:rsid w:val="00CC1FC5"/>
    <w:rsid w:val="00CC2045"/>
    <w:rsid w:val="00CC213A"/>
    <w:rsid w:val="00CC22AB"/>
    <w:rsid w:val="00CC2531"/>
    <w:rsid w:val="00CC2616"/>
    <w:rsid w:val="00CC2631"/>
    <w:rsid w:val="00CC269C"/>
    <w:rsid w:val="00CC2896"/>
    <w:rsid w:val="00CC2906"/>
    <w:rsid w:val="00CC290F"/>
    <w:rsid w:val="00CC293C"/>
    <w:rsid w:val="00CC2ADE"/>
    <w:rsid w:val="00CC2C4E"/>
    <w:rsid w:val="00CC2D2A"/>
    <w:rsid w:val="00CC2E06"/>
    <w:rsid w:val="00CC2E6B"/>
    <w:rsid w:val="00CC2FAF"/>
    <w:rsid w:val="00CC2FC9"/>
    <w:rsid w:val="00CC3003"/>
    <w:rsid w:val="00CC3017"/>
    <w:rsid w:val="00CC32E2"/>
    <w:rsid w:val="00CC33F0"/>
    <w:rsid w:val="00CC359F"/>
    <w:rsid w:val="00CC36CE"/>
    <w:rsid w:val="00CC37C0"/>
    <w:rsid w:val="00CC382B"/>
    <w:rsid w:val="00CC3933"/>
    <w:rsid w:val="00CC3B97"/>
    <w:rsid w:val="00CC3C50"/>
    <w:rsid w:val="00CC3C7C"/>
    <w:rsid w:val="00CC3D57"/>
    <w:rsid w:val="00CC3DDC"/>
    <w:rsid w:val="00CC3DF8"/>
    <w:rsid w:val="00CC3E8E"/>
    <w:rsid w:val="00CC3EAC"/>
    <w:rsid w:val="00CC3F46"/>
    <w:rsid w:val="00CC404B"/>
    <w:rsid w:val="00CC4194"/>
    <w:rsid w:val="00CC4247"/>
    <w:rsid w:val="00CC4487"/>
    <w:rsid w:val="00CC44A3"/>
    <w:rsid w:val="00CC466C"/>
    <w:rsid w:val="00CC4764"/>
    <w:rsid w:val="00CC489B"/>
    <w:rsid w:val="00CC4929"/>
    <w:rsid w:val="00CC4A1D"/>
    <w:rsid w:val="00CC4D70"/>
    <w:rsid w:val="00CC4D85"/>
    <w:rsid w:val="00CC4DB7"/>
    <w:rsid w:val="00CC4DF4"/>
    <w:rsid w:val="00CC4EE4"/>
    <w:rsid w:val="00CC4F6E"/>
    <w:rsid w:val="00CC51C0"/>
    <w:rsid w:val="00CC51F7"/>
    <w:rsid w:val="00CC5272"/>
    <w:rsid w:val="00CC5529"/>
    <w:rsid w:val="00CC554C"/>
    <w:rsid w:val="00CC55A1"/>
    <w:rsid w:val="00CC5768"/>
    <w:rsid w:val="00CC5796"/>
    <w:rsid w:val="00CC582A"/>
    <w:rsid w:val="00CC58DD"/>
    <w:rsid w:val="00CC5987"/>
    <w:rsid w:val="00CC5A5A"/>
    <w:rsid w:val="00CC5BEB"/>
    <w:rsid w:val="00CC5CA5"/>
    <w:rsid w:val="00CC5D4A"/>
    <w:rsid w:val="00CC5E0D"/>
    <w:rsid w:val="00CC5E16"/>
    <w:rsid w:val="00CC608F"/>
    <w:rsid w:val="00CC60AB"/>
    <w:rsid w:val="00CC60CE"/>
    <w:rsid w:val="00CC621D"/>
    <w:rsid w:val="00CC6237"/>
    <w:rsid w:val="00CC6300"/>
    <w:rsid w:val="00CC637A"/>
    <w:rsid w:val="00CC648D"/>
    <w:rsid w:val="00CC64FB"/>
    <w:rsid w:val="00CC6632"/>
    <w:rsid w:val="00CC675D"/>
    <w:rsid w:val="00CC6813"/>
    <w:rsid w:val="00CC68A1"/>
    <w:rsid w:val="00CC69AD"/>
    <w:rsid w:val="00CC6B84"/>
    <w:rsid w:val="00CC6B86"/>
    <w:rsid w:val="00CC6B94"/>
    <w:rsid w:val="00CC6E5C"/>
    <w:rsid w:val="00CC6E8D"/>
    <w:rsid w:val="00CC704E"/>
    <w:rsid w:val="00CC7150"/>
    <w:rsid w:val="00CC7184"/>
    <w:rsid w:val="00CC72AA"/>
    <w:rsid w:val="00CC72F6"/>
    <w:rsid w:val="00CC7339"/>
    <w:rsid w:val="00CC763B"/>
    <w:rsid w:val="00CC7769"/>
    <w:rsid w:val="00CC780A"/>
    <w:rsid w:val="00CC7A0D"/>
    <w:rsid w:val="00CC7A70"/>
    <w:rsid w:val="00CC7B0E"/>
    <w:rsid w:val="00CC7C02"/>
    <w:rsid w:val="00CC7E04"/>
    <w:rsid w:val="00CC7E2F"/>
    <w:rsid w:val="00CC7E76"/>
    <w:rsid w:val="00CC7E92"/>
    <w:rsid w:val="00CC7F87"/>
    <w:rsid w:val="00CD0055"/>
    <w:rsid w:val="00CD00BB"/>
    <w:rsid w:val="00CD00F4"/>
    <w:rsid w:val="00CD0138"/>
    <w:rsid w:val="00CD018E"/>
    <w:rsid w:val="00CD0377"/>
    <w:rsid w:val="00CD0418"/>
    <w:rsid w:val="00CD0482"/>
    <w:rsid w:val="00CD049A"/>
    <w:rsid w:val="00CD04C8"/>
    <w:rsid w:val="00CD0547"/>
    <w:rsid w:val="00CD0586"/>
    <w:rsid w:val="00CD05E0"/>
    <w:rsid w:val="00CD0735"/>
    <w:rsid w:val="00CD0882"/>
    <w:rsid w:val="00CD0AD3"/>
    <w:rsid w:val="00CD0C78"/>
    <w:rsid w:val="00CD0E8C"/>
    <w:rsid w:val="00CD0F36"/>
    <w:rsid w:val="00CD0F8A"/>
    <w:rsid w:val="00CD0FAA"/>
    <w:rsid w:val="00CD1015"/>
    <w:rsid w:val="00CD1160"/>
    <w:rsid w:val="00CD122B"/>
    <w:rsid w:val="00CD1321"/>
    <w:rsid w:val="00CD137A"/>
    <w:rsid w:val="00CD138A"/>
    <w:rsid w:val="00CD13AC"/>
    <w:rsid w:val="00CD1518"/>
    <w:rsid w:val="00CD162B"/>
    <w:rsid w:val="00CD1670"/>
    <w:rsid w:val="00CD1836"/>
    <w:rsid w:val="00CD185B"/>
    <w:rsid w:val="00CD1B70"/>
    <w:rsid w:val="00CD1B96"/>
    <w:rsid w:val="00CD1CFE"/>
    <w:rsid w:val="00CD1EAE"/>
    <w:rsid w:val="00CD1F52"/>
    <w:rsid w:val="00CD1FD4"/>
    <w:rsid w:val="00CD2192"/>
    <w:rsid w:val="00CD21D9"/>
    <w:rsid w:val="00CD2455"/>
    <w:rsid w:val="00CD2541"/>
    <w:rsid w:val="00CD255D"/>
    <w:rsid w:val="00CD269F"/>
    <w:rsid w:val="00CD2816"/>
    <w:rsid w:val="00CD289A"/>
    <w:rsid w:val="00CD28EC"/>
    <w:rsid w:val="00CD2B38"/>
    <w:rsid w:val="00CD2BA0"/>
    <w:rsid w:val="00CD2BCD"/>
    <w:rsid w:val="00CD2C1E"/>
    <w:rsid w:val="00CD2D42"/>
    <w:rsid w:val="00CD2D59"/>
    <w:rsid w:val="00CD2DED"/>
    <w:rsid w:val="00CD2F4F"/>
    <w:rsid w:val="00CD302B"/>
    <w:rsid w:val="00CD31A0"/>
    <w:rsid w:val="00CD33DE"/>
    <w:rsid w:val="00CD347F"/>
    <w:rsid w:val="00CD356D"/>
    <w:rsid w:val="00CD35CA"/>
    <w:rsid w:val="00CD3604"/>
    <w:rsid w:val="00CD3649"/>
    <w:rsid w:val="00CD37C1"/>
    <w:rsid w:val="00CD3811"/>
    <w:rsid w:val="00CD3862"/>
    <w:rsid w:val="00CD389D"/>
    <w:rsid w:val="00CD3A4C"/>
    <w:rsid w:val="00CD3AAC"/>
    <w:rsid w:val="00CD3B60"/>
    <w:rsid w:val="00CD3B88"/>
    <w:rsid w:val="00CD3C9D"/>
    <w:rsid w:val="00CD3CB2"/>
    <w:rsid w:val="00CD3DC1"/>
    <w:rsid w:val="00CD3E91"/>
    <w:rsid w:val="00CD3F2F"/>
    <w:rsid w:val="00CD3FEC"/>
    <w:rsid w:val="00CD40BB"/>
    <w:rsid w:val="00CD41BA"/>
    <w:rsid w:val="00CD4215"/>
    <w:rsid w:val="00CD4255"/>
    <w:rsid w:val="00CD4259"/>
    <w:rsid w:val="00CD429F"/>
    <w:rsid w:val="00CD42AA"/>
    <w:rsid w:val="00CD431D"/>
    <w:rsid w:val="00CD457F"/>
    <w:rsid w:val="00CD4700"/>
    <w:rsid w:val="00CD470A"/>
    <w:rsid w:val="00CD472D"/>
    <w:rsid w:val="00CD47B0"/>
    <w:rsid w:val="00CD48DB"/>
    <w:rsid w:val="00CD492C"/>
    <w:rsid w:val="00CD4AC0"/>
    <w:rsid w:val="00CD4B0E"/>
    <w:rsid w:val="00CD4B93"/>
    <w:rsid w:val="00CD4BBD"/>
    <w:rsid w:val="00CD4BEF"/>
    <w:rsid w:val="00CD4CA1"/>
    <w:rsid w:val="00CD500C"/>
    <w:rsid w:val="00CD5043"/>
    <w:rsid w:val="00CD51D6"/>
    <w:rsid w:val="00CD525F"/>
    <w:rsid w:val="00CD5355"/>
    <w:rsid w:val="00CD552B"/>
    <w:rsid w:val="00CD5574"/>
    <w:rsid w:val="00CD560F"/>
    <w:rsid w:val="00CD572E"/>
    <w:rsid w:val="00CD57A8"/>
    <w:rsid w:val="00CD59F8"/>
    <w:rsid w:val="00CD5A76"/>
    <w:rsid w:val="00CD5B67"/>
    <w:rsid w:val="00CD5B70"/>
    <w:rsid w:val="00CD5BB3"/>
    <w:rsid w:val="00CD5C73"/>
    <w:rsid w:val="00CD5C7D"/>
    <w:rsid w:val="00CD5D3F"/>
    <w:rsid w:val="00CD5DC0"/>
    <w:rsid w:val="00CD5E7F"/>
    <w:rsid w:val="00CD6048"/>
    <w:rsid w:val="00CD606B"/>
    <w:rsid w:val="00CD607F"/>
    <w:rsid w:val="00CD616D"/>
    <w:rsid w:val="00CD61DC"/>
    <w:rsid w:val="00CD6219"/>
    <w:rsid w:val="00CD62CC"/>
    <w:rsid w:val="00CD62DC"/>
    <w:rsid w:val="00CD65DB"/>
    <w:rsid w:val="00CD6899"/>
    <w:rsid w:val="00CD68C7"/>
    <w:rsid w:val="00CD68CA"/>
    <w:rsid w:val="00CD6937"/>
    <w:rsid w:val="00CD6946"/>
    <w:rsid w:val="00CD69B8"/>
    <w:rsid w:val="00CD69E9"/>
    <w:rsid w:val="00CD6A4D"/>
    <w:rsid w:val="00CD6AB6"/>
    <w:rsid w:val="00CD6B3C"/>
    <w:rsid w:val="00CD6BC5"/>
    <w:rsid w:val="00CD6BC6"/>
    <w:rsid w:val="00CD6FFC"/>
    <w:rsid w:val="00CD711E"/>
    <w:rsid w:val="00CD716F"/>
    <w:rsid w:val="00CD71AD"/>
    <w:rsid w:val="00CD7284"/>
    <w:rsid w:val="00CD736D"/>
    <w:rsid w:val="00CD73DE"/>
    <w:rsid w:val="00CD75BA"/>
    <w:rsid w:val="00CD7632"/>
    <w:rsid w:val="00CD76B7"/>
    <w:rsid w:val="00CD76ED"/>
    <w:rsid w:val="00CD7826"/>
    <w:rsid w:val="00CD782A"/>
    <w:rsid w:val="00CD7905"/>
    <w:rsid w:val="00CD7919"/>
    <w:rsid w:val="00CD793B"/>
    <w:rsid w:val="00CD7C0D"/>
    <w:rsid w:val="00CD7C9A"/>
    <w:rsid w:val="00CD7E60"/>
    <w:rsid w:val="00CD7EB8"/>
    <w:rsid w:val="00CD7ED1"/>
    <w:rsid w:val="00CD7ED4"/>
    <w:rsid w:val="00CE01FF"/>
    <w:rsid w:val="00CE0227"/>
    <w:rsid w:val="00CE02DB"/>
    <w:rsid w:val="00CE0355"/>
    <w:rsid w:val="00CE04AD"/>
    <w:rsid w:val="00CE05CF"/>
    <w:rsid w:val="00CE0662"/>
    <w:rsid w:val="00CE0741"/>
    <w:rsid w:val="00CE07C4"/>
    <w:rsid w:val="00CE0904"/>
    <w:rsid w:val="00CE0979"/>
    <w:rsid w:val="00CE09F8"/>
    <w:rsid w:val="00CE09FB"/>
    <w:rsid w:val="00CE0A06"/>
    <w:rsid w:val="00CE0B26"/>
    <w:rsid w:val="00CE0C42"/>
    <w:rsid w:val="00CE0CC2"/>
    <w:rsid w:val="00CE0E52"/>
    <w:rsid w:val="00CE10E9"/>
    <w:rsid w:val="00CE1349"/>
    <w:rsid w:val="00CE13CC"/>
    <w:rsid w:val="00CE1553"/>
    <w:rsid w:val="00CE157C"/>
    <w:rsid w:val="00CE1858"/>
    <w:rsid w:val="00CE1934"/>
    <w:rsid w:val="00CE1944"/>
    <w:rsid w:val="00CE1950"/>
    <w:rsid w:val="00CE1992"/>
    <w:rsid w:val="00CE1B6A"/>
    <w:rsid w:val="00CE1BAB"/>
    <w:rsid w:val="00CE1BB9"/>
    <w:rsid w:val="00CE1C76"/>
    <w:rsid w:val="00CE1D72"/>
    <w:rsid w:val="00CE1E0D"/>
    <w:rsid w:val="00CE1E3B"/>
    <w:rsid w:val="00CE1E8E"/>
    <w:rsid w:val="00CE1F36"/>
    <w:rsid w:val="00CE1FAF"/>
    <w:rsid w:val="00CE20F1"/>
    <w:rsid w:val="00CE211D"/>
    <w:rsid w:val="00CE2231"/>
    <w:rsid w:val="00CE2327"/>
    <w:rsid w:val="00CE23EB"/>
    <w:rsid w:val="00CE2468"/>
    <w:rsid w:val="00CE2484"/>
    <w:rsid w:val="00CE2910"/>
    <w:rsid w:val="00CE2957"/>
    <w:rsid w:val="00CE29FA"/>
    <w:rsid w:val="00CE2A91"/>
    <w:rsid w:val="00CE2B1D"/>
    <w:rsid w:val="00CE2B30"/>
    <w:rsid w:val="00CE2B80"/>
    <w:rsid w:val="00CE2E66"/>
    <w:rsid w:val="00CE2F1A"/>
    <w:rsid w:val="00CE2F49"/>
    <w:rsid w:val="00CE2F99"/>
    <w:rsid w:val="00CE3079"/>
    <w:rsid w:val="00CE31B7"/>
    <w:rsid w:val="00CE31E8"/>
    <w:rsid w:val="00CE331F"/>
    <w:rsid w:val="00CE33D3"/>
    <w:rsid w:val="00CE343D"/>
    <w:rsid w:val="00CE346F"/>
    <w:rsid w:val="00CE3558"/>
    <w:rsid w:val="00CE377D"/>
    <w:rsid w:val="00CE3835"/>
    <w:rsid w:val="00CE38B3"/>
    <w:rsid w:val="00CE39A4"/>
    <w:rsid w:val="00CE39E1"/>
    <w:rsid w:val="00CE3BAF"/>
    <w:rsid w:val="00CE3C62"/>
    <w:rsid w:val="00CE3CB6"/>
    <w:rsid w:val="00CE3D81"/>
    <w:rsid w:val="00CE3DD3"/>
    <w:rsid w:val="00CE3E59"/>
    <w:rsid w:val="00CE3F93"/>
    <w:rsid w:val="00CE4098"/>
    <w:rsid w:val="00CE4208"/>
    <w:rsid w:val="00CE4240"/>
    <w:rsid w:val="00CE425D"/>
    <w:rsid w:val="00CE42F8"/>
    <w:rsid w:val="00CE4325"/>
    <w:rsid w:val="00CE4359"/>
    <w:rsid w:val="00CE43E9"/>
    <w:rsid w:val="00CE4427"/>
    <w:rsid w:val="00CE4499"/>
    <w:rsid w:val="00CE470F"/>
    <w:rsid w:val="00CE479A"/>
    <w:rsid w:val="00CE4817"/>
    <w:rsid w:val="00CE48B0"/>
    <w:rsid w:val="00CE49CE"/>
    <w:rsid w:val="00CE4A06"/>
    <w:rsid w:val="00CE4BD2"/>
    <w:rsid w:val="00CE4BDC"/>
    <w:rsid w:val="00CE4D22"/>
    <w:rsid w:val="00CE4E4A"/>
    <w:rsid w:val="00CE4F59"/>
    <w:rsid w:val="00CE4F5C"/>
    <w:rsid w:val="00CE4FF7"/>
    <w:rsid w:val="00CE50B8"/>
    <w:rsid w:val="00CE50DC"/>
    <w:rsid w:val="00CE511C"/>
    <w:rsid w:val="00CE515F"/>
    <w:rsid w:val="00CE52B3"/>
    <w:rsid w:val="00CE52B7"/>
    <w:rsid w:val="00CE5393"/>
    <w:rsid w:val="00CE554D"/>
    <w:rsid w:val="00CE5819"/>
    <w:rsid w:val="00CE5B1A"/>
    <w:rsid w:val="00CE5C03"/>
    <w:rsid w:val="00CE5C81"/>
    <w:rsid w:val="00CE5C86"/>
    <w:rsid w:val="00CE5EF9"/>
    <w:rsid w:val="00CE5FDB"/>
    <w:rsid w:val="00CE6000"/>
    <w:rsid w:val="00CE6047"/>
    <w:rsid w:val="00CE60DD"/>
    <w:rsid w:val="00CE60FB"/>
    <w:rsid w:val="00CE6395"/>
    <w:rsid w:val="00CE6530"/>
    <w:rsid w:val="00CE656A"/>
    <w:rsid w:val="00CE66FF"/>
    <w:rsid w:val="00CE6737"/>
    <w:rsid w:val="00CE674C"/>
    <w:rsid w:val="00CE67A2"/>
    <w:rsid w:val="00CE67C1"/>
    <w:rsid w:val="00CE67F5"/>
    <w:rsid w:val="00CE682E"/>
    <w:rsid w:val="00CE6883"/>
    <w:rsid w:val="00CE68CC"/>
    <w:rsid w:val="00CE6939"/>
    <w:rsid w:val="00CE69D8"/>
    <w:rsid w:val="00CE6AC1"/>
    <w:rsid w:val="00CE6D71"/>
    <w:rsid w:val="00CE7063"/>
    <w:rsid w:val="00CE7085"/>
    <w:rsid w:val="00CE72F3"/>
    <w:rsid w:val="00CE7370"/>
    <w:rsid w:val="00CE744C"/>
    <w:rsid w:val="00CE747F"/>
    <w:rsid w:val="00CE751E"/>
    <w:rsid w:val="00CE759F"/>
    <w:rsid w:val="00CE7692"/>
    <w:rsid w:val="00CE7782"/>
    <w:rsid w:val="00CE780C"/>
    <w:rsid w:val="00CE7928"/>
    <w:rsid w:val="00CE7971"/>
    <w:rsid w:val="00CE7984"/>
    <w:rsid w:val="00CE7992"/>
    <w:rsid w:val="00CE7BD3"/>
    <w:rsid w:val="00CE7CC7"/>
    <w:rsid w:val="00CE7DA8"/>
    <w:rsid w:val="00CE7DEE"/>
    <w:rsid w:val="00CE7E07"/>
    <w:rsid w:val="00CE7F01"/>
    <w:rsid w:val="00CE7F5A"/>
    <w:rsid w:val="00CF017E"/>
    <w:rsid w:val="00CF03F3"/>
    <w:rsid w:val="00CF0406"/>
    <w:rsid w:val="00CF04BC"/>
    <w:rsid w:val="00CF04DC"/>
    <w:rsid w:val="00CF08BF"/>
    <w:rsid w:val="00CF08DC"/>
    <w:rsid w:val="00CF0C7A"/>
    <w:rsid w:val="00CF0F59"/>
    <w:rsid w:val="00CF102C"/>
    <w:rsid w:val="00CF10F8"/>
    <w:rsid w:val="00CF11C0"/>
    <w:rsid w:val="00CF11F7"/>
    <w:rsid w:val="00CF127F"/>
    <w:rsid w:val="00CF13BA"/>
    <w:rsid w:val="00CF1464"/>
    <w:rsid w:val="00CF1481"/>
    <w:rsid w:val="00CF14F1"/>
    <w:rsid w:val="00CF17F5"/>
    <w:rsid w:val="00CF1803"/>
    <w:rsid w:val="00CF1889"/>
    <w:rsid w:val="00CF189F"/>
    <w:rsid w:val="00CF1989"/>
    <w:rsid w:val="00CF19C1"/>
    <w:rsid w:val="00CF1A0B"/>
    <w:rsid w:val="00CF1B8F"/>
    <w:rsid w:val="00CF1BEA"/>
    <w:rsid w:val="00CF1C16"/>
    <w:rsid w:val="00CF1C5F"/>
    <w:rsid w:val="00CF1C89"/>
    <w:rsid w:val="00CF1E55"/>
    <w:rsid w:val="00CF1F17"/>
    <w:rsid w:val="00CF1FCB"/>
    <w:rsid w:val="00CF2079"/>
    <w:rsid w:val="00CF20AB"/>
    <w:rsid w:val="00CF20F6"/>
    <w:rsid w:val="00CF211C"/>
    <w:rsid w:val="00CF221C"/>
    <w:rsid w:val="00CF225C"/>
    <w:rsid w:val="00CF22F1"/>
    <w:rsid w:val="00CF2325"/>
    <w:rsid w:val="00CF2802"/>
    <w:rsid w:val="00CF287A"/>
    <w:rsid w:val="00CF28CF"/>
    <w:rsid w:val="00CF28F9"/>
    <w:rsid w:val="00CF2997"/>
    <w:rsid w:val="00CF2B8C"/>
    <w:rsid w:val="00CF2D7C"/>
    <w:rsid w:val="00CF2E08"/>
    <w:rsid w:val="00CF2F0E"/>
    <w:rsid w:val="00CF30D1"/>
    <w:rsid w:val="00CF30ED"/>
    <w:rsid w:val="00CF31C4"/>
    <w:rsid w:val="00CF335F"/>
    <w:rsid w:val="00CF3363"/>
    <w:rsid w:val="00CF3515"/>
    <w:rsid w:val="00CF3585"/>
    <w:rsid w:val="00CF35E1"/>
    <w:rsid w:val="00CF361F"/>
    <w:rsid w:val="00CF36BE"/>
    <w:rsid w:val="00CF37CA"/>
    <w:rsid w:val="00CF39BC"/>
    <w:rsid w:val="00CF3BCF"/>
    <w:rsid w:val="00CF3C55"/>
    <w:rsid w:val="00CF3F65"/>
    <w:rsid w:val="00CF3FAD"/>
    <w:rsid w:val="00CF4098"/>
    <w:rsid w:val="00CF423E"/>
    <w:rsid w:val="00CF42EB"/>
    <w:rsid w:val="00CF43F9"/>
    <w:rsid w:val="00CF4517"/>
    <w:rsid w:val="00CF45FE"/>
    <w:rsid w:val="00CF477C"/>
    <w:rsid w:val="00CF49A9"/>
    <w:rsid w:val="00CF4A5E"/>
    <w:rsid w:val="00CF4BCB"/>
    <w:rsid w:val="00CF4CBC"/>
    <w:rsid w:val="00CF4D04"/>
    <w:rsid w:val="00CF4DDE"/>
    <w:rsid w:val="00CF4ED8"/>
    <w:rsid w:val="00CF4F91"/>
    <w:rsid w:val="00CF512F"/>
    <w:rsid w:val="00CF513D"/>
    <w:rsid w:val="00CF51DE"/>
    <w:rsid w:val="00CF522E"/>
    <w:rsid w:val="00CF5231"/>
    <w:rsid w:val="00CF5341"/>
    <w:rsid w:val="00CF5423"/>
    <w:rsid w:val="00CF5434"/>
    <w:rsid w:val="00CF5524"/>
    <w:rsid w:val="00CF554F"/>
    <w:rsid w:val="00CF55A2"/>
    <w:rsid w:val="00CF5AB1"/>
    <w:rsid w:val="00CF5C45"/>
    <w:rsid w:val="00CF5CBD"/>
    <w:rsid w:val="00CF5EBA"/>
    <w:rsid w:val="00CF5FD6"/>
    <w:rsid w:val="00CF6000"/>
    <w:rsid w:val="00CF669D"/>
    <w:rsid w:val="00CF6786"/>
    <w:rsid w:val="00CF6AB4"/>
    <w:rsid w:val="00CF6C20"/>
    <w:rsid w:val="00CF6C33"/>
    <w:rsid w:val="00CF6E59"/>
    <w:rsid w:val="00CF6E9B"/>
    <w:rsid w:val="00CF7202"/>
    <w:rsid w:val="00CF7284"/>
    <w:rsid w:val="00CF729D"/>
    <w:rsid w:val="00CF7404"/>
    <w:rsid w:val="00CF7456"/>
    <w:rsid w:val="00CF7783"/>
    <w:rsid w:val="00CF792B"/>
    <w:rsid w:val="00CF798F"/>
    <w:rsid w:val="00CF7A84"/>
    <w:rsid w:val="00CF7C4D"/>
    <w:rsid w:val="00CF7D11"/>
    <w:rsid w:val="00D000A1"/>
    <w:rsid w:val="00D001D4"/>
    <w:rsid w:val="00D0021C"/>
    <w:rsid w:val="00D0030E"/>
    <w:rsid w:val="00D003F3"/>
    <w:rsid w:val="00D00450"/>
    <w:rsid w:val="00D00591"/>
    <w:rsid w:val="00D00742"/>
    <w:rsid w:val="00D00ADA"/>
    <w:rsid w:val="00D0100E"/>
    <w:rsid w:val="00D0114D"/>
    <w:rsid w:val="00D011F5"/>
    <w:rsid w:val="00D0131F"/>
    <w:rsid w:val="00D013C6"/>
    <w:rsid w:val="00D01565"/>
    <w:rsid w:val="00D016A8"/>
    <w:rsid w:val="00D018CF"/>
    <w:rsid w:val="00D01B35"/>
    <w:rsid w:val="00D01C80"/>
    <w:rsid w:val="00D01D8A"/>
    <w:rsid w:val="00D01DA9"/>
    <w:rsid w:val="00D01FEA"/>
    <w:rsid w:val="00D02026"/>
    <w:rsid w:val="00D02257"/>
    <w:rsid w:val="00D022F7"/>
    <w:rsid w:val="00D02305"/>
    <w:rsid w:val="00D02452"/>
    <w:rsid w:val="00D025B9"/>
    <w:rsid w:val="00D025D9"/>
    <w:rsid w:val="00D02607"/>
    <w:rsid w:val="00D02648"/>
    <w:rsid w:val="00D02692"/>
    <w:rsid w:val="00D02A85"/>
    <w:rsid w:val="00D02CB6"/>
    <w:rsid w:val="00D02D6F"/>
    <w:rsid w:val="00D02E47"/>
    <w:rsid w:val="00D03002"/>
    <w:rsid w:val="00D03051"/>
    <w:rsid w:val="00D0306E"/>
    <w:rsid w:val="00D03125"/>
    <w:rsid w:val="00D03157"/>
    <w:rsid w:val="00D03341"/>
    <w:rsid w:val="00D033B5"/>
    <w:rsid w:val="00D033E2"/>
    <w:rsid w:val="00D03537"/>
    <w:rsid w:val="00D03622"/>
    <w:rsid w:val="00D0364F"/>
    <w:rsid w:val="00D0373F"/>
    <w:rsid w:val="00D038AA"/>
    <w:rsid w:val="00D038D1"/>
    <w:rsid w:val="00D03A0E"/>
    <w:rsid w:val="00D03B49"/>
    <w:rsid w:val="00D03CD3"/>
    <w:rsid w:val="00D03D2D"/>
    <w:rsid w:val="00D03DAC"/>
    <w:rsid w:val="00D03E94"/>
    <w:rsid w:val="00D03F89"/>
    <w:rsid w:val="00D03FCE"/>
    <w:rsid w:val="00D0405F"/>
    <w:rsid w:val="00D04093"/>
    <w:rsid w:val="00D042CC"/>
    <w:rsid w:val="00D04396"/>
    <w:rsid w:val="00D0458E"/>
    <w:rsid w:val="00D04650"/>
    <w:rsid w:val="00D047D2"/>
    <w:rsid w:val="00D0482F"/>
    <w:rsid w:val="00D04903"/>
    <w:rsid w:val="00D049DE"/>
    <w:rsid w:val="00D049E3"/>
    <w:rsid w:val="00D049E5"/>
    <w:rsid w:val="00D04A0B"/>
    <w:rsid w:val="00D04CED"/>
    <w:rsid w:val="00D04DC6"/>
    <w:rsid w:val="00D04E1A"/>
    <w:rsid w:val="00D04E82"/>
    <w:rsid w:val="00D05068"/>
    <w:rsid w:val="00D05083"/>
    <w:rsid w:val="00D05104"/>
    <w:rsid w:val="00D05222"/>
    <w:rsid w:val="00D053B3"/>
    <w:rsid w:val="00D053DA"/>
    <w:rsid w:val="00D054F6"/>
    <w:rsid w:val="00D05535"/>
    <w:rsid w:val="00D05568"/>
    <w:rsid w:val="00D05659"/>
    <w:rsid w:val="00D057FF"/>
    <w:rsid w:val="00D059A3"/>
    <w:rsid w:val="00D05BC0"/>
    <w:rsid w:val="00D05BEE"/>
    <w:rsid w:val="00D05CCE"/>
    <w:rsid w:val="00D05F70"/>
    <w:rsid w:val="00D05FC1"/>
    <w:rsid w:val="00D06145"/>
    <w:rsid w:val="00D062DF"/>
    <w:rsid w:val="00D06300"/>
    <w:rsid w:val="00D063B1"/>
    <w:rsid w:val="00D063B4"/>
    <w:rsid w:val="00D067D3"/>
    <w:rsid w:val="00D06829"/>
    <w:rsid w:val="00D06834"/>
    <w:rsid w:val="00D068BF"/>
    <w:rsid w:val="00D06901"/>
    <w:rsid w:val="00D06977"/>
    <w:rsid w:val="00D069BD"/>
    <w:rsid w:val="00D06B97"/>
    <w:rsid w:val="00D06CA8"/>
    <w:rsid w:val="00D06CB0"/>
    <w:rsid w:val="00D06E87"/>
    <w:rsid w:val="00D06F65"/>
    <w:rsid w:val="00D0726F"/>
    <w:rsid w:val="00D0749C"/>
    <w:rsid w:val="00D07592"/>
    <w:rsid w:val="00D07621"/>
    <w:rsid w:val="00D0762F"/>
    <w:rsid w:val="00D07699"/>
    <w:rsid w:val="00D077A5"/>
    <w:rsid w:val="00D079E9"/>
    <w:rsid w:val="00D07B7F"/>
    <w:rsid w:val="00D07C05"/>
    <w:rsid w:val="00D07C9D"/>
    <w:rsid w:val="00D07F2F"/>
    <w:rsid w:val="00D07F3C"/>
    <w:rsid w:val="00D1000A"/>
    <w:rsid w:val="00D100BD"/>
    <w:rsid w:val="00D10198"/>
    <w:rsid w:val="00D1033F"/>
    <w:rsid w:val="00D105AE"/>
    <w:rsid w:val="00D106E3"/>
    <w:rsid w:val="00D107BF"/>
    <w:rsid w:val="00D108B4"/>
    <w:rsid w:val="00D10991"/>
    <w:rsid w:val="00D10A48"/>
    <w:rsid w:val="00D10C42"/>
    <w:rsid w:val="00D10CE1"/>
    <w:rsid w:val="00D10CF8"/>
    <w:rsid w:val="00D111DB"/>
    <w:rsid w:val="00D11224"/>
    <w:rsid w:val="00D11253"/>
    <w:rsid w:val="00D1137F"/>
    <w:rsid w:val="00D1158B"/>
    <w:rsid w:val="00D11596"/>
    <w:rsid w:val="00D11689"/>
    <w:rsid w:val="00D11767"/>
    <w:rsid w:val="00D11813"/>
    <w:rsid w:val="00D119B0"/>
    <w:rsid w:val="00D11A60"/>
    <w:rsid w:val="00D11BA9"/>
    <w:rsid w:val="00D11C7F"/>
    <w:rsid w:val="00D11DA0"/>
    <w:rsid w:val="00D11ECA"/>
    <w:rsid w:val="00D120B5"/>
    <w:rsid w:val="00D1212E"/>
    <w:rsid w:val="00D12193"/>
    <w:rsid w:val="00D12274"/>
    <w:rsid w:val="00D12290"/>
    <w:rsid w:val="00D122A7"/>
    <w:rsid w:val="00D124A5"/>
    <w:rsid w:val="00D12538"/>
    <w:rsid w:val="00D12571"/>
    <w:rsid w:val="00D125D2"/>
    <w:rsid w:val="00D1271A"/>
    <w:rsid w:val="00D12886"/>
    <w:rsid w:val="00D12969"/>
    <w:rsid w:val="00D12A91"/>
    <w:rsid w:val="00D12B17"/>
    <w:rsid w:val="00D12C51"/>
    <w:rsid w:val="00D12CE7"/>
    <w:rsid w:val="00D12E1A"/>
    <w:rsid w:val="00D130E1"/>
    <w:rsid w:val="00D13238"/>
    <w:rsid w:val="00D13437"/>
    <w:rsid w:val="00D13484"/>
    <w:rsid w:val="00D134FD"/>
    <w:rsid w:val="00D136EE"/>
    <w:rsid w:val="00D138C3"/>
    <w:rsid w:val="00D13ACD"/>
    <w:rsid w:val="00D13BDC"/>
    <w:rsid w:val="00D13D20"/>
    <w:rsid w:val="00D13F5F"/>
    <w:rsid w:val="00D14055"/>
    <w:rsid w:val="00D14112"/>
    <w:rsid w:val="00D142E9"/>
    <w:rsid w:val="00D14337"/>
    <w:rsid w:val="00D1435F"/>
    <w:rsid w:val="00D143E9"/>
    <w:rsid w:val="00D1445C"/>
    <w:rsid w:val="00D14794"/>
    <w:rsid w:val="00D14875"/>
    <w:rsid w:val="00D148E2"/>
    <w:rsid w:val="00D14B4D"/>
    <w:rsid w:val="00D14BA6"/>
    <w:rsid w:val="00D14D41"/>
    <w:rsid w:val="00D14D6E"/>
    <w:rsid w:val="00D14E69"/>
    <w:rsid w:val="00D150CE"/>
    <w:rsid w:val="00D150DF"/>
    <w:rsid w:val="00D15152"/>
    <w:rsid w:val="00D151FD"/>
    <w:rsid w:val="00D15207"/>
    <w:rsid w:val="00D1529B"/>
    <w:rsid w:val="00D15466"/>
    <w:rsid w:val="00D15788"/>
    <w:rsid w:val="00D15A24"/>
    <w:rsid w:val="00D15A9D"/>
    <w:rsid w:val="00D15AAE"/>
    <w:rsid w:val="00D15B24"/>
    <w:rsid w:val="00D15D66"/>
    <w:rsid w:val="00D15DF4"/>
    <w:rsid w:val="00D15E1D"/>
    <w:rsid w:val="00D15FCD"/>
    <w:rsid w:val="00D16144"/>
    <w:rsid w:val="00D1645F"/>
    <w:rsid w:val="00D164CC"/>
    <w:rsid w:val="00D1650F"/>
    <w:rsid w:val="00D165F1"/>
    <w:rsid w:val="00D166B7"/>
    <w:rsid w:val="00D166ED"/>
    <w:rsid w:val="00D16A55"/>
    <w:rsid w:val="00D16B06"/>
    <w:rsid w:val="00D16C7F"/>
    <w:rsid w:val="00D16C9A"/>
    <w:rsid w:val="00D16D34"/>
    <w:rsid w:val="00D16E2B"/>
    <w:rsid w:val="00D16FB0"/>
    <w:rsid w:val="00D171BE"/>
    <w:rsid w:val="00D17348"/>
    <w:rsid w:val="00D17682"/>
    <w:rsid w:val="00D1777C"/>
    <w:rsid w:val="00D177F4"/>
    <w:rsid w:val="00D17A60"/>
    <w:rsid w:val="00D17B01"/>
    <w:rsid w:val="00D17C98"/>
    <w:rsid w:val="00D17CC5"/>
    <w:rsid w:val="00D17EA7"/>
    <w:rsid w:val="00D200C4"/>
    <w:rsid w:val="00D20107"/>
    <w:rsid w:val="00D20143"/>
    <w:rsid w:val="00D201D6"/>
    <w:rsid w:val="00D205E6"/>
    <w:rsid w:val="00D2063A"/>
    <w:rsid w:val="00D20916"/>
    <w:rsid w:val="00D20963"/>
    <w:rsid w:val="00D20968"/>
    <w:rsid w:val="00D209F6"/>
    <w:rsid w:val="00D20B83"/>
    <w:rsid w:val="00D20BD9"/>
    <w:rsid w:val="00D20BF7"/>
    <w:rsid w:val="00D20C72"/>
    <w:rsid w:val="00D20DB7"/>
    <w:rsid w:val="00D20ECA"/>
    <w:rsid w:val="00D210FB"/>
    <w:rsid w:val="00D21178"/>
    <w:rsid w:val="00D211FD"/>
    <w:rsid w:val="00D21270"/>
    <w:rsid w:val="00D2134C"/>
    <w:rsid w:val="00D214BC"/>
    <w:rsid w:val="00D215FD"/>
    <w:rsid w:val="00D21731"/>
    <w:rsid w:val="00D21735"/>
    <w:rsid w:val="00D21880"/>
    <w:rsid w:val="00D21991"/>
    <w:rsid w:val="00D21A35"/>
    <w:rsid w:val="00D21A7C"/>
    <w:rsid w:val="00D21AC7"/>
    <w:rsid w:val="00D21DA9"/>
    <w:rsid w:val="00D21FA1"/>
    <w:rsid w:val="00D2213E"/>
    <w:rsid w:val="00D221CA"/>
    <w:rsid w:val="00D222FD"/>
    <w:rsid w:val="00D22345"/>
    <w:rsid w:val="00D22425"/>
    <w:rsid w:val="00D224BB"/>
    <w:rsid w:val="00D225F8"/>
    <w:rsid w:val="00D2260F"/>
    <w:rsid w:val="00D22851"/>
    <w:rsid w:val="00D22886"/>
    <w:rsid w:val="00D22930"/>
    <w:rsid w:val="00D22B7A"/>
    <w:rsid w:val="00D22D34"/>
    <w:rsid w:val="00D22E4D"/>
    <w:rsid w:val="00D231CA"/>
    <w:rsid w:val="00D23277"/>
    <w:rsid w:val="00D232A2"/>
    <w:rsid w:val="00D2331A"/>
    <w:rsid w:val="00D23400"/>
    <w:rsid w:val="00D23582"/>
    <w:rsid w:val="00D236A3"/>
    <w:rsid w:val="00D23727"/>
    <w:rsid w:val="00D23756"/>
    <w:rsid w:val="00D2386E"/>
    <w:rsid w:val="00D238A7"/>
    <w:rsid w:val="00D2397C"/>
    <w:rsid w:val="00D23AC2"/>
    <w:rsid w:val="00D23BDE"/>
    <w:rsid w:val="00D23DBF"/>
    <w:rsid w:val="00D23FCA"/>
    <w:rsid w:val="00D2404F"/>
    <w:rsid w:val="00D24283"/>
    <w:rsid w:val="00D242C9"/>
    <w:rsid w:val="00D242FC"/>
    <w:rsid w:val="00D246A5"/>
    <w:rsid w:val="00D246E5"/>
    <w:rsid w:val="00D24718"/>
    <w:rsid w:val="00D248EE"/>
    <w:rsid w:val="00D24B8D"/>
    <w:rsid w:val="00D24BD3"/>
    <w:rsid w:val="00D24C82"/>
    <w:rsid w:val="00D24CAB"/>
    <w:rsid w:val="00D24D64"/>
    <w:rsid w:val="00D24E53"/>
    <w:rsid w:val="00D24F35"/>
    <w:rsid w:val="00D24F89"/>
    <w:rsid w:val="00D25048"/>
    <w:rsid w:val="00D2533E"/>
    <w:rsid w:val="00D254D4"/>
    <w:rsid w:val="00D25812"/>
    <w:rsid w:val="00D258C7"/>
    <w:rsid w:val="00D25A35"/>
    <w:rsid w:val="00D25AE7"/>
    <w:rsid w:val="00D25B4D"/>
    <w:rsid w:val="00D25B64"/>
    <w:rsid w:val="00D25B7D"/>
    <w:rsid w:val="00D25B80"/>
    <w:rsid w:val="00D25B99"/>
    <w:rsid w:val="00D25BB9"/>
    <w:rsid w:val="00D26131"/>
    <w:rsid w:val="00D2615B"/>
    <w:rsid w:val="00D2620A"/>
    <w:rsid w:val="00D2628B"/>
    <w:rsid w:val="00D26416"/>
    <w:rsid w:val="00D264C0"/>
    <w:rsid w:val="00D26521"/>
    <w:rsid w:val="00D2667B"/>
    <w:rsid w:val="00D26713"/>
    <w:rsid w:val="00D26714"/>
    <w:rsid w:val="00D267A4"/>
    <w:rsid w:val="00D268E4"/>
    <w:rsid w:val="00D26903"/>
    <w:rsid w:val="00D26949"/>
    <w:rsid w:val="00D269A0"/>
    <w:rsid w:val="00D269CB"/>
    <w:rsid w:val="00D26B55"/>
    <w:rsid w:val="00D26CB3"/>
    <w:rsid w:val="00D26E31"/>
    <w:rsid w:val="00D27001"/>
    <w:rsid w:val="00D27046"/>
    <w:rsid w:val="00D271AA"/>
    <w:rsid w:val="00D27251"/>
    <w:rsid w:val="00D27276"/>
    <w:rsid w:val="00D27345"/>
    <w:rsid w:val="00D27426"/>
    <w:rsid w:val="00D2748C"/>
    <w:rsid w:val="00D275B1"/>
    <w:rsid w:val="00D27864"/>
    <w:rsid w:val="00D27A6F"/>
    <w:rsid w:val="00D27B3B"/>
    <w:rsid w:val="00D27C1B"/>
    <w:rsid w:val="00D27C5D"/>
    <w:rsid w:val="00D27E8A"/>
    <w:rsid w:val="00D27E8D"/>
    <w:rsid w:val="00D27FC6"/>
    <w:rsid w:val="00D3025A"/>
    <w:rsid w:val="00D302AF"/>
    <w:rsid w:val="00D3037D"/>
    <w:rsid w:val="00D30532"/>
    <w:rsid w:val="00D305CF"/>
    <w:rsid w:val="00D30606"/>
    <w:rsid w:val="00D30632"/>
    <w:rsid w:val="00D30697"/>
    <w:rsid w:val="00D30717"/>
    <w:rsid w:val="00D30772"/>
    <w:rsid w:val="00D308CC"/>
    <w:rsid w:val="00D308ED"/>
    <w:rsid w:val="00D30A1F"/>
    <w:rsid w:val="00D30BCC"/>
    <w:rsid w:val="00D30C40"/>
    <w:rsid w:val="00D30D8D"/>
    <w:rsid w:val="00D30FFB"/>
    <w:rsid w:val="00D310AC"/>
    <w:rsid w:val="00D31147"/>
    <w:rsid w:val="00D31186"/>
    <w:rsid w:val="00D312AC"/>
    <w:rsid w:val="00D31310"/>
    <w:rsid w:val="00D316C4"/>
    <w:rsid w:val="00D3181B"/>
    <w:rsid w:val="00D31943"/>
    <w:rsid w:val="00D319F7"/>
    <w:rsid w:val="00D31A82"/>
    <w:rsid w:val="00D31A9D"/>
    <w:rsid w:val="00D31C16"/>
    <w:rsid w:val="00D31C6E"/>
    <w:rsid w:val="00D31C85"/>
    <w:rsid w:val="00D31F6E"/>
    <w:rsid w:val="00D3202F"/>
    <w:rsid w:val="00D3214F"/>
    <w:rsid w:val="00D32159"/>
    <w:rsid w:val="00D32204"/>
    <w:rsid w:val="00D323DA"/>
    <w:rsid w:val="00D3272A"/>
    <w:rsid w:val="00D32794"/>
    <w:rsid w:val="00D327B9"/>
    <w:rsid w:val="00D32833"/>
    <w:rsid w:val="00D32844"/>
    <w:rsid w:val="00D32952"/>
    <w:rsid w:val="00D329A3"/>
    <w:rsid w:val="00D32BE3"/>
    <w:rsid w:val="00D32C14"/>
    <w:rsid w:val="00D32E98"/>
    <w:rsid w:val="00D33079"/>
    <w:rsid w:val="00D33106"/>
    <w:rsid w:val="00D33143"/>
    <w:rsid w:val="00D33166"/>
    <w:rsid w:val="00D33180"/>
    <w:rsid w:val="00D33284"/>
    <w:rsid w:val="00D33330"/>
    <w:rsid w:val="00D335F7"/>
    <w:rsid w:val="00D33607"/>
    <w:rsid w:val="00D33641"/>
    <w:rsid w:val="00D33686"/>
    <w:rsid w:val="00D3377B"/>
    <w:rsid w:val="00D33845"/>
    <w:rsid w:val="00D33961"/>
    <w:rsid w:val="00D33AFE"/>
    <w:rsid w:val="00D33BA3"/>
    <w:rsid w:val="00D33D46"/>
    <w:rsid w:val="00D34096"/>
    <w:rsid w:val="00D340FC"/>
    <w:rsid w:val="00D3443F"/>
    <w:rsid w:val="00D3457B"/>
    <w:rsid w:val="00D3457E"/>
    <w:rsid w:val="00D34660"/>
    <w:rsid w:val="00D34872"/>
    <w:rsid w:val="00D34885"/>
    <w:rsid w:val="00D34C28"/>
    <w:rsid w:val="00D34C83"/>
    <w:rsid w:val="00D34D3D"/>
    <w:rsid w:val="00D34D7C"/>
    <w:rsid w:val="00D34DC8"/>
    <w:rsid w:val="00D34E07"/>
    <w:rsid w:val="00D3501B"/>
    <w:rsid w:val="00D351BF"/>
    <w:rsid w:val="00D35226"/>
    <w:rsid w:val="00D35314"/>
    <w:rsid w:val="00D353FD"/>
    <w:rsid w:val="00D3546E"/>
    <w:rsid w:val="00D354AC"/>
    <w:rsid w:val="00D3552C"/>
    <w:rsid w:val="00D3582A"/>
    <w:rsid w:val="00D359EF"/>
    <w:rsid w:val="00D35A1B"/>
    <w:rsid w:val="00D35AB0"/>
    <w:rsid w:val="00D35AD1"/>
    <w:rsid w:val="00D35D1E"/>
    <w:rsid w:val="00D35D4E"/>
    <w:rsid w:val="00D35DD6"/>
    <w:rsid w:val="00D3609C"/>
    <w:rsid w:val="00D360A1"/>
    <w:rsid w:val="00D36397"/>
    <w:rsid w:val="00D3644B"/>
    <w:rsid w:val="00D364EF"/>
    <w:rsid w:val="00D3655A"/>
    <w:rsid w:val="00D365A8"/>
    <w:rsid w:val="00D365CE"/>
    <w:rsid w:val="00D36940"/>
    <w:rsid w:val="00D3698F"/>
    <w:rsid w:val="00D369CE"/>
    <w:rsid w:val="00D369CF"/>
    <w:rsid w:val="00D369EE"/>
    <w:rsid w:val="00D36B09"/>
    <w:rsid w:val="00D36B27"/>
    <w:rsid w:val="00D36D2A"/>
    <w:rsid w:val="00D36D86"/>
    <w:rsid w:val="00D36E5E"/>
    <w:rsid w:val="00D36E8F"/>
    <w:rsid w:val="00D36FD6"/>
    <w:rsid w:val="00D37168"/>
    <w:rsid w:val="00D373DA"/>
    <w:rsid w:val="00D37446"/>
    <w:rsid w:val="00D374E1"/>
    <w:rsid w:val="00D37508"/>
    <w:rsid w:val="00D37680"/>
    <w:rsid w:val="00D3771D"/>
    <w:rsid w:val="00D37800"/>
    <w:rsid w:val="00D37985"/>
    <w:rsid w:val="00D379ED"/>
    <w:rsid w:val="00D37BBE"/>
    <w:rsid w:val="00D37C14"/>
    <w:rsid w:val="00D37C3A"/>
    <w:rsid w:val="00D37D4F"/>
    <w:rsid w:val="00D37E4F"/>
    <w:rsid w:val="00D37F9C"/>
    <w:rsid w:val="00D37FBE"/>
    <w:rsid w:val="00D40172"/>
    <w:rsid w:val="00D4027C"/>
    <w:rsid w:val="00D4036F"/>
    <w:rsid w:val="00D404D1"/>
    <w:rsid w:val="00D4055A"/>
    <w:rsid w:val="00D4056F"/>
    <w:rsid w:val="00D40584"/>
    <w:rsid w:val="00D40601"/>
    <w:rsid w:val="00D408EB"/>
    <w:rsid w:val="00D40A19"/>
    <w:rsid w:val="00D40AB5"/>
    <w:rsid w:val="00D40ADD"/>
    <w:rsid w:val="00D40B65"/>
    <w:rsid w:val="00D40B72"/>
    <w:rsid w:val="00D40B79"/>
    <w:rsid w:val="00D40C9A"/>
    <w:rsid w:val="00D40CA4"/>
    <w:rsid w:val="00D40E0B"/>
    <w:rsid w:val="00D40FE6"/>
    <w:rsid w:val="00D4102E"/>
    <w:rsid w:val="00D4112D"/>
    <w:rsid w:val="00D41284"/>
    <w:rsid w:val="00D412E1"/>
    <w:rsid w:val="00D413E8"/>
    <w:rsid w:val="00D4142D"/>
    <w:rsid w:val="00D414B1"/>
    <w:rsid w:val="00D4155F"/>
    <w:rsid w:val="00D415BE"/>
    <w:rsid w:val="00D41645"/>
    <w:rsid w:val="00D4164D"/>
    <w:rsid w:val="00D4169B"/>
    <w:rsid w:val="00D41825"/>
    <w:rsid w:val="00D41AA0"/>
    <w:rsid w:val="00D41B6E"/>
    <w:rsid w:val="00D41C02"/>
    <w:rsid w:val="00D41C7A"/>
    <w:rsid w:val="00D41D81"/>
    <w:rsid w:val="00D41D9D"/>
    <w:rsid w:val="00D41E0B"/>
    <w:rsid w:val="00D41EDA"/>
    <w:rsid w:val="00D4228F"/>
    <w:rsid w:val="00D42375"/>
    <w:rsid w:val="00D423FA"/>
    <w:rsid w:val="00D4241C"/>
    <w:rsid w:val="00D42797"/>
    <w:rsid w:val="00D42803"/>
    <w:rsid w:val="00D42856"/>
    <w:rsid w:val="00D42885"/>
    <w:rsid w:val="00D428A2"/>
    <w:rsid w:val="00D428AA"/>
    <w:rsid w:val="00D42932"/>
    <w:rsid w:val="00D42935"/>
    <w:rsid w:val="00D42A23"/>
    <w:rsid w:val="00D42B30"/>
    <w:rsid w:val="00D42C6F"/>
    <w:rsid w:val="00D42CF2"/>
    <w:rsid w:val="00D42EB6"/>
    <w:rsid w:val="00D42F10"/>
    <w:rsid w:val="00D42FF7"/>
    <w:rsid w:val="00D43076"/>
    <w:rsid w:val="00D43294"/>
    <w:rsid w:val="00D43441"/>
    <w:rsid w:val="00D43483"/>
    <w:rsid w:val="00D43786"/>
    <w:rsid w:val="00D43837"/>
    <w:rsid w:val="00D4386D"/>
    <w:rsid w:val="00D43906"/>
    <w:rsid w:val="00D43A85"/>
    <w:rsid w:val="00D43B0C"/>
    <w:rsid w:val="00D43BCB"/>
    <w:rsid w:val="00D43DE0"/>
    <w:rsid w:val="00D43EF0"/>
    <w:rsid w:val="00D440BC"/>
    <w:rsid w:val="00D44229"/>
    <w:rsid w:val="00D4426F"/>
    <w:rsid w:val="00D44295"/>
    <w:rsid w:val="00D444A4"/>
    <w:rsid w:val="00D44579"/>
    <w:rsid w:val="00D445E1"/>
    <w:rsid w:val="00D44728"/>
    <w:rsid w:val="00D4473E"/>
    <w:rsid w:val="00D4493A"/>
    <w:rsid w:val="00D44A26"/>
    <w:rsid w:val="00D44B6B"/>
    <w:rsid w:val="00D44B8B"/>
    <w:rsid w:val="00D44BA5"/>
    <w:rsid w:val="00D44C06"/>
    <w:rsid w:val="00D44E2F"/>
    <w:rsid w:val="00D44E8D"/>
    <w:rsid w:val="00D44EB4"/>
    <w:rsid w:val="00D44F50"/>
    <w:rsid w:val="00D45159"/>
    <w:rsid w:val="00D4524E"/>
    <w:rsid w:val="00D4541D"/>
    <w:rsid w:val="00D454C1"/>
    <w:rsid w:val="00D455F5"/>
    <w:rsid w:val="00D45644"/>
    <w:rsid w:val="00D4573F"/>
    <w:rsid w:val="00D457A0"/>
    <w:rsid w:val="00D457D6"/>
    <w:rsid w:val="00D458D0"/>
    <w:rsid w:val="00D45A56"/>
    <w:rsid w:val="00D45BDB"/>
    <w:rsid w:val="00D45E74"/>
    <w:rsid w:val="00D45F3F"/>
    <w:rsid w:val="00D45F4B"/>
    <w:rsid w:val="00D45FE8"/>
    <w:rsid w:val="00D45FE9"/>
    <w:rsid w:val="00D4607F"/>
    <w:rsid w:val="00D460D1"/>
    <w:rsid w:val="00D4617B"/>
    <w:rsid w:val="00D462C5"/>
    <w:rsid w:val="00D464B2"/>
    <w:rsid w:val="00D46662"/>
    <w:rsid w:val="00D46665"/>
    <w:rsid w:val="00D46813"/>
    <w:rsid w:val="00D4687D"/>
    <w:rsid w:val="00D46B5A"/>
    <w:rsid w:val="00D46BD8"/>
    <w:rsid w:val="00D46D7D"/>
    <w:rsid w:val="00D46E29"/>
    <w:rsid w:val="00D46FB5"/>
    <w:rsid w:val="00D47058"/>
    <w:rsid w:val="00D4709D"/>
    <w:rsid w:val="00D47142"/>
    <w:rsid w:val="00D47273"/>
    <w:rsid w:val="00D47395"/>
    <w:rsid w:val="00D474F7"/>
    <w:rsid w:val="00D4755F"/>
    <w:rsid w:val="00D4758D"/>
    <w:rsid w:val="00D47847"/>
    <w:rsid w:val="00D479D4"/>
    <w:rsid w:val="00D47AA5"/>
    <w:rsid w:val="00D47C49"/>
    <w:rsid w:val="00D47D47"/>
    <w:rsid w:val="00D5019E"/>
    <w:rsid w:val="00D501FC"/>
    <w:rsid w:val="00D502C6"/>
    <w:rsid w:val="00D50326"/>
    <w:rsid w:val="00D50372"/>
    <w:rsid w:val="00D5060A"/>
    <w:rsid w:val="00D50662"/>
    <w:rsid w:val="00D5077D"/>
    <w:rsid w:val="00D507A7"/>
    <w:rsid w:val="00D5083F"/>
    <w:rsid w:val="00D508BE"/>
    <w:rsid w:val="00D50A34"/>
    <w:rsid w:val="00D50AAE"/>
    <w:rsid w:val="00D50B9C"/>
    <w:rsid w:val="00D50F2F"/>
    <w:rsid w:val="00D50FB8"/>
    <w:rsid w:val="00D51075"/>
    <w:rsid w:val="00D511D1"/>
    <w:rsid w:val="00D511DA"/>
    <w:rsid w:val="00D513E1"/>
    <w:rsid w:val="00D51505"/>
    <w:rsid w:val="00D51511"/>
    <w:rsid w:val="00D51979"/>
    <w:rsid w:val="00D51C8F"/>
    <w:rsid w:val="00D51EA9"/>
    <w:rsid w:val="00D51F2B"/>
    <w:rsid w:val="00D5203B"/>
    <w:rsid w:val="00D520FE"/>
    <w:rsid w:val="00D521A8"/>
    <w:rsid w:val="00D521EB"/>
    <w:rsid w:val="00D525B3"/>
    <w:rsid w:val="00D52733"/>
    <w:rsid w:val="00D52770"/>
    <w:rsid w:val="00D52801"/>
    <w:rsid w:val="00D529DF"/>
    <w:rsid w:val="00D529E5"/>
    <w:rsid w:val="00D52A49"/>
    <w:rsid w:val="00D52BA9"/>
    <w:rsid w:val="00D52C1D"/>
    <w:rsid w:val="00D52DEB"/>
    <w:rsid w:val="00D52F56"/>
    <w:rsid w:val="00D53071"/>
    <w:rsid w:val="00D530BC"/>
    <w:rsid w:val="00D53117"/>
    <w:rsid w:val="00D5329D"/>
    <w:rsid w:val="00D53467"/>
    <w:rsid w:val="00D53488"/>
    <w:rsid w:val="00D5354C"/>
    <w:rsid w:val="00D53588"/>
    <w:rsid w:val="00D536E6"/>
    <w:rsid w:val="00D5372A"/>
    <w:rsid w:val="00D5373E"/>
    <w:rsid w:val="00D537C6"/>
    <w:rsid w:val="00D53821"/>
    <w:rsid w:val="00D53893"/>
    <w:rsid w:val="00D538EF"/>
    <w:rsid w:val="00D53A73"/>
    <w:rsid w:val="00D53AF8"/>
    <w:rsid w:val="00D53B34"/>
    <w:rsid w:val="00D53EFA"/>
    <w:rsid w:val="00D54098"/>
    <w:rsid w:val="00D540BD"/>
    <w:rsid w:val="00D541CF"/>
    <w:rsid w:val="00D54515"/>
    <w:rsid w:val="00D5466C"/>
    <w:rsid w:val="00D546AE"/>
    <w:rsid w:val="00D547E5"/>
    <w:rsid w:val="00D547FF"/>
    <w:rsid w:val="00D5489D"/>
    <w:rsid w:val="00D54A83"/>
    <w:rsid w:val="00D54D70"/>
    <w:rsid w:val="00D54E60"/>
    <w:rsid w:val="00D5509A"/>
    <w:rsid w:val="00D551D6"/>
    <w:rsid w:val="00D5520A"/>
    <w:rsid w:val="00D55300"/>
    <w:rsid w:val="00D5533B"/>
    <w:rsid w:val="00D5541B"/>
    <w:rsid w:val="00D55490"/>
    <w:rsid w:val="00D55634"/>
    <w:rsid w:val="00D55734"/>
    <w:rsid w:val="00D55833"/>
    <w:rsid w:val="00D55BED"/>
    <w:rsid w:val="00D55C0D"/>
    <w:rsid w:val="00D55CC1"/>
    <w:rsid w:val="00D55CE1"/>
    <w:rsid w:val="00D55E2D"/>
    <w:rsid w:val="00D5601C"/>
    <w:rsid w:val="00D56164"/>
    <w:rsid w:val="00D56199"/>
    <w:rsid w:val="00D56294"/>
    <w:rsid w:val="00D562C9"/>
    <w:rsid w:val="00D562E7"/>
    <w:rsid w:val="00D565C2"/>
    <w:rsid w:val="00D5662C"/>
    <w:rsid w:val="00D56709"/>
    <w:rsid w:val="00D567D6"/>
    <w:rsid w:val="00D56802"/>
    <w:rsid w:val="00D568DA"/>
    <w:rsid w:val="00D568FE"/>
    <w:rsid w:val="00D56B64"/>
    <w:rsid w:val="00D56CBD"/>
    <w:rsid w:val="00D56D9A"/>
    <w:rsid w:val="00D56E02"/>
    <w:rsid w:val="00D56F2C"/>
    <w:rsid w:val="00D56F9A"/>
    <w:rsid w:val="00D570AE"/>
    <w:rsid w:val="00D57181"/>
    <w:rsid w:val="00D57660"/>
    <w:rsid w:val="00D576D8"/>
    <w:rsid w:val="00D5791F"/>
    <w:rsid w:val="00D57981"/>
    <w:rsid w:val="00D57A31"/>
    <w:rsid w:val="00D57AB7"/>
    <w:rsid w:val="00D57DDB"/>
    <w:rsid w:val="00D60118"/>
    <w:rsid w:val="00D60133"/>
    <w:rsid w:val="00D6018F"/>
    <w:rsid w:val="00D60270"/>
    <w:rsid w:val="00D60710"/>
    <w:rsid w:val="00D6073B"/>
    <w:rsid w:val="00D6074D"/>
    <w:rsid w:val="00D607B3"/>
    <w:rsid w:val="00D60862"/>
    <w:rsid w:val="00D60AF5"/>
    <w:rsid w:val="00D60B10"/>
    <w:rsid w:val="00D60B6D"/>
    <w:rsid w:val="00D60CE8"/>
    <w:rsid w:val="00D611DF"/>
    <w:rsid w:val="00D614BD"/>
    <w:rsid w:val="00D61567"/>
    <w:rsid w:val="00D6157D"/>
    <w:rsid w:val="00D61667"/>
    <w:rsid w:val="00D61748"/>
    <w:rsid w:val="00D617ED"/>
    <w:rsid w:val="00D6194F"/>
    <w:rsid w:val="00D61953"/>
    <w:rsid w:val="00D61A20"/>
    <w:rsid w:val="00D61C97"/>
    <w:rsid w:val="00D61D45"/>
    <w:rsid w:val="00D62271"/>
    <w:rsid w:val="00D62370"/>
    <w:rsid w:val="00D62415"/>
    <w:rsid w:val="00D6244F"/>
    <w:rsid w:val="00D62490"/>
    <w:rsid w:val="00D62A04"/>
    <w:rsid w:val="00D62B2A"/>
    <w:rsid w:val="00D62B43"/>
    <w:rsid w:val="00D62B87"/>
    <w:rsid w:val="00D62C15"/>
    <w:rsid w:val="00D62C70"/>
    <w:rsid w:val="00D62D46"/>
    <w:rsid w:val="00D62E52"/>
    <w:rsid w:val="00D62F49"/>
    <w:rsid w:val="00D6300F"/>
    <w:rsid w:val="00D6301F"/>
    <w:rsid w:val="00D6311B"/>
    <w:rsid w:val="00D63159"/>
    <w:rsid w:val="00D6319F"/>
    <w:rsid w:val="00D63262"/>
    <w:rsid w:val="00D635A8"/>
    <w:rsid w:val="00D636AC"/>
    <w:rsid w:val="00D63794"/>
    <w:rsid w:val="00D63938"/>
    <w:rsid w:val="00D63977"/>
    <w:rsid w:val="00D63A94"/>
    <w:rsid w:val="00D63AF7"/>
    <w:rsid w:val="00D63BCB"/>
    <w:rsid w:val="00D63BD6"/>
    <w:rsid w:val="00D63E2B"/>
    <w:rsid w:val="00D63F6D"/>
    <w:rsid w:val="00D63F95"/>
    <w:rsid w:val="00D63FB6"/>
    <w:rsid w:val="00D63FC1"/>
    <w:rsid w:val="00D63FE6"/>
    <w:rsid w:val="00D63FEA"/>
    <w:rsid w:val="00D64154"/>
    <w:rsid w:val="00D641EA"/>
    <w:rsid w:val="00D64204"/>
    <w:rsid w:val="00D6481C"/>
    <w:rsid w:val="00D64955"/>
    <w:rsid w:val="00D64CE9"/>
    <w:rsid w:val="00D64CF3"/>
    <w:rsid w:val="00D64D91"/>
    <w:rsid w:val="00D64E9D"/>
    <w:rsid w:val="00D64F88"/>
    <w:rsid w:val="00D64FF1"/>
    <w:rsid w:val="00D65180"/>
    <w:rsid w:val="00D65391"/>
    <w:rsid w:val="00D65436"/>
    <w:rsid w:val="00D654C3"/>
    <w:rsid w:val="00D65526"/>
    <w:rsid w:val="00D655EC"/>
    <w:rsid w:val="00D6567C"/>
    <w:rsid w:val="00D659B4"/>
    <w:rsid w:val="00D65A14"/>
    <w:rsid w:val="00D65A33"/>
    <w:rsid w:val="00D65AA1"/>
    <w:rsid w:val="00D65B36"/>
    <w:rsid w:val="00D65B7F"/>
    <w:rsid w:val="00D65BF1"/>
    <w:rsid w:val="00D65C00"/>
    <w:rsid w:val="00D65C1F"/>
    <w:rsid w:val="00D65C2A"/>
    <w:rsid w:val="00D65E31"/>
    <w:rsid w:val="00D65F97"/>
    <w:rsid w:val="00D66075"/>
    <w:rsid w:val="00D6625F"/>
    <w:rsid w:val="00D663B9"/>
    <w:rsid w:val="00D6641E"/>
    <w:rsid w:val="00D66706"/>
    <w:rsid w:val="00D667A5"/>
    <w:rsid w:val="00D66872"/>
    <w:rsid w:val="00D668B9"/>
    <w:rsid w:val="00D669F3"/>
    <w:rsid w:val="00D66A1A"/>
    <w:rsid w:val="00D66C6D"/>
    <w:rsid w:val="00D66CD3"/>
    <w:rsid w:val="00D66DCA"/>
    <w:rsid w:val="00D66EAC"/>
    <w:rsid w:val="00D66F73"/>
    <w:rsid w:val="00D67072"/>
    <w:rsid w:val="00D671DA"/>
    <w:rsid w:val="00D67308"/>
    <w:rsid w:val="00D67425"/>
    <w:rsid w:val="00D674F2"/>
    <w:rsid w:val="00D675FC"/>
    <w:rsid w:val="00D67741"/>
    <w:rsid w:val="00D67886"/>
    <w:rsid w:val="00D67EAB"/>
    <w:rsid w:val="00D701C4"/>
    <w:rsid w:val="00D702FE"/>
    <w:rsid w:val="00D70375"/>
    <w:rsid w:val="00D703C8"/>
    <w:rsid w:val="00D704A5"/>
    <w:rsid w:val="00D7051D"/>
    <w:rsid w:val="00D7060C"/>
    <w:rsid w:val="00D7070E"/>
    <w:rsid w:val="00D708E4"/>
    <w:rsid w:val="00D70963"/>
    <w:rsid w:val="00D70C9A"/>
    <w:rsid w:val="00D70D09"/>
    <w:rsid w:val="00D70DD0"/>
    <w:rsid w:val="00D70E18"/>
    <w:rsid w:val="00D70E47"/>
    <w:rsid w:val="00D70FAE"/>
    <w:rsid w:val="00D710BB"/>
    <w:rsid w:val="00D71356"/>
    <w:rsid w:val="00D713B6"/>
    <w:rsid w:val="00D713FE"/>
    <w:rsid w:val="00D71464"/>
    <w:rsid w:val="00D715F4"/>
    <w:rsid w:val="00D716B1"/>
    <w:rsid w:val="00D71710"/>
    <w:rsid w:val="00D7183B"/>
    <w:rsid w:val="00D7188F"/>
    <w:rsid w:val="00D71B26"/>
    <w:rsid w:val="00D71BA6"/>
    <w:rsid w:val="00D71CB2"/>
    <w:rsid w:val="00D71CF5"/>
    <w:rsid w:val="00D71D7E"/>
    <w:rsid w:val="00D720E0"/>
    <w:rsid w:val="00D721A0"/>
    <w:rsid w:val="00D722A7"/>
    <w:rsid w:val="00D72582"/>
    <w:rsid w:val="00D72683"/>
    <w:rsid w:val="00D72786"/>
    <w:rsid w:val="00D727AE"/>
    <w:rsid w:val="00D729E9"/>
    <w:rsid w:val="00D72A49"/>
    <w:rsid w:val="00D72AF9"/>
    <w:rsid w:val="00D72B93"/>
    <w:rsid w:val="00D72F9C"/>
    <w:rsid w:val="00D730B7"/>
    <w:rsid w:val="00D7313C"/>
    <w:rsid w:val="00D731A7"/>
    <w:rsid w:val="00D732CF"/>
    <w:rsid w:val="00D7350C"/>
    <w:rsid w:val="00D736D0"/>
    <w:rsid w:val="00D73798"/>
    <w:rsid w:val="00D73872"/>
    <w:rsid w:val="00D738F0"/>
    <w:rsid w:val="00D73B45"/>
    <w:rsid w:val="00D73C69"/>
    <w:rsid w:val="00D73D74"/>
    <w:rsid w:val="00D73EF2"/>
    <w:rsid w:val="00D74060"/>
    <w:rsid w:val="00D740F9"/>
    <w:rsid w:val="00D741A2"/>
    <w:rsid w:val="00D743E2"/>
    <w:rsid w:val="00D744EA"/>
    <w:rsid w:val="00D746B3"/>
    <w:rsid w:val="00D7470C"/>
    <w:rsid w:val="00D74719"/>
    <w:rsid w:val="00D747A0"/>
    <w:rsid w:val="00D74801"/>
    <w:rsid w:val="00D74876"/>
    <w:rsid w:val="00D74C10"/>
    <w:rsid w:val="00D74C20"/>
    <w:rsid w:val="00D74E5E"/>
    <w:rsid w:val="00D7526C"/>
    <w:rsid w:val="00D755C6"/>
    <w:rsid w:val="00D7562B"/>
    <w:rsid w:val="00D758DD"/>
    <w:rsid w:val="00D75970"/>
    <w:rsid w:val="00D759B5"/>
    <w:rsid w:val="00D759FF"/>
    <w:rsid w:val="00D75A71"/>
    <w:rsid w:val="00D75B21"/>
    <w:rsid w:val="00D75B7F"/>
    <w:rsid w:val="00D75BBB"/>
    <w:rsid w:val="00D75BD8"/>
    <w:rsid w:val="00D75D3F"/>
    <w:rsid w:val="00D75D6A"/>
    <w:rsid w:val="00D75E21"/>
    <w:rsid w:val="00D75EB1"/>
    <w:rsid w:val="00D75F23"/>
    <w:rsid w:val="00D765A3"/>
    <w:rsid w:val="00D76814"/>
    <w:rsid w:val="00D7681A"/>
    <w:rsid w:val="00D76865"/>
    <w:rsid w:val="00D7697A"/>
    <w:rsid w:val="00D76A52"/>
    <w:rsid w:val="00D76C82"/>
    <w:rsid w:val="00D76CC6"/>
    <w:rsid w:val="00D76DFF"/>
    <w:rsid w:val="00D76E78"/>
    <w:rsid w:val="00D76FC4"/>
    <w:rsid w:val="00D770B6"/>
    <w:rsid w:val="00D7721B"/>
    <w:rsid w:val="00D77482"/>
    <w:rsid w:val="00D774C4"/>
    <w:rsid w:val="00D77A23"/>
    <w:rsid w:val="00D77A78"/>
    <w:rsid w:val="00D77AEC"/>
    <w:rsid w:val="00D77B48"/>
    <w:rsid w:val="00D77C2C"/>
    <w:rsid w:val="00D77C87"/>
    <w:rsid w:val="00D77CB7"/>
    <w:rsid w:val="00D77D38"/>
    <w:rsid w:val="00D77D70"/>
    <w:rsid w:val="00D77D9A"/>
    <w:rsid w:val="00D77E98"/>
    <w:rsid w:val="00D77FB6"/>
    <w:rsid w:val="00D802FE"/>
    <w:rsid w:val="00D80487"/>
    <w:rsid w:val="00D8058B"/>
    <w:rsid w:val="00D80645"/>
    <w:rsid w:val="00D806CD"/>
    <w:rsid w:val="00D80798"/>
    <w:rsid w:val="00D807E8"/>
    <w:rsid w:val="00D808A0"/>
    <w:rsid w:val="00D808C7"/>
    <w:rsid w:val="00D80E47"/>
    <w:rsid w:val="00D80EB2"/>
    <w:rsid w:val="00D80F20"/>
    <w:rsid w:val="00D8107C"/>
    <w:rsid w:val="00D810CE"/>
    <w:rsid w:val="00D81157"/>
    <w:rsid w:val="00D811AB"/>
    <w:rsid w:val="00D811E9"/>
    <w:rsid w:val="00D8125B"/>
    <w:rsid w:val="00D813EB"/>
    <w:rsid w:val="00D8141C"/>
    <w:rsid w:val="00D814B7"/>
    <w:rsid w:val="00D815E4"/>
    <w:rsid w:val="00D81614"/>
    <w:rsid w:val="00D817F1"/>
    <w:rsid w:val="00D81843"/>
    <w:rsid w:val="00D8193D"/>
    <w:rsid w:val="00D81E3F"/>
    <w:rsid w:val="00D81FDB"/>
    <w:rsid w:val="00D82037"/>
    <w:rsid w:val="00D8211F"/>
    <w:rsid w:val="00D82208"/>
    <w:rsid w:val="00D82285"/>
    <w:rsid w:val="00D822EC"/>
    <w:rsid w:val="00D823CF"/>
    <w:rsid w:val="00D82584"/>
    <w:rsid w:val="00D82621"/>
    <w:rsid w:val="00D82684"/>
    <w:rsid w:val="00D8268D"/>
    <w:rsid w:val="00D8275E"/>
    <w:rsid w:val="00D82933"/>
    <w:rsid w:val="00D829B2"/>
    <w:rsid w:val="00D829F9"/>
    <w:rsid w:val="00D82B0A"/>
    <w:rsid w:val="00D82B4B"/>
    <w:rsid w:val="00D82C7C"/>
    <w:rsid w:val="00D82E39"/>
    <w:rsid w:val="00D82EF3"/>
    <w:rsid w:val="00D82F05"/>
    <w:rsid w:val="00D83345"/>
    <w:rsid w:val="00D833C3"/>
    <w:rsid w:val="00D833D6"/>
    <w:rsid w:val="00D8347F"/>
    <w:rsid w:val="00D8352A"/>
    <w:rsid w:val="00D836A2"/>
    <w:rsid w:val="00D8389D"/>
    <w:rsid w:val="00D838E0"/>
    <w:rsid w:val="00D83908"/>
    <w:rsid w:val="00D83A1A"/>
    <w:rsid w:val="00D83A49"/>
    <w:rsid w:val="00D83A9C"/>
    <w:rsid w:val="00D83B5F"/>
    <w:rsid w:val="00D83CAF"/>
    <w:rsid w:val="00D83D4D"/>
    <w:rsid w:val="00D83D56"/>
    <w:rsid w:val="00D83E54"/>
    <w:rsid w:val="00D83FEA"/>
    <w:rsid w:val="00D840A3"/>
    <w:rsid w:val="00D843A0"/>
    <w:rsid w:val="00D8452A"/>
    <w:rsid w:val="00D8462D"/>
    <w:rsid w:val="00D84686"/>
    <w:rsid w:val="00D8477C"/>
    <w:rsid w:val="00D84A09"/>
    <w:rsid w:val="00D84AC3"/>
    <w:rsid w:val="00D84AF2"/>
    <w:rsid w:val="00D84BA7"/>
    <w:rsid w:val="00D84CFF"/>
    <w:rsid w:val="00D84D33"/>
    <w:rsid w:val="00D84DAC"/>
    <w:rsid w:val="00D84DB2"/>
    <w:rsid w:val="00D84E79"/>
    <w:rsid w:val="00D84EF4"/>
    <w:rsid w:val="00D85192"/>
    <w:rsid w:val="00D8524E"/>
    <w:rsid w:val="00D8552C"/>
    <w:rsid w:val="00D855D0"/>
    <w:rsid w:val="00D8573C"/>
    <w:rsid w:val="00D858D1"/>
    <w:rsid w:val="00D858F5"/>
    <w:rsid w:val="00D85964"/>
    <w:rsid w:val="00D85DA1"/>
    <w:rsid w:val="00D85DB9"/>
    <w:rsid w:val="00D85F48"/>
    <w:rsid w:val="00D86311"/>
    <w:rsid w:val="00D863B8"/>
    <w:rsid w:val="00D86489"/>
    <w:rsid w:val="00D864CF"/>
    <w:rsid w:val="00D865AA"/>
    <w:rsid w:val="00D866E1"/>
    <w:rsid w:val="00D868C5"/>
    <w:rsid w:val="00D86A53"/>
    <w:rsid w:val="00D86ABB"/>
    <w:rsid w:val="00D86B5A"/>
    <w:rsid w:val="00D86BCB"/>
    <w:rsid w:val="00D86C75"/>
    <w:rsid w:val="00D86C83"/>
    <w:rsid w:val="00D86CBC"/>
    <w:rsid w:val="00D870AE"/>
    <w:rsid w:val="00D870FD"/>
    <w:rsid w:val="00D8710E"/>
    <w:rsid w:val="00D8711E"/>
    <w:rsid w:val="00D87232"/>
    <w:rsid w:val="00D8733E"/>
    <w:rsid w:val="00D873E8"/>
    <w:rsid w:val="00D87413"/>
    <w:rsid w:val="00D8747E"/>
    <w:rsid w:val="00D875F8"/>
    <w:rsid w:val="00D8760B"/>
    <w:rsid w:val="00D87920"/>
    <w:rsid w:val="00D87953"/>
    <w:rsid w:val="00D87A72"/>
    <w:rsid w:val="00D87A93"/>
    <w:rsid w:val="00D87B33"/>
    <w:rsid w:val="00D87B99"/>
    <w:rsid w:val="00D87C2F"/>
    <w:rsid w:val="00D901BB"/>
    <w:rsid w:val="00D90503"/>
    <w:rsid w:val="00D905A5"/>
    <w:rsid w:val="00D905AB"/>
    <w:rsid w:val="00D90628"/>
    <w:rsid w:val="00D9069C"/>
    <w:rsid w:val="00D907C5"/>
    <w:rsid w:val="00D9080C"/>
    <w:rsid w:val="00D90D8A"/>
    <w:rsid w:val="00D90ED3"/>
    <w:rsid w:val="00D90FEA"/>
    <w:rsid w:val="00D913A3"/>
    <w:rsid w:val="00D9141B"/>
    <w:rsid w:val="00D917A4"/>
    <w:rsid w:val="00D9183B"/>
    <w:rsid w:val="00D91853"/>
    <w:rsid w:val="00D9194F"/>
    <w:rsid w:val="00D91A74"/>
    <w:rsid w:val="00D91B07"/>
    <w:rsid w:val="00D91B86"/>
    <w:rsid w:val="00D91BA9"/>
    <w:rsid w:val="00D91C82"/>
    <w:rsid w:val="00D91E17"/>
    <w:rsid w:val="00D922D1"/>
    <w:rsid w:val="00D923BA"/>
    <w:rsid w:val="00D9243B"/>
    <w:rsid w:val="00D92447"/>
    <w:rsid w:val="00D9244B"/>
    <w:rsid w:val="00D92508"/>
    <w:rsid w:val="00D92519"/>
    <w:rsid w:val="00D925D6"/>
    <w:rsid w:val="00D9275D"/>
    <w:rsid w:val="00D92765"/>
    <w:rsid w:val="00D92883"/>
    <w:rsid w:val="00D92AE4"/>
    <w:rsid w:val="00D92B24"/>
    <w:rsid w:val="00D92B86"/>
    <w:rsid w:val="00D92CF2"/>
    <w:rsid w:val="00D92DBE"/>
    <w:rsid w:val="00D92FB5"/>
    <w:rsid w:val="00D92FE6"/>
    <w:rsid w:val="00D93141"/>
    <w:rsid w:val="00D9314E"/>
    <w:rsid w:val="00D93303"/>
    <w:rsid w:val="00D93831"/>
    <w:rsid w:val="00D938A3"/>
    <w:rsid w:val="00D93B8B"/>
    <w:rsid w:val="00D93C8F"/>
    <w:rsid w:val="00D93DA6"/>
    <w:rsid w:val="00D93E35"/>
    <w:rsid w:val="00D9401C"/>
    <w:rsid w:val="00D94029"/>
    <w:rsid w:val="00D94265"/>
    <w:rsid w:val="00D942F0"/>
    <w:rsid w:val="00D943B2"/>
    <w:rsid w:val="00D943EA"/>
    <w:rsid w:val="00D94486"/>
    <w:rsid w:val="00D94492"/>
    <w:rsid w:val="00D945B0"/>
    <w:rsid w:val="00D9480D"/>
    <w:rsid w:val="00D9484B"/>
    <w:rsid w:val="00D948B1"/>
    <w:rsid w:val="00D94A7C"/>
    <w:rsid w:val="00D94B2A"/>
    <w:rsid w:val="00D94B58"/>
    <w:rsid w:val="00D94BC4"/>
    <w:rsid w:val="00D94C90"/>
    <w:rsid w:val="00D94D1B"/>
    <w:rsid w:val="00D94DE8"/>
    <w:rsid w:val="00D94EAB"/>
    <w:rsid w:val="00D94F4E"/>
    <w:rsid w:val="00D94F94"/>
    <w:rsid w:val="00D951F4"/>
    <w:rsid w:val="00D954BE"/>
    <w:rsid w:val="00D95521"/>
    <w:rsid w:val="00D9565A"/>
    <w:rsid w:val="00D95674"/>
    <w:rsid w:val="00D956A6"/>
    <w:rsid w:val="00D95732"/>
    <w:rsid w:val="00D957EE"/>
    <w:rsid w:val="00D95896"/>
    <w:rsid w:val="00D95A00"/>
    <w:rsid w:val="00D95A3C"/>
    <w:rsid w:val="00D95B8D"/>
    <w:rsid w:val="00D95F0A"/>
    <w:rsid w:val="00D95F55"/>
    <w:rsid w:val="00D961A1"/>
    <w:rsid w:val="00D961F2"/>
    <w:rsid w:val="00D9652C"/>
    <w:rsid w:val="00D9664D"/>
    <w:rsid w:val="00D966A5"/>
    <w:rsid w:val="00D9679E"/>
    <w:rsid w:val="00D967AB"/>
    <w:rsid w:val="00D9681C"/>
    <w:rsid w:val="00D96838"/>
    <w:rsid w:val="00D968BD"/>
    <w:rsid w:val="00D96B4F"/>
    <w:rsid w:val="00D96BB6"/>
    <w:rsid w:val="00D96BFF"/>
    <w:rsid w:val="00D96C5C"/>
    <w:rsid w:val="00D96EDF"/>
    <w:rsid w:val="00D96F15"/>
    <w:rsid w:val="00D96F37"/>
    <w:rsid w:val="00D97021"/>
    <w:rsid w:val="00D973A4"/>
    <w:rsid w:val="00D973AF"/>
    <w:rsid w:val="00D97484"/>
    <w:rsid w:val="00D97835"/>
    <w:rsid w:val="00D97882"/>
    <w:rsid w:val="00D978AE"/>
    <w:rsid w:val="00D97A77"/>
    <w:rsid w:val="00D97AE1"/>
    <w:rsid w:val="00D97BA7"/>
    <w:rsid w:val="00D97CA7"/>
    <w:rsid w:val="00D97D53"/>
    <w:rsid w:val="00D97DF8"/>
    <w:rsid w:val="00D97E72"/>
    <w:rsid w:val="00D97ECE"/>
    <w:rsid w:val="00DA0202"/>
    <w:rsid w:val="00DA0346"/>
    <w:rsid w:val="00DA0416"/>
    <w:rsid w:val="00DA0697"/>
    <w:rsid w:val="00DA0855"/>
    <w:rsid w:val="00DA0919"/>
    <w:rsid w:val="00DA0AD2"/>
    <w:rsid w:val="00DA0F64"/>
    <w:rsid w:val="00DA104E"/>
    <w:rsid w:val="00DA11E9"/>
    <w:rsid w:val="00DA123F"/>
    <w:rsid w:val="00DA1269"/>
    <w:rsid w:val="00DA133C"/>
    <w:rsid w:val="00DA141E"/>
    <w:rsid w:val="00DA1522"/>
    <w:rsid w:val="00DA15BF"/>
    <w:rsid w:val="00DA16AB"/>
    <w:rsid w:val="00DA16B6"/>
    <w:rsid w:val="00DA16E9"/>
    <w:rsid w:val="00DA16F1"/>
    <w:rsid w:val="00DA1831"/>
    <w:rsid w:val="00DA1940"/>
    <w:rsid w:val="00DA1A1F"/>
    <w:rsid w:val="00DA1A44"/>
    <w:rsid w:val="00DA1A66"/>
    <w:rsid w:val="00DA1AFA"/>
    <w:rsid w:val="00DA1CAE"/>
    <w:rsid w:val="00DA1D5B"/>
    <w:rsid w:val="00DA1D5C"/>
    <w:rsid w:val="00DA1DBE"/>
    <w:rsid w:val="00DA1F80"/>
    <w:rsid w:val="00DA1F87"/>
    <w:rsid w:val="00DA1FA4"/>
    <w:rsid w:val="00DA20C5"/>
    <w:rsid w:val="00DA22E6"/>
    <w:rsid w:val="00DA235E"/>
    <w:rsid w:val="00DA246A"/>
    <w:rsid w:val="00DA256E"/>
    <w:rsid w:val="00DA2657"/>
    <w:rsid w:val="00DA26FC"/>
    <w:rsid w:val="00DA26FD"/>
    <w:rsid w:val="00DA279F"/>
    <w:rsid w:val="00DA27F4"/>
    <w:rsid w:val="00DA280A"/>
    <w:rsid w:val="00DA2840"/>
    <w:rsid w:val="00DA2939"/>
    <w:rsid w:val="00DA2A3F"/>
    <w:rsid w:val="00DA2D6A"/>
    <w:rsid w:val="00DA2F6C"/>
    <w:rsid w:val="00DA2F91"/>
    <w:rsid w:val="00DA304B"/>
    <w:rsid w:val="00DA30D3"/>
    <w:rsid w:val="00DA313F"/>
    <w:rsid w:val="00DA33BF"/>
    <w:rsid w:val="00DA3522"/>
    <w:rsid w:val="00DA3538"/>
    <w:rsid w:val="00DA376A"/>
    <w:rsid w:val="00DA37EF"/>
    <w:rsid w:val="00DA3A1C"/>
    <w:rsid w:val="00DA3D54"/>
    <w:rsid w:val="00DA3E65"/>
    <w:rsid w:val="00DA418A"/>
    <w:rsid w:val="00DA41E9"/>
    <w:rsid w:val="00DA41FA"/>
    <w:rsid w:val="00DA4460"/>
    <w:rsid w:val="00DA460A"/>
    <w:rsid w:val="00DA4694"/>
    <w:rsid w:val="00DA4788"/>
    <w:rsid w:val="00DA49BE"/>
    <w:rsid w:val="00DA4EFF"/>
    <w:rsid w:val="00DA503C"/>
    <w:rsid w:val="00DA513A"/>
    <w:rsid w:val="00DA5197"/>
    <w:rsid w:val="00DA51F2"/>
    <w:rsid w:val="00DA5374"/>
    <w:rsid w:val="00DA541F"/>
    <w:rsid w:val="00DA55C6"/>
    <w:rsid w:val="00DA589A"/>
    <w:rsid w:val="00DA5A18"/>
    <w:rsid w:val="00DA5B4A"/>
    <w:rsid w:val="00DA5BDC"/>
    <w:rsid w:val="00DA5E71"/>
    <w:rsid w:val="00DA5F6B"/>
    <w:rsid w:val="00DA6147"/>
    <w:rsid w:val="00DA61C4"/>
    <w:rsid w:val="00DA61FF"/>
    <w:rsid w:val="00DA634B"/>
    <w:rsid w:val="00DA63B0"/>
    <w:rsid w:val="00DA64EB"/>
    <w:rsid w:val="00DA66CA"/>
    <w:rsid w:val="00DA67D3"/>
    <w:rsid w:val="00DA6997"/>
    <w:rsid w:val="00DA6AC9"/>
    <w:rsid w:val="00DA6ACD"/>
    <w:rsid w:val="00DA6BBF"/>
    <w:rsid w:val="00DA6BCE"/>
    <w:rsid w:val="00DA6E1E"/>
    <w:rsid w:val="00DA6EC9"/>
    <w:rsid w:val="00DA6F49"/>
    <w:rsid w:val="00DA71AC"/>
    <w:rsid w:val="00DA7256"/>
    <w:rsid w:val="00DA72D1"/>
    <w:rsid w:val="00DA73CE"/>
    <w:rsid w:val="00DA75F1"/>
    <w:rsid w:val="00DA7684"/>
    <w:rsid w:val="00DA7699"/>
    <w:rsid w:val="00DA76E5"/>
    <w:rsid w:val="00DA7812"/>
    <w:rsid w:val="00DA7AAD"/>
    <w:rsid w:val="00DA7C07"/>
    <w:rsid w:val="00DA7C0A"/>
    <w:rsid w:val="00DA7C27"/>
    <w:rsid w:val="00DA7EAE"/>
    <w:rsid w:val="00DA7FAC"/>
    <w:rsid w:val="00DB007B"/>
    <w:rsid w:val="00DB00EB"/>
    <w:rsid w:val="00DB01D0"/>
    <w:rsid w:val="00DB0292"/>
    <w:rsid w:val="00DB036D"/>
    <w:rsid w:val="00DB039A"/>
    <w:rsid w:val="00DB0408"/>
    <w:rsid w:val="00DB0428"/>
    <w:rsid w:val="00DB044C"/>
    <w:rsid w:val="00DB04DC"/>
    <w:rsid w:val="00DB063E"/>
    <w:rsid w:val="00DB0653"/>
    <w:rsid w:val="00DB08EB"/>
    <w:rsid w:val="00DB0B1A"/>
    <w:rsid w:val="00DB0B64"/>
    <w:rsid w:val="00DB0B95"/>
    <w:rsid w:val="00DB0BE9"/>
    <w:rsid w:val="00DB0D77"/>
    <w:rsid w:val="00DB0E97"/>
    <w:rsid w:val="00DB0F69"/>
    <w:rsid w:val="00DB1008"/>
    <w:rsid w:val="00DB105A"/>
    <w:rsid w:val="00DB111E"/>
    <w:rsid w:val="00DB11ED"/>
    <w:rsid w:val="00DB1262"/>
    <w:rsid w:val="00DB144C"/>
    <w:rsid w:val="00DB14EC"/>
    <w:rsid w:val="00DB14F4"/>
    <w:rsid w:val="00DB153F"/>
    <w:rsid w:val="00DB162D"/>
    <w:rsid w:val="00DB16A1"/>
    <w:rsid w:val="00DB16B8"/>
    <w:rsid w:val="00DB17CA"/>
    <w:rsid w:val="00DB17DC"/>
    <w:rsid w:val="00DB1831"/>
    <w:rsid w:val="00DB1997"/>
    <w:rsid w:val="00DB1A50"/>
    <w:rsid w:val="00DB1A54"/>
    <w:rsid w:val="00DB1A68"/>
    <w:rsid w:val="00DB1C8F"/>
    <w:rsid w:val="00DB1DB7"/>
    <w:rsid w:val="00DB2036"/>
    <w:rsid w:val="00DB20C1"/>
    <w:rsid w:val="00DB210F"/>
    <w:rsid w:val="00DB247A"/>
    <w:rsid w:val="00DB24EB"/>
    <w:rsid w:val="00DB265E"/>
    <w:rsid w:val="00DB2706"/>
    <w:rsid w:val="00DB2863"/>
    <w:rsid w:val="00DB2983"/>
    <w:rsid w:val="00DB2C38"/>
    <w:rsid w:val="00DB2C8D"/>
    <w:rsid w:val="00DB2FE9"/>
    <w:rsid w:val="00DB3052"/>
    <w:rsid w:val="00DB30E7"/>
    <w:rsid w:val="00DB3190"/>
    <w:rsid w:val="00DB31B6"/>
    <w:rsid w:val="00DB325C"/>
    <w:rsid w:val="00DB326B"/>
    <w:rsid w:val="00DB33BA"/>
    <w:rsid w:val="00DB341F"/>
    <w:rsid w:val="00DB387C"/>
    <w:rsid w:val="00DB38C0"/>
    <w:rsid w:val="00DB3B47"/>
    <w:rsid w:val="00DB3D0C"/>
    <w:rsid w:val="00DB3D8E"/>
    <w:rsid w:val="00DB3DA0"/>
    <w:rsid w:val="00DB3E5D"/>
    <w:rsid w:val="00DB3F1B"/>
    <w:rsid w:val="00DB4140"/>
    <w:rsid w:val="00DB43A8"/>
    <w:rsid w:val="00DB4432"/>
    <w:rsid w:val="00DB44FF"/>
    <w:rsid w:val="00DB4528"/>
    <w:rsid w:val="00DB45A3"/>
    <w:rsid w:val="00DB46A9"/>
    <w:rsid w:val="00DB46CC"/>
    <w:rsid w:val="00DB4859"/>
    <w:rsid w:val="00DB487B"/>
    <w:rsid w:val="00DB48D5"/>
    <w:rsid w:val="00DB48FD"/>
    <w:rsid w:val="00DB4AD4"/>
    <w:rsid w:val="00DB4B28"/>
    <w:rsid w:val="00DB4CE4"/>
    <w:rsid w:val="00DB4D81"/>
    <w:rsid w:val="00DB4D84"/>
    <w:rsid w:val="00DB4DA4"/>
    <w:rsid w:val="00DB4DA6"/>
    <w:rsid w:val="00DB4DFB"/>
    <w:rsid w:val="00DB4E17"/>
    <w:rsid w:val="00DB4E58"/>
    <w:rsid w:val="00DB4EBA"/>
    <w:rsid w:val="00DB4F5D"/>
    <w:rsid w:val="00DB5092"/>
    <w:rsid w:val="00DB50A1"/>
    <w:rsid w:val="00DB51C3"/>
    <w:rsid w:val="00DB51EB"/>
    <w:rsid w:val="00DB539E"/>
    <w:rsid w:val="00DB558F"/>
    <w:rsid w:val="00DB55F7"/>
    <w:rsid w:val="00DB567A"/>
    <w:rsid w:val="00DB56F8"/>
    <w:rsid w:val="00DB571E"/>
    <w:rsid w:val="00DB5809"/>
    <w:rsid w:val="00DB5841"/>
    <w:rsid w:val="00DB5889"/>
    <w:rsid w:val="00DB5979"/>
    <w:rsid w:val="00DB5A2F"/>
    <w:rsid w:val="00DB5B34"/>
    <w:rsid w:val="00DB5C74"/>
    <w:rsid w:val="00DB5D6B"/>
    <w:rsid w:val="00DB5D9D"/>
    <w:rsid w:val="00DB5E03"/>
    <w:rsid w:val="00DB60A0"/>
    <w:rsid w:val="00DB60EB"/>
    <w:rsid w:val="00DB6126"/>
    <w:rsid w:val="00DB6136"/>
    <w:rsid w:val="00DB6152"/>
    <w:rsid w:val="00DB6243"/>
    <w:rsid w:val="00DB6304"/>
    <w:rsid w:val="00DB6351"/>
    <w:rsid w:val="00DB6368"/>
    <w:rsid w:val="00DB63F2"/>
    <w:rsid w:val="00DB642D"/>
    <w:rsid w:val="00DB643D"/>
    <w:rsid w:val="00DB6457"/>
    <w:rsid w:val="00DB6508"/>
    <w:rsid w:val="00DB65CC"/>
    <w:rsid w:val="00DB65D1"/>
    <w:rsid w:val="00DB66BB"/>
    <w:rsid w:val="00DB6774"/>
    <w:rsid w:val="00DB6805"/>
    <w:rsid w:val="00DB6C09"/>
    <w:rsid w:val="00DB6C6D"/>
    <w:rsid w:val="00DB6D0A"/>
    <w:rsid w:val="00DB6E73"/>
    <w:rsid w:val="00DB6F22"/>
    <w:rsid w:val="00DB6F43"/>
    <w:rsid w:val="00DB6FE8"/>
    <w:rsid w:val="00DB71A7"/>
    <w:rsid w:val="00DB71B3"/>
    <w:rsid w:val="00DB7261"/>
    <w:rsid w:val="00DB734D"/>
    <w:rsid w:val="00DB7736"/>
    <w:rsid w:val="00DB77DC"/>
    <w:rsid w:val="00DB78FC"/>
    <w:rsid w:val="00DB7972"/>
    <w:rsid w:val="00DB7A09"/>
    <w:rsid w:val="00DB7BC5"/>
    <w:rsid w:val="00DB7C0F"/>
    <w:rsid w:val="00DB7C64"/>
    <w:rsid w:val="00DB7CDE"/>
    <w:rsid w:val="00DB7E72"/>
    <w:rsid w:val="00DB7EA2"/>
    <w:rsid w:val="00DB7F4D"/>
    <w:rsid w:val="00DB7F85"/>
    <w:rsid w:val="00DB7FAE"/>
    <w:rsid w:val="00DB7FB5"/>
    <w:rsid w:val="00DC01EE"/>
    <w:rsid w:val="00DC024F"/>
    <w:rsid w:val="00DC0824"/>
    <w:rsid w:val="00DC0A44"/>
    <w:rsid w:val="00DC0A98"/>
    <w:rsid w:val="00DC0B7F"/>
    <w:rsid w:val="00DC0B88"/>
    <w:rsid w:val="00DC0BF3"/>
    <w:rsid w:val="00DC0D09"/>
    <w:rsid w:val="00DC0D48"/>
    <w:rsid w:val="00DC0DFE"/>
    <w:rsid w:val="00DC0ED2"/>
    <w:rsid w:val="00DC0F93"/>
    <w:rsid w:val="00DC0FD3"/>
    <w:rsid w:val="00DC1031"/>
    <w:rsid w:val="00DC1098"/>
    <w:rsid w:val="00DC10E1"/>
    <w:rsid w:val="00DC119A"/>
    <w:rsid w:val="00DC1216"/>
    <w:rsid w:val="00DC1257"/>
    <w:rsid w:val="00DC142A"/>
    <w:rsid w:val="00DC14DD"/>
    <w:rsid w:val="00DC1516"/>
    <w:rsid w:val="00DC156F"/>
    <w:rsid w:val="00DC181F"/>
    <w:rsid w:val="00DC1855"/>
    <w:rsid w:val="00DC185B"/>
    <w:rsid w:val="00DC18E6"/>
    <w:rsid w:val="00DC1AD6"/>
    <w:rsid w:val="00DC1BD8"/>
    <w:rsid w:val="00DC1C1C"/>
    <w:rsid w:val="00DC1D12"/>
    <w:rsid w:val="00DC1D20"/>
    <w:rsid w:val="00DC1E70"/>
    <w:rsid w:val="00DC1E90"/>
    <w:rsid w:val="00DC1F04"/>
    <w:rsid w:val="00DC2042"/>
    <w:rsid w:val="00DC2150"/>
    <w:rsid w:val="00DC21FC"/>
    <w:rsid w:val="00DC23BF"/>
    <w:rsid w:val="00DC24A6"/>
    <w:rsid w:val="00DC254B"/>
    <w:rsid w:val="00DC2777"/>
    <w:rsid w:val="00DC27DF"/>
    <w:rsid w:val="00DC288D"/>
    <w:rsid w:val="00DC29C1"/>
    <w:rsid w:val="00DC2A28"/>
    <w:rsid w:val="00DC2AA7"/>
    <w:rsid w:val="00DC2C01"/>
    <w:rsid w:val="00DC2D8E"/>
    <w:rsid w:val="00DC2D98"/>
    <w:rsid w:val="00DC2E13"/>
    <w:rsid w:val="00DC2EF6"/>
    <w:rsid w:val="00DC3072"/>
    <w:rsid w:val="00DC321D"/>
    <w:rsid w:val="00DC3228"/>
    <w:rsid w:val="00DC342C"/>
    <w:rsid w:val="00DC35D3"/>
    <w:rsid w:val="00DC389C"/>
    <w:rsid w:val="00DC3909"/>
    <w:rsid w:val="00DC3A0F"/>
    <w:rsid w:val="00DC3A4D"/>
    <w:rsid w:val="00DC3AA1"/>
    <w:rsid w:val="00DC3BAE"/>
    <w:rsid w:val="00DC3C88"/>
    <w:rsid w:val="00DC3D7E"/>
    <w:rsid w:val="00DC3DC0"/>
    <w:rsid w:val="00DC3E45"/>
    <w:rsid w:val="00DC3ED9"/>
    <w:rsid w:val="00DC3F3C"/>
    <w:rsid w:val="00DC405F"/>
    <w:rsid w:val="00DC42E5"/>
    <w:rsid w:val="00DC431E"/>
    <w:rsid w:val="00DC4415"/>
    <w:rsid w:val="00DC4469"/>
    <w:rsid w:val="00DC4475"/>
    <w:rsid w:val="00DC4494"/>
    <w:rsid w:val="00DC476A"/>
    <w:rsid w:val="00DC482E"/>
    <w:rsid w:val="00DC48E1"/>
    <w:rsid w:val="00DC4953"/>
    <w:rsid w:val="00DC4963"/>
    <w:rsid w:val="00DC4AE3"/>
    <w:rsid w:val="00DC4AFE"/>
    <w:rsid w:val="00DC4E1F"/>
    <w:rsid w:val="00DC4E21"/>
    <w:rsid w:val="00DC4F55"/>
    <w:rsid w:val="00DC4F82"/>
    <w:rsid w:val="00DC5063"/>
    <w:rsid w:val="00DC50D0"/>
    <w:rsid w:val="00DC5378"/>
    <w:rsid w:val="00DC53D2"/>
    <w:rsid w:val="00DC5597"/>
    <w:rsid w:val="00DC55E7"/>
    <w:rsid w:val="00DC57EF"/>
    <w:rsid w:val="00DC5878"/>
    <w:rsid w:val="00DC595F"/>
    <w:rsid w:val="00DC5A12"/>
    <w:rsid w:val="00DC5A4F"/>
    <w:rsid w:val="00DC5AE4"/>
    <w:rsid w:val="00DC5B2B"/>
    <w:rsid w:val="00DC5BF2"/>
    <w:rsid w:val="00DC5C6F"/>
    <w:rsid w:val="00DC5E87"/>
    <w:rsid w:val="00DC5FBB"/>
    <w:rsid w:val="00DC6121"/>
    <w:rsid w:val="00DC627C"/>
    <w:rsid w:val="00DC62C6"/>
    <w:rsid w:val="00DC636C"/>
    <w:rsid w:val="00DC6645"/>
    <w:rsid w:val="00DC677E"/>
    <w:rsid w:val="00DC68D0"/>
    <w:rsid w:val="00DC68FC"/>
    <w:rsid w:val="00DC6A67"/>
    <w:rsid w:val="00DC6B28"/>
    <w:rsid w:val="00DC6B81"/>
    <w:rsid w:val="00DC6B88"/>
    <w:rsid w:val="00DC6BF2"/>
    <w:rsid w:val="00DC6D92"/>
    <w:rsid w:val="00DC7055"/>
    <w:rsid w:val="00DC7118"/>
    <w:rsid w:val="00DC7143"/>
    <w:rsid w:val="00DC7167"/>
    <w:rsid w:val="00DC725F"/>
    <w:rsid w:val="00DC7265"/>
    <w:rsid w:val="00DC7288"/>
    <w:rsid w:val="00DC7313"/>
    <w:rsid w:val="00DC73A9"/>
    <w:rsid w:val="00DC7615"/>
    <w:rsid w:val="00DC77E3"/>
    <w:rsid w:val="00DC7886"/>
    <w:rsid w:val="00DC792F"/>
    <w:rsid w:val="00DC79FD"/>
    <w:rsid w:val="00DC7AF6"/>
    <w:rsid w:val="00DC7B22"/>
    <w:rsid w:val="00DC7CD9"/>
    <w:rsid w:val="00DC7F5E"/>
    <w:rsid w:val="00DC7F67"/>
    <w:rsid w:val="00DD01F2"/>
    <w:rsid w:val="00DD043B"/>
    <w:rsid w:val="00DD04D3"/>
    <w:rsid w:val="00DD0769"/>
    <w:rsid w:val="00DD07A1"/>
    <w:rsid w:val="00DD07A7"/>
    <w:rsid w:val="00DD0800"/>
    <w:rsid w:val="00DD0840"/>
    <w:rsid w:val="00DD0858"/>
    <w:rsid w:val="00DD086C"/>
    <w:rsid w:val="00DD0A67"/>
    <w:rsid w:val="00DD0BAE"/>
    <w:rsid w:val="00DD0E18"/>
    <w:rsid w:val="00DD0EBB"/>
    <w:rsid w:val="00DD0F19"/>
    <w:rsid w:val="00DD0F27"/>
    <w:rsid w:val="00DD0F40"/>
    <w:rsid w:val="00DD10FD"/>
    <w:rsid w:val="00DD124C"/>
    <w:rsid w:val="00DD12B2"/>
    <w:rsid w:val="00DD136D"/>
    <w:rsid w:val="00DD1386"/>
    <w:rsid w:val="00DD13BF"/>
    <w:rsid w:val="00DD13CE"/>
    <w:rsid w:val="00DD1402"/>
    <w:rsid w:val="00DD1475"/>
    <w:rsid w:val="00DD14FF"/>
    <w:rsid w:val="00DD15AF"/>
    <w:rsid w:val="00DD1716"/>
    <w:rsid w:val="00DD1AE8"/>
    <w:rsid w:val="00DD1B3A"/>
    <w:rsid w:val="00DD1BDD"/>
    <w:rsid w:val="00DD21AB"/>
    <w:rsid w:val="00DD2308"/>
    <w:rsid w:val="00DD240F"/>
    <w:rsid w:val="00DD25C4"/>
    <w:rsid w:val="00DD26E1"/>
    <w:rsid w:val="00DD2757"/>
    <w:rsid w:val="00DD2B57"/>
    <w:rsid w:val="00DD2BEF"/>
    <w:rsid w:val="00DD2D6A"/>
    <w:rsid w:val="00DD2DF3"/>
    <w:rsid w:val="00DD2E97"/>
    <w:rsid w:val="00DD30CC"/>
    <w:rsid w:val="00DD30DE"/>
    <w:rsid w:val="00DD310A"/>
    <w:rsid w:val="00DD318D"/>
    <w:rsid w:val="00DD32EE"/>
    <w:rsid w:val="00DD3589"/>
    <w:rsid w:val="00DD373D"/>
    <w:rsid w:val="00DD377F"/>
    <w:rsid w:val="00DD392C"/>
    <w:rsid w:val="00DD3A5F"/>
    <w:rsid w:val="00DD3AD6"/>
    <w:rsid w:val="00DD3BF5"/>
    <w:rsid w:val="00DD3BF8"/>
    <w:rsid w:val="00DD3DF9"/>
    <w:rsid w:val="00DD3E70"/>
    <w:rsid w:val="00DD40A6"/>
    <w:rsid w:val="00DD4192"/>
    <w:rsid w:val="00DD4208"/>
    <w:rsid w:val="00DD43DF"/>
    <w:rsid w:val="00DD48EE"/>
    <w:rsid w:val="00DD492A"/>
    <w:rsid w:val="00DD4944"/>
    <w:rsid w:val="00DD4A98"/>
    <w:rsid w:val="00DD4ACF"/>
    <w:rsid w:val="00DD4B93"/>
    <w:rsid w:val="00DD4C62"/>
    <w:rsid w:val="00DD4C64"/>
    <w:rsid w:val="00DD4DDD"/>
    <w:rsid w:val="00DD4DFC"/>
    <w:rsid w:val="00DD4FC1"/>
    <w:rsid w:val="00DD5274"/>
    <w:rsid w:val="00DD52F5"/>
    <w:rsid w:val="00DD55D2"/>
    <w:rsid w:val="00DD5656"/>
    <w:rsid w:val="00DD591A"/>
    <w:rsid w:val="00DD5930"/>
    <w:rsid w:val="00DD5B62"/>
    <w:rsid w:val="00DD5B65"/>
    <w:rsid w:val="00DD5C0D"/>
    <w:rsid w:val="00DD5CF1"/>
    <w:rsid w:val="00DD5D76"/>
    <w:rsid w:val="00DD5D7C"/>
    <w:rsid w:val="00DD5DB5"/>
    <w:rsid w:val="00DD5E15"/>
    <w:rsid w:val="00DD5F40"/>
    <w:rsid w:val="00DD5FAF"/>
    <w:rsid w:val="00DD60BA"/>
    <w:rsid w:val="00DD6118"/>
    <w:rsid w:val="00DD619A"/>
    <w:rsid w:val="00DD656E"/>
    <w:rsid w:val="00DD666D"/>
    <w:rsid w:val="00DD68DA"/>
    <w:rsid w:val="00DD69CF"/>
    <w:rsid w:val="00DD6AD3"/>
    <w:rsid w:val="00DD6C85"/>
    <w:rsid w:val="00DD6DB7"/>
    <w:rsid w:val="00DD6F26"/>
    <w:rsid w:val="00DD6F9E"/>
    <w:rsid w:val="00DD6FC4"/>
    <w:rsid w:val="00DD715E"/>
    <w:rsid w:val="00DD7508"/>
    <w:rsid w:val="00DD7549"/>
    <w:rsid w:val="00DD76C1"/>
    <w:rsid w:val="00DD76C4"/>
    <w:rsid w:val="00DD7845"/>
    <w:rsid w:val="00DD78B1"/>
    <w:rsid w:val="00DD790C"/>
    <w:rsid w:val="00DD7AFB"/>
    <w:rsid w:val="00DD7C24"/>
    <w:rsid w:val="00DD7D53"/>
    <w:rsid w:val="00DD7EA6"/>
    <w:rsid w:val="00DD7EFA"/>
    <w:rsid w:val="00DD7F33"/>
    <w:rsid w:val="00DE00B4"/>
    <w:rsid w:val="00DE01E3"/>
    <w:rsid w:val="00DE02CA"/>
    <w:rsid w:val="00DE0829"/>
    <w:rsid w:val="00DE08A0"/>
    <w:rsid w:val="00DE08BE"/>
    <w:rsid w:val="00DE0A36"/>
    <w:rsid w:val="00DE0ADE"/>
    <w:rsid w:val="00DE0B3F"/>
    <w:rsid w:val="00DE0CEA"/>
    <w:rsid w:val="00DE0E2E"/>
    <w:rsid w:val="00DE0E77"/>
    <w:rsid w:val="00DE0F10"/>
    <w:rsid w:val="00DE0F4A"/>
    <w:rsid w:val="00DE104B"/>
    <w:rsid w:val="00DE112A"/>
    <w:rsid w:val="00DE11C3"/>
    <w:rsid w:val="00DE134A"/>
    <w:rsid w:val="00DE159C"/>
    <w:rsid w:val="00DE188E"/>
    <w:rsid w:val="00DE18A0"/>
    <w:rsid w:val="00DE1953"/>
    <w:rsid w:val="00DE1A64"/>
    <w:rsid w:val="00DE1A93"/>
    <w:rsid w:val="00DE1B54"/>
    <w:rsid w:val="00DE1BD3"/>
    <w:rsid w:val="00DE1ECD"/>
    <w:rsid w:val="00DE2061"/>
    <w:rsid w:val="00DE22D6"/>
    <w:rsid w:val="00DE23D9"/>
    <w:rsid w:val="00DE23E0"/>
    <w:rsid w:val="00DE242B"/>
    <w:rsid w:val="00DE24C7"/>
    <w:rsid w:val="00DE254D"/>
    <w:rsid w:val="00DE2700"/>
    <w:rsid w:val="00DE2768"/>
    <w:rsid w:val="00DE27D5"/>
    <w:rsid w:val="00DE2B28"/>
    <w:rsid w:val="00DE2B4B"/>
    <w:rsid w:val="00DE2C9A"/>
    <w:rsid w:val="00DE2D16"/>
    <w:rsid w:val="00DE2DE6"/>
    <w:rsid w:val="00DE2E38"/>
    <w:rsid w:val="00DE2FBE"/>
    <w:rsid w:val="00DE2FC2"/>
    <w:rsid w:val="00DE3236"/>
    <w:rsid w:val="00DE3556"/>
    <w:rsid w:val="00DE3653"/>
    <w:rsid w:val="00DE3685"/>
    <w:rsid w:val="00DE374F"/>
    <w:rsid w:val="00DE37B4"/>
    <w:rsid w:val="00DE37D0"/>
    <w:rsid w:val="00DE3865"/>
    <w:rsid w:val="00DE38E2"/>
    <w:rsid w:val="00DE39CF"/>
    <w:rsid w:val="00DE3A34"/>
    <w:rsid w:val="00DE3C00"/>
    <w:rsid w:val="00DE3C64"/>
    <w:rsid w:val="00DE3D08"/>
    <w:rsid w:val="00DE3EE9"/>
    <w:rsid w:val="00DE4060"/>
    <w:rsid w:val="00DE41A6"/>
    <w:rsid w:val="00DE42B2"/>
    <w:rsid w:val="00DE4502"/>
    <w:rsid w:val="00DE45D8"/>
    <w:rsid w:val="00DE482D"/>
    <w:rsid w:val="00DE48AC"/>
    <w:rsid w:val="00DE48D3"/>
    <w:rsid w:val="00DE49AD"/>
    <w:rsid w:val="00DE4A4B"/>
    <w:rsid w:val="00DE4B74"/>
    <w:rsid w:val="00DE4BE7"/>
    <w:rsid w:val="00DE4C0B"/>
    <w:rsid w:val="00DE4D13"/>
    <w:rsid w:val="00DE4DE4"/>
    <w:rsid w:val="00DE4E0D"/>
    <w:rsid w:val="00DE4E88"/>
    <w:rsid w:val="00DE4ED4"/>
    <w:rsid w:val="00DE5018"/>
    <w:rsid w:val="00DE502A"/>
    <w:rsid w:val="00DE50C3"/>
    <w:rsid w:val="00DE5228"/>
    <w:rsid w:val="00DE5355"/>
    <w:rsid w:val="00DE537C"/>
    <w:rsid w:val="00DE5404"/>
    <w:rsid w:val="00DE5456"/>
    <w:rsid w:val="00DE5467"/>
    <w:rsid w:val="00DE571E"/>
    <w:rsid w:val="00DE5857"/>
    <w:rsid w:val="00DE58D8"/>
    <w:rsid w:val="00DE59C6"/>
    <w:rsid w:val="00DE59F1"/>
    <w:rsid w:val="00DE5A3D"/>
    <w:rsid w:val="00DE5BF7"/>
    <w:rsid w:val="00DE5C31"/>
    <w:rsid w:val="00DE5F09"/>
    <w:rsid w:val="00DE5FCD"/>
    <w:rsid w:val="00DE6461"/>
    <w:rsid w:val="00DE6572"/>
    <w:rsid w:val="00DE66F1"/>
    <w:rsid w:val="00DE68B7"/>
    <w:rsid w:val="00DE6B95"/>
    <w:rsid w:val="00DE6C55"/>
    <w:rsid w:val="00DE6C96"/>
    <w:rsid w:val="00DE6FAA"/>
    <w:rsid w:val="00DE71CF"/>
    <w:rsid w:val="00DE728A"/>
    <w:rsid w:val="00DE7703"/>
    <w:rsid w:val="00DE7957"/>
    <w:rsid w:val="00DE79E1"/>
    <w:rsid w:val="00DE79EB"/>
    <w:rsid w:val="00DE7A6E"/>
    <w:rsid w:val="00DE7ACE"/>
    <w:rsid w:val="00DE7BBF"/>
    <w:rsid w:val="00DE7E0F"/>
    <w:rsid w:val="00DF0269"/>
    <w:rsid w:val="00DF047A"/>
    <w:rsid w:val="00DF067E"/>
    <w:rsid w:val="00DF06FC"/>
    <w:rsid w:val="00DF0745"/>
    <w:rsid w:val="00DF0886"/>
    <w:rsid w:val="00DF0A51"/>
    <w:rsid w:val="00DF0AF2"/>
    <w:rsid w:val="00DF0D35"/>
    <w:rsid w:val="00DF1074"/>
    <w:rsid w:val="00DF147F"/>
    <w:rsid w:val="00DF1531"/>
    <w:rsid w:val="00DF1823"/>
    <w:rsid w:val="00DF19CA"/>
    <w:rsid w:val="00DF1A11"/>
    <w:rsid w:val="00DF1ABC"/>
    <w:rsid w:val="00DF1B9D"/>
    <w:rsid w:val="00DF1C08"/>
    <w:rsid w:val="00DF1CD6"/>
    <w:rsid w:val="00DF1D8F"/>
    <w:rsid w:val="00DF1E1C"/>
    <w:rsid w:val="00DF1EBC"/>
    <w:rsid w:val="00DF1EE7"/>
    <w:rsid w:val="00DF1F4B"/>
    <w:rsid w:val="00DF1FFF"/>
    <w:rsid w:val="00DF2031"/>
    <w:rsid w:val="00DF20CF"/>
    <w:rsid w:val="00DF2156"/>
    <w:rsid w:val="00DF221D"/>
    <w:rsid w:val="00DF22E9"/>
    <w:rsid w:val="00DF2314"/>
    <w:rsid w:val="00DF234D"/>
    <w:rsid w:val="00DF235F"/>
    <w:rsid w:val="00DF2379"/>
    <w:rsid w:val="00DF24EA"/>
    <w:rsid w:val="00DF267D"/>
    <w:rsid w:val="00DF269B"/>
    <w:rsid w:val="00DF281D"/>
    <w:rsid w:val="00DF28EC"/>
    <w:rsid w:val="00DF2B4D"/>
    <w:rsid w:val="00DF2C64"/>
    <w:rsid w:val="00DF2CB0"/>
    <w:rsid w:val="00DF2DC6"/>
    <w:rsid w:val="00DF2E12"/>
    <w:rsid w:val="00DF2E42"/>
    <w:rsid w:val="00DF30EC"/>
    <w:rsid w:val="00DF30F6"/>
    <w:rsid w:val="00DF32B8"/>
    <w:rsid w:val="00DF339A"/>
    <w:rsid w:val="00DF356F"/>
    <w:rsid w:val="00DF35DB"/>
    <w:rsid w:val="00DF3837"/>
    <w:rsid w:val="00DF38ED"/>
    <w:rsid w:val="00DF3983"/>
    <w:rsid w:val="00DF3AE3"/>
    <w:rsid w:val="00DF3B88"/>
    <w:rsid w:val="00DF3C59"/>
    <w:rsid w:val="00DF3CC9"/>
    <w:rsid w:val="00DF3EE4"/>
    <w:rsid w:val="00DF3F01"/>
    <w:rsid w:val="00DF3F08"/>
    <w:rsid w:val="00DF4001"/>
    <w:rsid w:val="00DF42F3"/>
    <w:rsid w:val="00DF43A5"/>
    <w:rsid w:val="00DF43BC"/>
    <w:rsid w:val="00DF4466"/>
    <w:rsid w:val="00DF469D"/>
    <w:rsid w:val="00DF46D5"/>
    <w:rsid w:val="00DF47DA"/>
    <w:rsid w:val="00DF47FE"/>
    <w:rsid w:val="00DF486D"/>
    <w:rsid w:val="00DF4879"/>
    <w:rsid w:val="00DF48C3"/>
    <w:rsid w:val="00DF49DB"/>
    <w:rsid w:val="00DF4A67"/>
    <w:rsid w:val="00DF4B79"/>
    <w:rsid w:val="00DF4BB8"/>
    <w:rsid w:val="00DF4C81"/>
    <w:rsid w:val="00DF4EA7"/>
    <w:rsid w:val="00DF509C"/>
    <w:rsid w:val="00DF50B7"/>
    <w:rsid w:val="00DF514A"/>
    <w:rsid w:val="00DF51F0"/>
    <w:rsid w:val="00DF5205"/>
    <w:rsid w:val="00DF5225"/>
    <w:rsid w:val="00DF5327"/>
    <w:rsid w:val="00DF5359"/>
    <w:rsid w:val="00DF5367"/>
    <w:rsid w:val="00DF5376"/>
    <w:rsid w:val="00DF557D"/>
    <w:rsid w:val="00DF56BA"/>
    <w:rsid w:val="00DF5775"/>
    <w:rsid w:val="00DF57EA"/>
    <w:rsid w:val="00DF5A95"/>
    <w:rsid w:val="00DF5AD6"/>
    <w:rsid w:val="00DF5C0E"/>
    <w:rsid w:val="00DF5D2C"/>
    <w:rsid w:val="00DF5DE6"/>
    <w:rsid w:val="00DF5DFD"/>
    <w:rsid w:val="00DF5FA4"/>
    <w:rsid w:val="00DF60D5"/>
    <w:rsid w:val="00DF619D"/>
    <w:rsid w:val="00DF6252"/>
    <w:rsid w:val="00DF64D9"/>
    <w:rsid w:val="00DF665F"/>
    <w:rsid w:val="00DF6690"/>
    <w:rsid w:val="00DF678F"/>
    <w:rsid w:val="00DF6804"/>
    <w:rsid w:val="00DF6833"/>
    <w:rsid w:val="00DF68A3"/>
    <w:rsid w:val="00DF68E2"/>
    <w:rsid w:val="00DF69A0"/>
    <w:rsid w:val="00DF6C0E"/>
    <w:rsid w:val="00DF6EC2"/>
    <w:rsid w:val="00DF6EEE"/>
    <w:rsid w:val="00DF72DE"/>
    <w:rsid w:val="00DF73FF"/>
    <w:rsid w:val="00DF7721"/>
    <w:rsid w:val="00DF7791"/>
    <w:rsid w:val="00DF77F3"/>
    <w:rsid w:val="00DF7876"/>
    <w:rsid w:val="00DF79BB"/>
    <w:rsid w:val="00DF7A1E"/>
    <w:rsid w:val="00DF7B6E"/>
    <w:rsid w:val="00DF7CE8"/>
    <w:rsid w:val="00DF7F45"/>
    <w:rsid w:val="00DF7F54"/>
    <w:rsid w:val="00DF7FBA"/>
    <w:rsid w:val="00E000BE"/>
    <w:rsid w:val="00E000FD"/>
    <w:rsid w:val="00E001B3"/>
    <w:rsid w:val="00E001F9"/>
    <w:rsid w:val="00E00230"/>
    <w:rsid w:val="00E007E6"/>
    <w:rsid w:val="00E007FC"/>
    <w:rsid w:val="00E00845"/>
    <w:rsid w:val="00E00A7E"/>
    <w:rsid w:val="00E00AF8"/>
    <w:rsid w:val="00E00B55"/>
    <w:rsid w:val="00E00CBF"/>
    <w:rsid w:val="00E00D55"/>
    <w:rsid w:val="00E00D77"/>
    <w:rsid w:val="00E00E69"/>
    <w:rsid w:val="00E00E84"/>
    <w:rsid w:val="00E00F83"/>
    <w:rsid w:val="00E01029"/>
    <w:rsid w:val="00E011D8"/>
    <w:rsid w:val="00E011F3"/>
    <w:rsid w:val="00E0126F"/>
    <w:rsid w:val="00E012A8"/>
    <w:rsid w:val="00E014BB"/>
    <w:rsid w:val="00E015C1"/>
    <w:rsid w:val="00E0163A"/>
    <w:rsid w:val="00E016E3"/>
    <w:rsid w:val="00E01841"/>
    <w:rsid w:val="00E018F2"/>
    <w:rsid w:val="00E01911"/>
    <w:rsid w:val="00E01960"/>
    <w:rsid w:val="00E019C7"/>
    <w:rsid w:val="00E01A34"/>
    <w:rsid w:val="00E01AE6"/>
    <w:rsid w:val="00E01B25"/>
    <w:rsid w:val="00E01BAA"/>
    <w:rsid w:val="00E01D7E"/>
    <w:rsid w:val="00E01D89"/>
    <w:rsid w:val="00E02025"/>
    <w:rsid w:val="00E0219F"/>
    <w:rsid w:val="00E022D0"/>
    <w:rsid w:val="00E02440"/>
    <w:rsid w:val="00E0269F"/>
    <w:rsid w:val="00E0273C"/>
    <w:rsid w:val="00E028A7"/>
    <w:rsid w:val="00E0299C"/>
    <w:rsid w:val="00E0299F"/>
    <w:rsid w:val="00E02A0D"/>
    <w:rsid w:val="00E02AE1"/>
    <w:rsid w:val="00E02BB0"/>
    <w:rsid w:val="00E02C0B"/>
    <w:rsid w:val="00E02C19"/>
    <w:rsid w:val="00E02D03"/>
    <w:rsid w:val="00E02DB5"/>
    <w:rsid w:val="00E02DBA"/>
    <w:rsid w:val="00E02DF1"/>
    <w:rsid w:val="00E02EBC"/>
    <w:rsid w:val="00E02F3F"/>
    <w:rsid w:val="00E030ED"/>
    <w:rsid w:val="00E0310B"/>
    <w:rsid w:val="00E03216"/>
    <w:rsid w:val="00E0322D"/>
    <w:rsid w:val="00E0329B"/>
    <w:rsid w:val="00E03507"/>
    <w:rsid w:val="00E0352A"/>
    <w:rsid w:val="00E0358D"/>
    <w:rsid w:val="00E0361F"/>
    <w:rsid w:val="00E037E7"/>
    <w:rsid w:val="00E03AE0"/>
    <w:rsid w:val="00E03BFA"/>
    <w:rsid w:val="00E03C9E"/>
    <w:rsid w:val="00E03CB5"/>
    <w:rsid w:val="00E03DDB"/>
    <w:rsid w:val="00E04175"/>
    <w:rsid w:val="00E04323"/>
    <w:rsid w:val="00E04380"/>
    <w:rsid w:val="00E043BD"/>
    <w:rsid w:val="00E043DE"/>
    <w:rsid w:val="00E0450C"/>
    <w:rsid w:val="00E04612"/>
    <w:rsid w:val="00E046E7"/>
    <w:rsid w:val="00E0482C"/>
    <w:rsid w:val="00E04947"/>
    <w:rsid w:val="00E04A81"/>
    <w:rsid w:val="00E04AC6"/>
    <w:rsid w:val="00E04C3C"/>
    <w:rsid w:val="00E04D42"/>
    <w:rsid w:val="00E04D90"/>
    <w:rsid w:val="00E04DCD"/>
    <w:rsid w:val="00E04EF8"/>
    <w:rsid w:val="00E04F4C"/>
    <w:rsid w:val="00E05049"/>
    <w:rsid w:val="00E050EB"/>
    <w:rsid w:val="00E051B0"/>
    <w:rsid w:val="00E05264"/>
    <w:rsid w:val="00E05446"/>
    <w:rsid w:val="00E0556B"/>
    <w:rsid w:val="00E056A2"/>
    <w:rsid w:val="00E05705"/>
    <w:rsid w:val="00E05807"/>
    <w:rsid w:val="00E058DA"/>
    <w:rsid w:val="00E05AAC"/>
    <w:rsid w:val="00E05AC5"/>
    <w:rsid w:val="00E05B37"/>
    <w:rsid w:val="00E05BC2"/>
    <w:rsid w:val="00E05BCA"/>
    <w:rsid w:val="00E05C4B"/>
    <w:rsid w:val="00E05C75"/>
    <w:rsid w:val="00E05C7C"/>
    <w:rsid w:val="00E05CDC"/>
    <w:rsid w:val="00E05CEC"/>
    <w:rsid w:val="00E05DD6"/>
    <w:rsid w:val="00E05DE8"/>
    <w:rsid w:val="00E05FEE"/>
    <w:rsid w:val="00E061A1"/>
    <w:rsid w:val="00E0625A"/>
    <w:rsid w:val="00E06291"/>
    <w:rsid w:val="00E06322"/>
    <w:rsid w:val="00E063D2"/>
    <w:rsid w:val="00E066D7"/>
    <w:rsid w:val="00E068DE"/>
    <w:rsid w:val="00E0691B"/>
    <w:rsid w:val="00E06BCB"/>
    <w:rsid w:val="00E06BE1"/>
    <w:rsid w:val="00E06BF8"/>
    <w:rsid w:val="00E06D23"/>
    <w:rsid w:val="00E06DA9"/>
    <w:rsid w:val="00E06ED2"/>
    <w:rsid w:val="00E06F22"/>
    <w:rsid w:val="00E0700C"/>
    <w:rsid w:val="00E070A2"/>
    <w:rsid w:val="00E071D6"/>
    <w:rsid w:val="00E0739E"/>
    <w:rsid w:val="00E07518"/>
    <w:rsid w:val="00E0763B"/>
    <w:rsid w:val="00E077CA"/>
    <w:rsid w:val="00E0788F"/>
    <w:rsid w:val="00E078F2"/>
    <w:rsid w:val="00E0794C"/>
    <w:rsid w:val="00E079E4"/>
    <w:rsid w:val="00E07A75"/>
    <w:rsid w:val="00E07D3E"/>
    <w:rsid w:val="00E07FFB"/>
    <w:rsid w:val="00E1010B"/>
    <w:rsid w:val="00E101D4"/>
    <w:rsid w:val="00E10201"/>
    <w:rsid w:val="00E10243"/>
    <w:rsid w:val="00E102C4"/>
    <w:rsid w:val="00E10379"/>
    <w:rsid w:val="00E103BA"/>
    <w:rsid w:val="00E1047D"/>
    <w:rsid w:val="00E104A2"/>
    <w:rsid w:val="00E10607"/>
    <w:rsid w:val="00E107B6"/>
    <w:rsid w:val="00E107F3"/>
    <w:rsid w:val="00E10834"/>
    <w:rsid w:val="00E10B0E"/>
    <w:rsid w:val="00E10B70"/>
    <w:rsid w:val="00E10F97"/>
    <w:rsid w:val="00E11073"/>
    <w:rsid w:val="00E114EA"/>
    <w:rsid w:val="00E116C5"/>
    <w:rsid w:val="00E117A7"/>
    <w:rsid w:val="00E117B0"/>
    <w:rsid w:val="00E11802"/>
    <w:rsid w:val="00E11895"/>
    <w:rsid w:val="00E1195F"/>
    <w:rsid w:val="00E119AD"/>
    <w:rsid w:val="00E11A90"/>
    <w:rsid w:val="00E11B78"/>
    <w:rsid w:val="00E11B9B"/>
    <w:rsid w:val="00E11BB8"/>
    <w:rsid w:val="00E11BC4"/>
    <w:rsid w:val="00E11C1C"/>
    <w:rsid w:val="00E11CB0"/>
    <w:rsid w:val="00E11D80"/>
    <w:rsid w:val="00E11FE4"/>
    <w:rsid w:val="00E1214F"/>
    <w:rsid w:val="00E12171"/>
    <w:rsid w:val="00E12230"/>
    <w:rsid w:val="00E12233"/>
    <w:rsid w:val="00E122B0"/>
    <w:rsid w:val="00E12330"/>
    <w:rsid w:val="00E12334"/>
    <w:rsid w:val="00E124D7"/>
    <w:rsid w:val="00E12551"/>
    <w:rsid w:val="00E12600"/>
    <w:rsid w:val="00E12736"/>
    <w:rsid w:val="00E12859"/>
    <w:rsid w:val="00E128D5"/>
    <w:rsid w:val="00E12A7B"/>
    <w:rsid w:val="00E12A84"/>
    <w:rsid w:val="00E12E33"/>
    <w:rsid w:val="00E12E44"/>
    <w:rsid w:val="00E12E8E"/>
    <w:rsid w:val="00E132FF"/>
    <w:rsid w:val="00E1334F"/>
    <w:rsid w:val="00E133C5"/>
    <w:rsid w:val="00E133D1"/>
    <w:rsid w:val="00E13657"/>
    <w:rsid w:val="00E1369B"/>
    <w:rsid w:val="00E139C9"/>
    <w:rsid w:val="00E13B47"/>
    <w:rsid w:val="00E13CC1"/>
    <w:rsid w:val="00E13EB4"/>
    <w:rsid w:val="00E13F1F"/>
    <w:rsid w:val="00E14106"/>
    <w:rsid w:val="00E141F6"/>
    <w:rsid w:val="00E14374"/>
    <w:rsid w:val="00E143A7"/>
    <w:rsid w:val="00E144C3"/>
    <w:rsid w:val="00E145CF"/>
    <w:rsid w:val="00E14634"/>
    <w:rsid w:val="00E1470D"/>
    <w:rsid w:val="00E1496A"/>
    <w:rsid w:val="00E14A22"/>
    <w:rsid w:val="00E14A57"/>
    <w:rsid w:val="00E14CE5"/>
    <w:rsid w:val="00E14EA4"/>
    <w:rsid w:val="00E150DE"/>
    <w:rsid w:val="00E15247"/>
    <w:rsid w:val="00E15392"/>
    <w:rsid w:val="00E153BC"/>
    <w:rsid w:val="00E15518"/>
    <w:rsid w:val="00E156A6"/>
    <w:rsid w:val="00E1578A"/>
    <w:rsid w:val="00E157B6"/>
    <w:rsid w:val="00E157FE"/>
    <w:rsid w:val="00E158A8"/>
    <w:rsid w:val="00E159B9"/>
    <w:rsid w:val="00E15A2F"/>
    <w:rsid w:val="00E15AD2"/>
    <w:rsid w:val="00E15AE0"/>
    <w:rsid w:val="00E15B97"/>
    <w:rsid w:val="00E15C35"/>
    <w:rsid w:val="00E15E6E"/>
    <w:rsid w:val="00E16140"/>
    <w:rsid w:val="00E1625A"/>
    <w:rsid w:val="00E16292"/>
    <w:rsid w:val="00E16335"/>
    <w:rsid w:val="00E163EE"/>
    <w:rsid w:val="00E1658E"/>
    <w:rsid w:val="00E16690"/>
    <w:rsid w:val="00E166B8"/>
    <w:rsid w:val="00E169DB"/>
    <w:rsid w:val="00E169EE"/>
    <w:rsid w:val="00E16ACD"/>
    <w:rsid w:val="00E16BC9"/>
    <w:rsid w:val="00E16BF0"/>
    <w:rsid w:val="00E16CE2"/>
    <w:rsid w:val="00E16E8E"/>
    <w:rsid w:val="00E16E98"/>
    <w:rsid w:val="00E17437"/>
    <w:rsid w:val="00E17693"/>
    <w:rsid w:val="00E17773"/>
    <w:rsid w:val="00E177F9"/>
    <w:rsid w:val="00E179A9"/>
    <w:rsid w:val="00E17A67"/>
    <w:rsid w:val="00E17A8D"/>
    <w:rsid w:val="00E17AE6"/>
    <w:rsid w:val="00E17BA4"/>
    <w:rsid w:val="00E17C62"/>
    <w:rsid w:val="00E17D4C"/>
    <w:rsid w:val="00E17D53"/>
    <w:rsid w:val="00E17EA6"/>
    <w:rsid w:val="00E2014C"/>
    <w:rsid w:val="00E2016F"/>
    <w:rsid w:val="00E20271"/>
    <w:rsid w:val="00E203C7"/>
    <w:rsid w:val="00E2065D"/>
    <w:rsid w:val="00E20924"/>
    <w:rsid w:val="00E2092D"/>
    <w:rsid w:val="00E20AE3"/>
    <w:rsid w:val="00E20BA8"/>
    <w:rsid w:val="00E20D8F"/>
    <w:rsid w:val="00E20E02"/>
    <w:rsid w:val="00E20E84"/>
    <w:rsid w:val="00E20EF5"/>
    <w:rsid w:val="00E20FF3"/>
    <w:rsid w:val="00E211A7"/>
    <w:rsid w:val="00E211C5"/>
    <w:rsid w:val="00E211F1"/>
    <w:rsid w:val="00E21281"/>
    <w:rsid w:val="00E21495"/>
    <w:rsid w:val="00E217D0"/>
    <w:rsid w:val="00E21862"/>
    <w:rsid w:val="00E2190F"/>
    <w:rsid w:val="00E21AA9"/>
    <w:rsid w:val="00E21AB9"/>
    <w:rsid w:val="00E21C10"/>
    <w:rsid w:val="00E21C35"/>
    <w:rsid w:val="00E21D65"/>
    <w:rsid w:val="00E21DB7"/>
    <w:rsid w:val="00E21F6E"/>
    <w:rsid w:val="00E22003"/>
    <w:rsid w:val="00E22027"/>
    <w:rsid w:val="00E2206D"/>
    <w:rsid w:val="00E220D8"/>
    <w:rsid w:val="00E221FC"/>
    <w:rsid w:val="00E22201"/>
    <w:rsid w:val="00E222CD"/>
    <w:rsid w:val="00E2241D"/>
    <w:rsid w:val="00E22580"/>
    <w:rsid w:val="00E225E6"/>
    <w:rsid w:val="00E22785"/>
    <w:rsid w:val="00E227AE"/>
    <w:rsid w:val="00E2290A"/>
    <w:rsid w:val="00E22942"/>
    <w:rsid w:val="00E22BED"/>
    <w:rsid w:val="00E22C20"/>
    <w:rsid w:val="00E22C86"/>
    <w:rsid w:val="00E22CA0"/>
    <w:rsid w:val="00E22CA5"/>
    <w:rsid w:val="00E22CB6"/>
    <w:rsid w:val="00E22EBF"/>
    <w:rsid w:val="00E22F03"/>
    <w:rsid w:val="00E22FC1"/>
    <w:rsid w:val="00E230C0"/>
    <w:rsid w:val="00E232A2"/>
    <w:rsid w:val="00E234C7"/>
    <w:rsid w:val="00E234EE"/>
    <w:rsid w:val="00E236B0"/>
    <w:rsid w:val="00E237BD"/>
    <w:rsid w:val="00E237DE"/>
    <w:rsid w:val="00E23803"/>
    <w:rsid w:val="00E23828"/>
    <w:rsid w:val="00E23841"/>
    <w:rsid w:val="00E238FC"/>
    <w:rsid w:val="00E23989"/>
    <w:rsid w:val="00E239E5"/>
    <w:rsid w:val="00E23A9A"/>
    <w:rsid w:val="00E23AB5"/>
    <w:rsid w:val="00E23B6F"/>
    <w:rsid w:val="00E23CE7"/>
    <w:rsid w:val="00E23E01"/>
    <w:rsid w:val="00E240F3"/>
    <w:rsid w:val="00E241A8"/>
    <w:rsid w:val="00E24340"/>
    <w:rsid w:val="00E24391"/>
    <w:rsid w:val="00E24507"/>
    <w:rsid w:val="00E245E5"/>
    <w:rsid w:val="00E24892"/>
    <w:rsid w:val="00E24949"/>
    <w:rsid w:val="00E249A4"/>
    <w:rsid w:val="00E24B14"/>
    <w:rsid w:val="00E24C79"/>
    <w:rsid w:val="00E24E2D"/>
    <w:rsid w:val="00E24E87"/>
    <w:rsid w:val="00E24F9F"/>
    <w:rsid w:val="00E2503E"/>
    <w:rsid w:val="00E25081"/>
    <w:rsid w:val="00E250F2"/>
    <w:rsid w:val="00E2510E"/>
    <w:rsid w:val="00E251AC"/>
    <w:rsid w:val="00E251B9"/>
    <w:rsid w:val="00E251E2"/>
    <w:rsid w:val="00E253D0"/>
    <w:rsid w:val="00E25624"/>
    <w:rsid w:val="00E256CB"/>
    <w:rsid w:val="00E2580B"/>
    <w:rsid w:val="00E25831"/>
    <w:rsid w:val="00E25920"/>
    <w:rsid w:val="00E25B5F"/>
    <w:rsid w:val="00E25C66"/>
    <w:rsid w:val="00E25C7F"/>
    <w:rsid w:val="00E25C96"/>
    <w:rsid w:val="00E25D15"/>
    <w:rsid w:val="00E25D2C"/>
    <w:rsid w:val="00E25D44"/>
    <w:rsid w:val="00E25E24"/>
    <w:rsid w:val="00E25E7E"/>
    <w:rsid w:val="00E25EDC"/>
    <w:rsid w:val="00E25F1A"/>
    <w:rsid w:val="00E25F87"/>
    <w:rsid w:val="00E2605D"/>
    <w:rsid w:val="00E26168"/>
    <w:rsid w:val="00E261B7"/>
    <w:rsid w:val="00E2627B"/>
    <w:rsid w:val="00E26427"/>
    <w:rsid w:val="00E26456"/>
    <w:rsid w:val="00E264FE"/>
    <w:rsid w:val="00E2656A"/>
    <w:rsid w:val="00E2658B"/>
    <w:rsid w:val="00E265E7"/>
    <w:rsid w:val="00E26610"/>
    <w:rsid w:val="00E26716"/>
    <w:rsid w:val="00E26722"/>
    <w:rsid w:val="00E268BA"/>
    <w:rsid w:val="00E26A65"/>
    <w:rsid w:val="00E26B98"/>
    <w:rsid w:val="00E26C98"/>
    <w:rsid w:val="00E26CDE"/>
    <w:rsid w:val="00E26DF4"/>
    <w:rsid w:val="00E26F8F"/>
    <w:rsid w:val="00E26FBA"/>
    <w:rsid w:val="00E270D6"/>
    <w:rsid w:val="00E272A9"/>
    <w:rsid w:val="00E273DB"/>
    <w:rsid w:val="00E273DE"/>
    <w:rsid w:val="00E2744D"/>
    <w:rsid w:val="00E275FE"/>
    <w:rsid w:val="00E27609"/>
    <w:rsid w:val="00E276E5"/>
    <w:rsid w:val="00E2776C"/>
    <w:rsid w:val="00E27842"/>
    <w:rsid w:val="00E27A85"/>
    <w:rsid w:val="00E27B04"/>
    <w:rsid w:val="00E27BAD"/>
    <w:rsid w:val="00E27CFB"/>
    <w:rsid w:val="00E27D1E"/>
    <w:rsid w:val="00E27F1F"/>
    <w:rsid w:val="00E27FB4"/>
    <w:rsid w:val="00E300F8"/>
    <w:rsid w:val="00E3011C"/>
    <w:rsid w:val="00E30122"/>
    <w:rsid w:val="00E30253"/>
    <w:rsid w:val="00E302BC"/>
    <w:rsid w:val="00E302BF"/>
    <w:rsid w:val="00E30457"/>
    <w:rsid w:val="00E305AD"/>
    <w:rsid w:val="00E30674"/>
    <w:rsid w:val="00E30688"/>
    <w:rsid w:val="00E3081D"/>
    <w:rsid w:val="00E30863"/>
    <w:rsid w:val="00E30922"/>
    <w:rsid w:val="00E31019"/>
    <w:rsid w:val="00E31233"/>
    <w:rsid w:val="00E312A8"/>
    <w:rsid w:val="00E312F0"/>
    <w:rsid w:val="00E31351"/>
    <w:rsid w:val="00E31452"/>
    <w:rsid w:val="00E31482"/>
    <w:rsid w:val="00E31501"/>
    <w:rsid w:val="00E31544"/>
    <w:rsid w:val="00E31749"/>
    <w:rsid w:val="00E317D2"/>
    <w:rsid w:val="00E31819"/>
    <w:rsid w:val="00E3191D"/>
    <w:rsid w:val="00E31BF7"/>
    <w:rsid w:val="00E31D0B"/>
    <w:rsid w:val="00E31D5B"/>
    <w:rsid w:val="00E31DCC"/>
    <w:rsid w:val="00E31FA8"/>
    <w:rsid w:val="00E31FFD"/>
    <w:rsid w:val="00E320D0"/>
    <w:rsid w:val="00E3257A"/>
    <w:rsid w:val="00E3267A"/>
    <w:rsid w:val="00E32783"/>
    <w:rsid w:val="00E32803"/>
    <w:rsid w:val="00E3280B"/>
    <w:rsid w:val="00E3284B"/>
    <w:rsid w:val="00E32851"/>
    <w:rsid w:val="00E32908"/>
    <w:rsid w:val="00E3291F"/>
    <w:rsid w:val="00E32971"/>
    <w:rsid w:val="00E3299A"/>
    <w:rsid w:val="00E329DF"/>
    <w:rsid w:val="00E32A95"/>
    <w:rsid w:val="00E32AA2"/>
    <w:rsid w:val="00E32D38"/>
    <w:rsid w:val="00E33068"/>
    <w:rsid w:val="00E336B4"/>
    <w:rsid w:val="00E33844"/>
    <w:rsid w:val="00E338A0"/>
    <w:rsid w:val="00E338F6"/>
    <w:rsid w:val="00E339F6"/>
    <w:rsid w:val="00E33AF3"/>
    <w:rsid w:val="00E33C0D"/>
    <w:rsid w:val="00E33E7E"/>
    <w:rsid w:val="00E33EFE"/>
    <w:rsid w:val="00E33FEB"/>
    <w:rsid w:val="00E34064"/>
    <w:rsid w:val="00E340A0"/>
    <w:rsid w:val="00E342B0"/>
    <w:rsid w:val="00E342CD"/>
    <w:rsid w:val="00E34319"/>
    <w:rsid w:val="00E343AB"/>
    <w:rsid w:val="00E343FB"/>
    <w:rsid w:val="00E3462C"/>
    <w:rsid w:val="00E3468C"/>
    <w:rsid w:val="00E34784"/>
    <w:rsid w:val="00E3483C"/>
    <w:rsid w:val="00E34977"/>
    <w:rsid w:val="00E34A2D"/>
    <w:rsid w:val="00E34AFD"/>
    <w:rsid w:val="00E34BD2"/>
    <w:rsid w:val="00E34D5E"/>
    <w:rsid w:val="00E34ED0"/>
    <w:rsid w:val="00E34EE1"/>
    <w:rsid w:val="00E34F07"/>
    <w:rsid w:val="00E350D4"/>
    <w:rsid w:val="00E3519D"/>
    <w:rsid w:val="00E3541A"/>
    <w:rsid w:val="00E3544A"/>
    <w:rsid w:val="00E3545C"/>
    <w:rsid w:val="00E35469"/>
    <w:rsid w:val="00E357DF"/>
    <w:rsid w:val="00E35869"/>
    <w:rsid w:val="00E358A4"/>
    <w:rsid w:val="00E358EF"/>
    <w:rsid w:val="00E35B80"/>
    <w:rsid w:val="00E35BDD"/>
    <w:rsid w:val="00E35BF3"/>
    <w:rsid w:val="00E35D16"/>
    <w:rsid w:val="00E35D64"/>
    <w:rsid w:val="00E35E09"/>
    <w:rsid w:val="00E35F32"/>
    <w:rsid w:val="00E35F63"/>
    <w:rsid w:val="00E3606E"/>
    <w:rsid w:val="00E3628E"/>
    <w:rsid w:val="00E362BD"/>
    <w:rsid w:val="00E363A2"/>
    <w:rsid w:val="00E36776"/>
    <w:rsid w:val="00E36883"/>
    <w:rsid w:val="00E36A79"/>
    <w:rsid w:val="00E36AB5"/>
    <w:rsid w:val="00E36C0D"/>
    <w:rsid w:val="00E36C69"/>
    <w:rsid w:val="00E36C91"/>
    <w:rsid w:val="00E36DDF"/>
    <w:rsid w:val="00E36E25"/>
    <w:rsid w:val="00E36E3C"/>
    <w:rsid w:val="00E36E49"/>
    <w:rsid w:val="00E36E4A"/>
    <w:rsid w:val="00E36EB6"/>
    <w:rsid w:val="00E36F46"/>
    <w:rsid w:val="00E3713A"/>
    <w:rsid w:val="00E371F3"/>
    <w:rsid w:val="00E37207"/>
    <w:rsid w:val="00E3721E"/>
    <w:rsid w:val="00E373AB"/>
    <w:rsid w:val="00E374A8"/>
    <w:rsid w:val="00E375D6"/>
    <w:rsid w:val="00E375E1"/>
    <w:rsid w:val="00E377C9"/>
    <w:rsid w:val="00E3781A"/>
    <w:rsid w:val="00E37875"/>
    <w:rsid w:val="00E37944"/>
    <w:rsid w:val="00E37991"/>
    <w:rsid w:val="00E37B15"/>
    <w:rsid w:val="00E37C5B"/>
    <w:rsid w:val="00E37CCA"/>
    <w:rsid w:val="00E37DBD"/>
    <w:rsid w:val="00E37F25"/>
    <w:rsid w:val="00E37FB6"/>
    <w:rsid w:val="00E40096"/>
    <w:rsid w:val="00E40104"/>
    <w:rsid w:val="00E40111"/>
    <w:rsid w:val="00E4025F"/>
    <w:rsid w:val="00E403A5"/>
    <w:rsid w:val="00E4047F"/>
    <w:rsid w:val="00E4081F"/>
    <w:rsid w:val="00E40B60"/>
    <w:rsid w:val="00E40C00"/>
    <w:rsid w:val="00E40C90"/>
    <w:rsid w:val="00E40E49"/>
    <w:rsid w:val="00E410D5"/>
    <w:rsid w:val="00E41121"/>
    <w:rsid w:val="00E411D1"/>
    <w:rsid w:val="00E41234"/>
    <w:rsid w:val="00E412D0"/>
    <w:rsid w:val="00E4135A"/>
    <w:rsid w:val="00E4156F"/>
    <w:rsid w:val="00E416D2"/>
    <w:rsid w:val="00E4171A"/>
    <w:rsid w:val="00E4189B"/>
    <w:rsid w:val="00E418BE"/>
    <w:rsid w:val="00E418DD"/>
    <w:rsid w:val="00E418FC"/>
    <w:rsid w:val="00E41DDB"/>
    <w:rsid w:val="00E41E5B"/>
    <w:rsid w:val="00E41EC1"/>
    <w:rsid w:val="00E4209C"/>
    <w:rsid w:val="00E421C9"/>
    <w:rsid w:val="00E42255"/>
    <w:rsid w:val="00E4237C"/>
    <w:rsid w:val="00E42509"/>
    <w:rsid w:val="00E426A6"/>
    <w:rsid w:val="00E42737"/>
    <w:rsid w:val="00E4278D"/>
    <w:rsid w:val="00E42856"/>
    <w:rsid w:val="00E42A4C"/>
    <w:rsid w:val="00E42B3C"/>
    <w:rsid w:val="00E42B4C"/>
    <w:rsid w:val="00E42C54"/>
    <w:rsid w:val="00E42DBB"/>
    <w:rsid w:val="00E42E4D"/>
    <w:rsid w:val="00E43059"/>
    <w:rsid w:val="00E43266"/>
    <w:rsid w:val="00E4326A"/>
    <w:rsid w:val="00E4326F"/>
    <w:rsid w:val="00E4334C"/>
    <w:rsid w:val="00E43367"/>
    <w:rsid w:val="00E433F6"/>
    <w:rsid w:val="00E4348B"/>
    <w:rsid w:val="00E43543"/>
    <w:rsid w:val="00E43544"/>
    <w:rsid w:val="00E43618"/>
    <w:rsid w:val="00E4363B"/>
    <w:rsid w:val="00E436CC"/>
    <w:rsid w:val="00E43976"/>
    <w:rsid w:val="00E43A3C"/>
    <w:rsid w:val="00E43BEE"/>
    <w:rsid w:val="00E43C08"/>
    <w:rsid w:val="00E43C20"/>
    <w:rsid w:val="00E43D00"/>
    <w:rsid w:val="00E43D11"/>
    <w:rsid w:val="00E43D5B"/>
    <w:rsid w:val="00E43E33"/>
    <w:rsid w:val="00E43F37"/>
    <w:rsid w:val="00E44261"/>
    <w:rsid w:val="00E4432C"/>
    <w:rsid w:val="00E44782"/>
    <w:rsid w:val="00E44959"/>
    <w:rsid w:val="00E44988"/>
    <w:rsid w:val="00E449B9"/>
    <w:rsid w:val="00E44B3F"/>
    <w:rsid w:val="00E44B57"/>
    <w:rsid w:val="00E44BB3"/>
    <w:rsid w:val="00E44C12"/>
    <w:rsid w:val="00E44CFE"/>
    <w:rsid w:val="00E44E33"/>
    <w:rsid w:val="00E45137"/>
    <w:rsid w:val="00E45271"/>
    <w:rsid w:val="00E4535B"/>
    <w:rsid w:val="00E45393"/>
    <w:rsid w:val="00E45486"/>
    <w:rsid w:val="00E45548"/>
    <w:rsid w:val="00E45594"/>
    <w:rsid w:val="00E45890"/>
    <w:rsid w:val="00E45904"/>
    <w:rsid w:val="00E45A1B"/>
    <w:rsid w:val="00E45BA2"/>
    <w:rsid w:val="00E45CCF"/>
    <w:rsid w:val="00E45F01"/>
    <w:rsid w:val="00E46145"/>
    <w:rsid w:val="00E4620B"/>
    <w:rsid w:val="00E464AB"/>
    <w:rsid w:val="00E46517"/>
    <w:rsid w:val="00E46562"/>
    <w:rsid w:val="00E46577"/>
    <w:rsid w:val="00E46755"/>
    <w:rsid w:val="00E468E3"/>
    <w:rsid w:val="00E46A8C"/>
    <w:rsid w:val="00E46B3B"/>
    <w:rsid w:val="00E46C02"/>
    <w:rsid w:val="00E46CAA"/>
    <w:rsid w:val="00E46D2D"/>
    <w:rsid w:val="00E47040"/>
    <w:rsid w:val="00E47070"/>
    <w:rsid w:val="00E4720A"/>
    <w:rsid w:val="00E472E2"/>
    <w:rsid w:val="00E47372"/>
    <w:rsid w:val="00E474AC"/>
    <w:rsid w:val="00E475C8"/>
    <w:rsid w:val="00E476DC"/>
    <w:rsid w:val="00E4780B"/>
    <w:rsid w:val="00E478FD"/>
    <w:rsid w:val="00E47BCE"/>
    <w:rsid w:val="00E47E24"/>
    <w:rsid w:val="00E47E5A"/>
    <w:rsid w:val="00E501BF"/>
    <w:rsid w:val="00E502EF"/>
    <w:rsid w:val="00E5037F"/>
    <w:rsid w:val="00E504F1"/>
    <w:rsid w:val="00E50581"/>
    <w:rsid w:val="00E505F3"/>
    <w:rsid w:val="00E50724"/>
    <w:rsid w:val="00E50812"/>
    <w:rsid w:val="00E508E0"/>
    <w:rsid w:val="00E50B11"/>
    <w:rsid w:val="00E50CB3"/>
    <w:rsid w:val="00E50E0F"/>
    <w:rsid w:val="00E50E2C"/>
    <w:rsid w:val="00E50F0C"/>
    <w:rsid w:val="00E50F34"/>
    <w:rsid w:val="00E50F6D"/>
    <w:rsid w:val="00E50F97"/>
    <w:rsid w:val="00E512C2"/>
    <w:rsid w:val="00E513E6"/>
    <w:rsid w:val="00E51446"/>
    <w:rsid w:val="00E514E3"/>
    <w:rsid w:val="00E5154E"/>
    <w:rsid w:val="00E51672"/>
    <w:rsid w:val="00E51684"/>
    <w:rsid w:val="00E5169D"/>
    <w:rsid w:val="00E51741"/>
    <w:rsid w:val="00E51946"/>
    <w:rsid w:val="00E51A5D"/>
    <w:rsid w:val="00E51B11"/>
    <w:rsid w:val="00E51C04"/>
    <w:rsid w:val="00E51CDC"/>
    <w:rsid w:val="00E51FC0"/>
    <w:rsid w:val="00E5206D"/>
    <w:rsid w:val="00E5222A"/>
    <w:rsid w:val="00E523EB"/>
    <w:rsid w:val="00E5254F"/>
    <w:rsid w:val="00E5272D"/>
    <w:rsid w:val="00E527BA"/>
    <w:rsid w:val="00E5282E"/>
    <w:rsid w:val="00E5289C"/>
    <w:rsid w:val="00E5298D"/>
    <w:rsid w:val="00E52C25"/>
    <w:rsid w:val="00E52EF6"/>
    <w:rsid w:val="00E5301C"/>
    <w:rsid w:val="00E530C6"/>
    <w:rsid w:val="00E5322A"/>
    <w:rsid w:val="00E5339F"/>
    <w:rsid w:val="00E53434"/>
    <w:rsid w:val="00E53601"/>
    <w:rsid w:val="00E5377C"/>
    <w:rsid w:val="00E53B25"/>
    <w:rsid w:val="00E53CF8"/>
    <w:rsid w:val="00E53D23"/>
    <w:rsid w:val="00E53D37"/>
    <w:rsid w:val="00E53D80"/>
    <w:rsid w:val="00E53F5D"/>
    <w:rsid w:val="00E53F84"/>
    <w:rsid w:val="00E53F8C"/>
    <w:rsid w:val="00E54126"/>
    <w:rsid w:val="00E54220"/>
    <w:rsid w:val="00E5427E"/>
    <w:rsid w:val="00E544DB"/>
    <w:rsid w:val="00E5473E"/>
    <w:rsid w:val="00E549EC"/>
    <w:rsid w:val="00E54B1B"/>
    <w:rsid w:val="00E54B76"/>
    <w:rsid w:val="00E54BDD"/>
    <w:rsid w:val="00E54C23"/>
    <w:rsid w:val="00E54CC2"/>
    <w:rsid w:val="00E54DBA"/>
    <w:rsid w:val="00E54EB7"/>
    <w:rsid w:val="00E5504D"/>
    <w:rsid w:val="00E5533F"/>
    <w:rsid w:val="00E55494"/>
    <w:rsid w:val="00E55783"/>
    <w:rsid w:val="00E5582A"/>
    <w:rsid w:val="00E55ABE"/>
    <w:rsid w:val="00E55B06"/>
    <w:rsid w:val="00E55C27"/>
    <w:rsid w:val="00E55C5A"/>
    <w:rsid w:val="00E55E8D"/>
    <w:rsid w:val="00E55EB5"/>
    <w:rsid w:val="00E55EBE"/>
    <w:rsid w:val="00E55EE9"/>
    <w:rsid w:val="00E55F46"/>
    <w:rsid w:val="00E55FC0"/>
    <w:rsid w:val="00E562E2"/>
    <w:rsid w:val="00E56322"/>
    <w:rsid w:val="00E56457"/>
    <w:rsid w:val="00E56589"/>
    <w:rsid w:val="00E566C3"/>
    <w:rsid w:val="00E567FF"/>
    <w:rsid w:val="00E56809"/>
    <w:rsid w:val="00E5692E"/>
    <w:rsid w:val="00E56AB6"/>
    <w:rsid w:val="00E56AE0"/>
    <w:rsid w:val="00E56B18"/>
    <w:rsid w:val="00E56D40"/>
    <w:rsid w:val="00E56DB1"/>
    <w:rsid w:val="00E56E05"/>
    <w:rsid w:val="00E56EC0"/>
    <w:rsid w:val="00E57055"/>
    <w:rsid w:val="00E570E9"/>
    <w:rsid w:val="00E575A8"/>
    <w:rsid w:val="00E57656"/>
    <w:rsid w:val="00E5766C"/>
    <w:rsid w:val="00E57680"/>
    <w:rsid w:val="00E57701"/>
    <w:rsid w:val="00E5782B"/>
    <w:rsid w:val="00E578C1"/>
    <w:rsid w:val="00E579CE"/>
    <w:rsid w:val="00E579DD"/>
    <w:rsid w:val="00E57C45"/>
    <w:rsid w:val="00E57E22"/>
    <w:rsid w:val="00E57E29"/>
    <w:rsid w:val="00E57ED9"/>
    <w:rsid w:val="00E57F87"/>
    <w:rsid w:val="00E6012F"/>
    <w:rsid w:val="00E602EA"/>
    <w:rsid w:val="00E60336"/>
    <w:rsid w:val="00E603D4"/>
    <w:rsid w:val="00E60554"/>
    <w:rsid w:val="00E605F2"/>
    <w:rsid w:val="00E606EC"/>
    <w:rsid w:val="00E60707"/>
    <w:rsid w:val="00E608A2"/>
    <w:rsid w:val="00E60982"/>
    <w:rsid w:val="00E60B26"/>
    <w:rsid w:val="00E60BC1"/>
    <w:rsid w:val="00E60D94"/>
    <w:rsid w:val="00E60E07"/>
    <w:rsid w:val="00E6104B"/>
    <w:rsid w:val="00E61092"/>
    <w:rsid w:val="00E6109D"/>
    <w:rsid w:val="00E61298"/>
    <w:rsid w:val="00E61329"/>
    <w:rsid w:val="00E6133B"/>
    <w:rsid w:val="00E613D0"/>
    <w:rsid w:val="00E6155A"/>
    <w:rsid w:val="00E6159D"/>
    <w:rsid w:val="00E61753"/>
    <w:rsid w:val="00E617B1"/>
    <w:rsid w:val="00E61851"/>
    <w:rsid w:val="00E618EB"/>
    <w:rsid w:val="00E61A71"/>
    <w:rsid w:val="00E61A83"/>
    <w:rsid w:val="00E61C29"/>
    <w:rsid w:val="00E61CD1"/>
    <w:rsid w:val="00E61D53"/>
    <w:rsid w:val="00E61DB5"/>
    <w:rsid w:val="00E61DC6"/>
    <w:rsid w:val="00E61E43"/>
    <w:rsid w:val="00E62026"/>
    <w:rsid w:val="00E6207B"/>
    <w:rsid w:val="00E62174"/>
    <w:rsid w:val="00E6219E"/>
    <w:rsid w:val="00E621A0"/>
    <w:rsid w:val="00E62311"/>
    <w:rsid w:val="00E62374"/>
    <w:rsid w:val="00E624F8"/>
    <w:rsid w:val="00E626A2"/>
    <w:rsid w:val="00E627B4"/>
    <w:rsid w:val="00E62828"/>
    <w:rsid w:val="00E628B8"/>
    <w:rsid w:val="00E62A0E"/>
    <w:rsid w:val="00E62C62"/>
    <w:rsid w:val="00E62CBF"/>
    <w:rsid w:val="00E62D82"/>
    <w:rsid w:val="00E6306B"/>
    <w:rsid w:val="00E6316A"/>
    <w:rsid w:val="00E6318F"/>
    <w:rsid w:val="00E63383"/>
    <w:rsid w:val="00E6358C"/>
    <w:rsid w:val="00E6363D"/>
    <w:rsid w:val="00E6373B"/>
    <w:rsid w:val="00E6375E"/>
    <w:rsid w:val="00E637DA"/>
    <w:rsid w:val="00E637DE"/>
    <w:rsid w:val="00E63862"/>
    <w:rsid w:val="00E63942"/>
    <w:rsid w:val="00E639A2"/>
    <w:rsid w:val="00E63A03"/>
    <w:rsid w:val="00E63AE1"/>
    <w:rsid w:val="00E63CB4"/>
    <w:rsid w:val="00E63F83"/>
    <w:rsid w:val="00E6404B"/>
    <w:rsid w:val="00E640DE"/>
    <w:rsid w:val="00E64143"/>
    <w:rsid w:val="00E641BE"/>
    <w:rsid w:val="00E6420D"/>
    <w:rsid w:val="00E6423C"/>
    <w:rsid w:val="00E64247"/>
    <w:rsid w:val="00E64461"/>
    <w:rsid w:val="00E6447C"/>
    <w:rsid w:val="00E64518"/>
    <w:rsid w:val="00E6452B"/>
    <w:rsid w:val="00E645B3"/>
    <w:rsid w:val="00E646BE"/>
    <w:rsid w:val="00E64741"/>
    <w:rsid w:val="00E647BD"/>
    <w:rsid w:val="00E648CF"/>
    <w:rsid w:val="00E649C9"/>
    <w:rsid w:val="00E64A41"/>
    <w:rsid w:val="00E64A81"/>
    <w:rsid w:val="00E64C89"/>
    <w:rsid w:val="00E64CA4"/>
    <w:rsid w:val="00E64CBD"/>
    <w:rsid w:val="00E64DF5"/>
    <w:rsid w:val="00E64E9B"/>
    <w:rsid w:val="00E65071"/>
    <w:rsid w:val="00E650BE"/>
    <w:rsid w:val="00E65179"/>
    <w:rsid w:val="00E654C1"/>
    <w:rsid w:val="00E654EF"/>
    <w:rsid w:val="00E655C3"/>
    <w:rsid w:val="00E655CE"/>
    <w:rsid w:val="00E655DC"/>
    <w:rsid w:val="00E655F3"/>
    <w:rsid w:val="00E658C1"/>
    <w:rsid w:val="00E65AFF"/>
    <w:rsid w:val="00E65D97"/>
    <w:rsid w:val="00E65DB2"/>
    <w:rsid w:val="00E65FD1"/>
    <w:rsid w:val="00E66027"/>
    <w:rsid w:val="00E6605C"/>
    <w:rsid w:val="00E6611B"/>
    <w:rsid w:val="00E6619A"/>
    <w:rsid w:val="00E662E5"/>
    <w:rsid w:val="00E66360"/>
    <w:rsid w:val="00E663BF"/>
    <w:rsid w:val="00E664ED"/>
    <w:rsid w:val="00E66745"/>
    <w:rsid w:val="00E66773"/>
    <w:rsid w:val="00E66934"/>
    <w:rsid w:val="00E669AC"/>
    <w:rsid w:val="00E66AEC"/>
    <w:rsid w:val="00E66B76"/>
    <w:rsid w:val="00E66C9E"/>
    <w:rsid w:val="00E66D93"/>
    <w:rsid w:val="00E66E62"/>
    <w:rsid w:val="00E66ED1"/>
    <w:rsid w:val="00E66F55"/>
    <w:rsid w:val="00E67048"/>
    <w:rsid w:val="00E671AE"/>
    <w:rsid w:val="00E672BD"/>
    <w:rsid w:val="00E6730E"/>
    <w:rsid w:val="00E67515"/>
    <w:rsid w:val="00E675AF"/>
    <w:rsid w:val="00E675BB"/>
    <w:rsid w:val="00E675D2"/>
    <w:rsid w:val="00E675F5"/>
    <w:rsid w:val="00E676CD"/>
    <w:rsid w:val="00E676E3"/>
    <w:rsid w:val="00E677B7"/>
    <w:rsid w:val="00E677DE"/>
    <w:rsid w:val="00E6782D"/>
    <w:rsid w:val="00E67A6D"/>
    <w:rsid w:val="00E67BC9"/>
    <w:rsid w:val="00E67D63"/>
    <w:rsid w:val="00E67DA2"/>
    <w:rsid w:val="00E67DBA"/>
    <w:rsid w:val="00E67DE4"/>
    <w:rsid w:val="00E67EF7"/>
    <w:rsid w:val="00E67F26"/>
    <w:rsid w:val="00E70140"/>
    <w:rsid w:val="00E70280"/>
    <w:rsid w:val="00E7060C"/>
    <w:rsid w:val="00E708F8"/>
    <w:rsid w:val="00E70AE1"/>
    <w:rsid w:val="00E70C08"/>
    <w:rsid w:val="00E70C7D"/>
    <w:rsid w:val="00E70CCB"/>
    <w:rsid w:val="00E70CF0"/>
    <w:rsid w:val="00E70D07"/>
    <w:rsid w:val="00E70E5D"/>
    <w:rsid w:val="00E70F57"/>
    <w:rsid w:val="00E70FE6"/>
    <w:rsid w:val="00E71097"/>
    <w:rsid w:val="00E71326"/>
    <w:rsid w:val="00E713E1"/>
    <w:rsid w:val="00E713ED"/>
    <w:rsid w:val="00E713F3"/>
    <w:rsid w:val="00E7161D"/>
    <w:rsid w:val="00E7176B"/>
    <w:rsid w:val="00E717FF"/>
    <w:rsid w:val="00E71894"/>
    <w:rsid w:val="00E7199F"/>
    <w:rsid w:val="00E719B3"/>
    <w:rsid w:val="00E71C21"/>
    <w:rsid w:val="00E71C88"/>
    <w:rsid w:val="00E71D42"/>
    <w:rsid w:val="00E72000"/>
    <w:rsid w:val="00E721B1"/>
    <w:rsid w:val="00E72225"/>
    <w:rsid w:val="00E72240"/>
    <w:rsid w:val="00E722B6"/>
    <w:rsid w:val="00E722ED"/>
    <w:rsid w:val="00E722FD"/>
    <w:rsid w:val="00E72411"/>
    <w:rsid w:val="00E72534"/>
    <w:rsid w:val="00E72535"/>
    <w:rsid w:val="00E7257B"/>
    <w:rsid w:val="00E72828"/>
    <w:rsid w:val="00E72A05"/>
    <w:rsid w:val="00E72A5A"/>
    <w:rsid w:val="00E72BF1"/>
    <w:rsid w:val="00E7308C"/>
    <w:rsid w:val="00E730F6"/>
    <w:rsid w:val="00E73250"/>
    <w:rsid w:val="00E73354"/>
    <w:rsid w:val="00E733B9"/>
    <w:rsid w:val="00E73480"/>
    <w:rsid w:val="00E7348A"/>
    <w:rsid w:val="00E73497"/>
    <w:rsid w:val="00E7362C"/>
    <w:rsid w:val="00E736A9"/>
    <w:rsid w:val="00E73794"/>
    <w:rsid w:val="00E737B6"/>
    <w:rsid w:val="00E73889"/>
    <w:rsid w:val="00E738B6"/>
    <w:rsid w:val="00E7395C"/>
    <w:rsid w:val="00E73A70"/>
    <w:rsid w:val="00E73B80"/>
    <w:rsid w:val="00E73BC3"/>
    <w:rsid w:val="00E73C05"/>
    <w:rsid w:val="00E73DE5"/>
    <w:rsid w:val="00E73EEF"/>
    <w:rsid w:val="00E73F80"/>
    <w:rsid w:val="00E74009"/>
    <w:rsid w:val="00E7428F"/>
    <w:rsid w:val="00E742FD"/>
    <w:rsid w:val="00E74395"/>
    <w:rsid w:val="00E7456F"/>
    <w:rsid w:val="00E74816"/>
    <w:rsid w:val="00E7482F"/>
    <w:rsid w:val="00E7483A"/>
    <w:rsid w:val="00E74943"/>
    <w:rsid w:val="00E74A62"/>
    <w:rsid w:val="00E74A9C"/>
    <w:rsid w:val="00E74AAE"/>
    <w:rsid w:val="00E74AFE"/>
    <w:rsid w:val="00E74CAD"/>
    <w:rsid w:val="00E74D0F"/>
    <w:rsid w:val="00E74D47"/>
    <w:rsid w:val="00E75067"/>
    <w:rsid w:val="00E75080"/>
    <w:rsid w:val="00E750DC"/>
    <w:rsid w:val="00E75151"/>
    <w:rsid w:val="00E7519D"/>
    <w:rsid w:val="00E752A9"/>
    <w:rsid w:val="00E75436"/>
    <w:rsid w:val="00E75471"/>
    <w:rsid w:val="00E75531"/>
    <w:rsid w:val="00E75553"/>
    <w:rsid w:val="00E75676"/>
    <w:rsid w:val="00E756CC"/>
    <w:rsid w:val="00E7578F"/>
    <w:rsid w:val="00E757B4"/>
    <w:rsid w:val="00E75840"/>
    <w:rsid w:val="00E75956"/>
    <w:rsid w:val="00E75A0E"/>
    <w:rsid w:val="00E75A50"/>
    <w:rsid w:val="00E75B36"/>
    <w:rsid w:val="00E762C7"/>
    <w:rsid w:val="00E7638F"/>
    <w:rsid w:val="00E76438"/>
    <w:rsid w:val="00E767A4"/>
    <w:rsid w:val="00E76865"/>
    <w:rsid w:val="00E7699F"/>
    <w:rsid w:val="00E76A13"/>
    <w:rsid w:val="00E76B03"/>
    <w:rsid w:val="00E76B77"/>
    <w:rsid w:val="00E76B81"/>
    <w:rsid w:val="00E76C2A"/>
    <w:rsid w:val="00E76EFB"/>
    <w:rsid w:val="00E76FD2"/>
    <w:rsid w:val="00E7705B"/>
    <w:rsid w:val="00E77248"/>
    <w:rsid w:val="00E774E0"/>
    <w:rsid w:val="00E77505"/>
    <w:rsid w:val="00E776B4"/>
    <w:rsid w:val="00E776F6"/>
    <w:rsid w:val="00E777E3"/>
    <w:rsid w:val="00E777F1"/>
    <w:rsid w:val="00E77812"/>
    <w:rsid w:val="00E77A51"/>
    <w:rsid w:val="00E77D80"/>
    <w:rsid w:val="00E77DDD"/>
    <w:rsid w:val="00E77E3C"/>
    <w:rsid w:val="00E77E54"/>
    <w:rsid w:val="00E77F7B"/>
    <w:rsid w:val="00E80090"/>
    <w:rsid w:val="00E802B0"/>
    <w:rsid w:val="00E8045E"/>
    <w:rsid w:val="00E80582"/>
    <w:rsid w:val="00E80643"/>
    <w:rsid w:val="00E806FD"/>
    <w:rsid w:val="00E80745"/>
    <w:rsid w:val="00E80804"/>
    <w:rsid w:val="00E808EC"/>
    <w:rsid w:val="00E8095D"/>
    <w:rsid w:val="00E80C2A"/>
    <w:rsid w:val="00E80CCC"/>
    <w:rsid w:val="00E80FDC"/>
    <w:rsid w:val="00E81045"/>
    <w:rsid w:val="00E81052"/>
    <w:rsid w:val="00E81099"/>
    <w:rsid w:val="00E810F5"/>
    <w:rsid w:val="00E811C7"/>
    <w:rsid w:val="00E8130D"/>
    <w:rsid w:val="00E81907"/>
    <w:rsid w:val="00E819EB"/>
    <w:rsid w:val="00E81A00"/>
    <w:rsid w:val="00E81A40"/>
    <w:rsid w:val="00E81BFC"/>
    <w:rsid w:val="00E81C66"/>
    <w:rsid w:val="00E81D49"/>
    <w:rsid w:val="00E81DE4"/>
    <w:rsid w:val="00E81E3D"/>
    <w:rsid w:val="00E81F01"/>
    <w:rsid w:val="00E82159"/>
    <w:rsid w:val="00E82357"/>
    <w:rsid w:val="00E82373"/>
    <w:rsid w:val="00E82406"/>
    <w:rsid w:val="00E8250A"/>
    <w:rsid w:val="00E82788"/>
    <w:rsid w:val="00E82A8F"/>
    <w:rsid w:val="00E82CB6"/>
    <w:rsid w:val="00E82D34"/>
    <w:rsid w:val="00E82E16"/>
    <w:rsid w:val="00E82E61"/>
    <w:rsid w:val="00E82E78"/>
    <w:rsid w:val="00E832D7"/>
    <w:rsid w:val="00E83322"/>
    <w:rsid w:val="00E83359"/>
    <w:rsid w:val="00E834BE"/>
    <w:rsid w:val="00E83552"/>
    <w:rsid w:val="00E835CF"/>
    <w:rsid w:val="00E83647"/>
    <w:rsid w:val="00E8364F"/>
    <w:rsid w:val="00E83653"/>
    <w:rsid w:val="00E837EE"/>
    <w:rsid w:val="00E8382E"/>
    <w:rsid w:val="00E838E6"/>
    <w:rsid w:val="00E8396D"/>
    <w:rsid w:val="00E839F9"/>
    <w:rsid w:val="00E83A6A"/>
    <w:rsid w:val="00E83B53"/>
    <w:rsid w:val="00E83B8E"/>
    <w:rsid w:val="00E83C04"/>
    <w:rsid w:val="00E83CFC"/>
    <w:rsid w:val="00E83D54"/>
    <w:rsid w:val="00E83D6A"/>
    <w:rsid w:val="00E83E7F"/>
    <w:rsid w:val="00E84099"/>
    <w:rsid w:val="00E840BD"/>
    <w:rsid w:val="00E8417C"/>
    <w:rsid w:val="00E84210"/>
    <w:rsid w:val="00E84300"/>
    <w:rsid w:val="00E8434D"/>
    <w:rsid w:val="00E84675"/>
    <w:rsid w:val="00E8478D"/>
    <w:rsid w:val="00E8478E"/>
    <w:rsid w:val="00E8485E"/>
    <w:rsid w:val="00E84A7A"/>
    <w:rsid w:val="00E84AC2"/>
    <w:rsid w:val="00E84B00"/>
    <w:rsid w:val="00E84FA4"/>
    <w:rsid w:val="00E8506B"/>
    <w:rsid w:val="00E85320"/>
    <w:rsid w:val="00E8547A"/>
    <w:rsid w:val="00E854C9"/>
    <w:rsid w:val="00E85527"/>
    <w:rsid w:val="00E858D8"/>
    <w:rsid w:val="00E85915"/>
    <w:rsid w:val="00E85C26"/>
    <w:rsid w:val="00E85D0B"/>
    <w:rsid w:val="00E85F2C"/>
    <w:rsid w:val="00E85F4C"/>
    <w:rsid w:val="00E85F5C"/>
    <w:rsid w:val="00E85FB9"/>
    <w:rsid w:val="00E85FFF"/>
    <w:rsid w:val="00E860E1"/>
    <w:rsid w:val="00E861F0"/>
    <w:rsid w:val="00E862E6"/>
    <w:rsid w:val="00E86384"/>
    <w:rsid w:val="00E863D2"/>
    <w:rsid w:val="00E865E0"/>
    <w:rsid w:val="00E86746"/>
    <w:rsid w:val="00E8681A"/>
    <w:rsid w:val="00E86919"/>
    <w:rsid w:val="00E86CBF"/>
    <w:rsid w:val="00E86CD3"/>
    <w:rsid w:val="00E86DA5"/>
    <w:rsid w:val="00E86DE5"/>
    <w:rsid w:val="00E86FAA"/>
    <w:rsid w:val="00E870EB"/>
    <w:rsid w:val="00E87174"/>
    <w:rsid w:val="00E87314"/>
    <w:rsid w:val="00E874B1"/>
    <w:rsid w:val="00E87550"/>
    <w:rsid w:val="00E8757D"/>
    <w:rsid w:val="00E875B2"/>
    <w:rsid w:val="00E876CE"/>
    <w:rsid w:val="00E8772E"/>
    <w:rsid w:val="00E8773C"/>
    <w:rsid w:val="00E8782C"/>
    <w:rsid w:val="00E87991"/>
    <w:rsid w:val="00E87A04"/>
    <w:rsid w:val="00E87A6E"/>
    <w:rsid w:val="00E87A79"/>
    <w:rsid w:val="00E87AEF"/>
    <w:rsid w:val="00E87D86"/>
    <w:rsid w:val="00E87E35"/>
    <w:rsid w:val="00E87EA2"/>
    <w:rsid w:val="00E87EE5"/>
    <w:rsid w:val="00E87F85"/>
    <w:rsid w:val="00E9012E"/>
    <w:rsid w:val="00E901EB"/>
    <w:rsid w:val="00E90445"/>
    <w:rsid w:val="00E90521"/>
    <w:rsid w:val="00E90536"/>
    <w:rsid w:val="00E9057C"/>
    <w:rsid w:val="00E90722"/>
    <w:rsid w:val="00E908EE"/>
    <w:rsid w:val="00E909A5"/>
    <w:rsid w:val="00E90AB3"/>
    <w:rsid w:val="00E90AC9"/>
    <w:rsid w:val="00E90AD0"/>
    <w:rsid w:val="00E90B4D"/>
    <w:rsid w:val="00E90C98"/>
    <w:rsid w:val="00E90CB3"/>
    <w:rsid w:val="00E90CF9"/>
    <w:rsid w:val="00E90EA2"/>
    <w:rsid w:val="00E90F38"/>
    <w:rsid w:val="00E9103A"/>
    <w:rsid w:val="00E91184"/>
    <w:rsid w:val="00E911B7"/>
    <w:rsid w:val="00E912A5"/>
    <w:rsid w:val="00E91316"/>
    <w:rsid w:val="00E9152F"/>
    <w:rsid w:val="00E915D0"/>
    <w:rsid w:val="00E91633"/>
    <w:rsid w:val="00E917F9"/>
    <w:rsid w:val="00E9198C"/>
    <w:rsid w:val="00E91D90"/>
    <w:rsid w:val="00E91E04"/>
    <w:rsid w:val="00E91F36"/>
    <w:rsid w:val="00E91F69"/>
    <w:rsid w:val="00E9213F"/>
    <w:rsid w:val="00E92142"/>
    <w:rsid w:val="00E9232F"/>
    <w:rsid w:val="00E923FB"/>
    <w:rsid w:val="00E9242A"/>
    <w:rsid w:val="00E9242D"/>
    <w:rsid w:val="00E92463"/>
    <w:rsid w:val="00E9249D"/>
    <w:rsid w:val="00E924C9"/>
    <w:rsid w:val="00E925BB"/>
    <w:rsid w:val="00E92617"/>
    <w:rsid w:val="00E92644"/>
    <w:rsid w:val="00E92682"/>
    <w:rsid w:val="00E926AF"/>
    <w:rsid w:val="00E927CF"/>
    <w:rsid w:val="00E92830"/>
    <w:rsid w:val="00E92D93"/>
    <w:rsid w:val="00E92ECD"/>
    <w:rsid w:val="00E92FFA"/>
    <w:rsid w:val="00E93070"/>
    <w:rsid w:val="00E930DC"/>
    <w:rsid w:val="00E9330C"/>
    <w:rsid w:val="00E934AF"/>
    <w:rsid w:val="00E93572"/>
    <w:rsid w:val="00E93595"/>
    <w:rsid w:val="00E93767"/>
    <w:rsid w:val="00E93855"/>
    <w:rsid w:val="00E938AD"/>
    <w:rsid w:val="00E93A07"/>
    <w:rsid w:val="00E93B66"/>
    <w:rsid w:val="00E93CFD"/>
    <w:rsid w:val="00E93DB1"/>
    <w:rsid w:val="00E93DBB"/>
    <w:rsid w:val="00E93E1D"/>
    <w:rsid w:val="00E94100"/>
    <w:rsid w:val="00E94170"/>
    <w:rsid w:val="00E94392"/>
    <w:rsid w:val="00E944A0"/>
    <w:rsid w:val="00E94555"/>
    <w:rsid w:val="00E94637"/>
    <w:rsid w:val="00E94935"/>
    <w:rsid w:val="00E94942"/>
    <w:rsid w:val="00E949BB"/>
    <w:rsid w:val="00E94A18"/>
    <w:rsid w:val="00E94A49"/>
    <w:rsid w:val="00E94B0D"/>
    <w:rsid w:val="00E94BEB"/>
    <w:rsid w:val="00E94C1D"/>
    <w:rsid w:val="00E94C34"/>
    <w:rsid w:val="00E94E7F"/>
    <w:rsid w:val="00E94F0F"/>
    <w:rsid w:val="00E94F1F"/>
    <w:rsid w:val="00E94F79"/>
    <w:rsid w:val="00E9519B"/>
    <w:rsid w:val="00E952BE"/>
    <w:rsid w:val="00E953B7"/>
    <w:rsid w:val="00E95415"/>
    <w:rsid w:val="00E95487"/>
    <w:rsid w:val="00E954A3"/>
    <w:rsid w:val="00E95AE4"/>
    <w:rsid w:val="00E95BC2"/>
    <w:rsid w:val="00E96112"/>
    <w:rsid w:val="00E961E5"/>
    <w:rsid w:val="00E963D6"/>
    <w:rsid w:val="00E964C7"/>
    <w:rsid w:val="00E9668B"/>
    <w:rsid w:val="00E967B2"/>
    <w:rsid w:val="00E967FB"/>
    <w:rsid w:val="00E968B1"/>
    <w:rsid w:val="00E968F6"/>
    <w:rsid w:val="00E96962"/>
    <w:rsid w:val="00E96B25"/>
    <w:rsid w:val="00E96DD5"/>
    <w:rsid w:val="00E96FB6"/>
    <w:rsid w:val="00E97060"/>
    <w:rsid w:val="00E970CB"/>
    <w:rsid w:val="00E974B7"/>
    <w:rsid w:val="00E9764E"/>
    <w:rsid w:val="00E9766E"/>
    <w:rsid w:val="00E97A85"/>
    <w:rsid w:val="00E97DEB"/>
    <w:rsid w:val="00E97DED"/>
    <w:rsid w:val="00E97FFA"/>
    <w:rsid w:val="00EA00E2"/>
    <w:rsid w:val="00EA01E6"/>
    <w:rsid w:val="00EA01EC"/>
    <w:rsid w:val="00EA02AF"/>
    <w:rsid w:val="00EA039D"/>
    <w:rsid w:val="00EA04D1"/>
    <w:rsid w:val="00EA0592"/>
    <w:rsid w:val="00EA0634"/>
    <w:rsid w:val="00EA070D"/>
    <w:rsid w:val="00EA0963"/>
    <w:rsid w:val="00EA0BCC"/>
    <w:rsid w:val="00EA0D3B"/>
    <w:rsid w:val="00EA0E26"/>
    <w:rsid w:val="00EA0EC4"/>
    <w:rsid w:val="00EA0F03"/>
    <w:rsid w:val="00EA0F04"/>
    <w:rsid w:val="00EA0F99"/>
    <w:rsid w:val="00EA1288"/>
    <w:rsid w:val="00EA13A8"/>
    <w:rsid w:val="00EA1424"/>
    <w:rsid w:val="00EA14A3"/>
    <w:rsid w:val="00EA162E"/>
    <w:rsid w:val="00EA1744"/>
    <w:rsid w:val="00EA17A8"/>
    <w:rsid w:val="00EA191E"/>
    <w:rsid w:val="00EA1DB9"/>
    <w:rsid w:val="00EA1E07"/>
    <w:rsid w:val="00EA1ECE"/>
    <w:rsid w:val="00EA1F60"/>
    <w:rsid w:val="00EA21E9"/>
    <w:rsid w:val="00EA228E"/>
    <w:rsid w:val="00EA22AC"/>
    <w:rsid w:val="00EA23D5"/>
    <w:rsid w:val="00EA243D"/>
    <w:rsid w:val="00EA2587"/>
    <w:rsid w:val="00EA282F"/>
    <w:rsid w:val="00EA283D"/>
    <w:rsid w:val="00EA298F"/>
    <w:rsid w:val="00EA2ADF"/>
    <w:rsid w:val="00EA2AF3"/>
    <w:rsid w:val="00EA2B73"/>
    <w:rsid w:val="00EA2C23"/>
    <w:rsid w:val="00EA2DC7"/>
    <w:rsid w:val="00EA2EA7"/>
    <w:rsid w:val="00EA3177"/>
    <w:rsid w:val="00EA332F"/>
    <w:rsid w:val="00EA33A8"/>
    <w:rsid w:val="00EA34D6"/>
    <w:rsid w:val="00EA352F"/>
    <w:rsid w:val="00EA3802"/>
    <w:rsid w:val="00EA3813"/>
    <w:rsid w:val="00EA3920"/>
    <w:rsid w:val="00EA3947"/>
    <w:rsid w:val="00EA3A34"/>
    <w:rsid w:val="00EA3AB3"/>
    <w:rsid w:val="00EA3B34"/>
    <w:rsid w:val="00EA3BE4"/>
    <w:rsid w:val="00EA3BF7"/>
    <w:rsid w:val="00EA3D0E"/>
    <w:rsid w:val="00EA3D9D"/>
    <w:rsid w:val="00EA3F22"/>
    <w:rsid w:val="00EA3F41"/>
    <w:rsid w:val="00EA3F78"/>
    <w:rsid w:val="00EA3F8D"/>
    <w:rsid w:val="00EA3FD4"/>
    <w:rsid w:val="00EA4201"/>
    <w:rsid w:val="00EA4245"/>
    <w:rsid w:val="00EA42DB"/>
    <w:rsid w:val="00EA4310"/>
    <w:rsid w:val="00EA4581"/>
    <w:rsid w:val="00EA45AD"/>
    <w:rsid w:val="00EA45E1"/>
    <w:rsid w:val="00EA472E"/>
    <w:rsid w:val="00EA49BD"/>
    <w:rsid w:val="00EA4AC7"/>
    <w:rsid w:val="00EA4B49"/>
    <w:rsid w:val="00EA4BA7"/>
    <w:rsid w:val="00EA4C4B"/>
    <w:rsid w:val="00EA4D36"/>
    <w:rsid w:val="00EA5024"/>
    <w:rsid w:val="00EA50D0"/>
    <w:rsid w:val="00EA50D1"/>
    <w:rsid w:val="00EA518A"/>
    <w:rsid w:val="00EA536E"/>
    <w:rsid w:val="00EA54A5"/>
    <w:rsid w:val="00EA55D6"/>
    <w:rsid w:val="00EA5930"/>
    <w:rsid w:val="00EA5AC8"/>
    <w:rsid w:val="00EA5B7F"/>
    <w:rsid w:val="00EA5CD8"/>
    <w:rsid w:val="00EA5D6C"/>
    <w:rsid w:val="00EA5D78"/>
    <w:rsid w:val="00EA5E50"/>
    <w:rsid w:val="00EA5FE8"/>
    <w:rsid w:val="00EA6032"/>
    <w:rsid w:val="00EA6033"/>
    <w:rsid w:val="00EA60E9"/>
    <w:rsid w:val="00EA61A5"/>
    <w:rsid w:val="00EA64B4"/>
    <w:rsid w:val="00EA65E4"/>
    <w:rsid w:val="00EA66CC"/>
    <w:rsid w:val="00EA6736"/>
    <w:rsid w:val="00EA6BAB"/>
    <w:rsid w:val="00EA6E07"/>
    <w:rsid w:val="00EA6F45"/>
    <w:rsid w:val="00EA708C"/>
    <w:rsid w:val="00EA71B0"/>
    <w:rsid w:val="00EA72E2"/>
    <w:rsid w:val="00EA7377"/>
    <w:rsid w:val="00EA73D8"/>
    <w:rsid w:val="00EA73EC"/>
    <w:rsid w:val="00EA747B"/>
    <w:rsid w:val="00EA74F4"/>
    <w:rsid w:val="00EA7542"/>
    <w:rsid w:val="00EA79BC"/>
    <w:rsid w:val="00EA7A0E"/>
    <w:rsid w:val="00EA7D13"/>
    <w:rsid w:val="00EA7E55"/>
    <w:rsid w:val="00EA7EBD"/>
    <w:rsid w:val="00EA7FBD"/>
    <w:rsid w:val="00EB0198"/>
    <w:rsid w:val="00EB01C2"/>
    <w:rsid w:val="00EB01EE"/>
    <w:rsid w:val="00EB0201"/>
    <w:rsid w:val="00EB02C9"/>
    <w:rsid w:val="00EB02D2"/>
    <w:rsid w:val="00EB04C4"/>
    <w:rsid w:val="00EB0548"/>
    <w:rsid w:val="00EB0833"/>
    <w:rsid w:val="00EB09E9"/>
    <w:rsid w:val="00EB0AD5"/>
    <w:rsid w:val="00EB0B1C"/>
    <w:rsid w:val="00EB0B56"/>
    <w:rsid w:val="00EB0C69"/>
    <w:rsid w:val="00EB0CBF"/>
    <w:rsid w:val="00EB0E02"/>
    <w:rsid w:val="00EB0F30"/>
    <w:rsid w:val="00EB104C"/>
    <w:rsid w:val="00EB10B8"/>
    <w:rsid w:val="00EB11E7"/>
    <w:rsid w:val="00EB1345"/>
    <w:rsid w:val="00EB149F"/>
    <w:rsid w:val="00EB176C"/>
    <w:rsid w:val="00EB17C0"/>
    <w:rsid w:val="00EB1869"/>
    <w:rsid w:val="00EB1997"/>
    <w:rsid w:val="00EB19A5"/>
    <w:rsid w:val="00EB1B4C"/>
    <w:rsid w:val="00EB1C3E"/>
    <w:rsid w:val="00EB1CB8"/>
    <w:rsid w:val="00EB1CD8"/>
    <w:rsid w:val="00EB1CEF"/>
    <w:rsid w:val="00EB2028"/>
    <w:rsid w:val="00EB21D8"/>
    <w:rsid w:val="00EB2267"/>
    <w:rsid w:val="00EB22D0"/>
    <w:rsid w:val="00EB2335"/>
    <w:rsid w:val="00EB24F0"/>
    <w:rsid w:val="00EB256A"/>
    <w:rsid w:val="00EB266E"/>
    <w:rsid w:val="00EB26F4"/>
    <w:rsid w:val="00EB27FA"/>
    <w:rsid w:val="00EB28D1"/>
    <w:rsid w:val="00EB29CA"/>
    <w:rsid w:val="00EB2A3C"/>
    <w:rsid w:val="00EB2AC8"/>
    <w:rsid w:val="00EB2CD9"/>
    <w:rsid w:val="00EB2DF0"/>
    <w:rsid w:val="00EB2E1E"/>
    <w:rsid w:val="00EB3023"/>
    <w:rsid w:val="00EB304D"/>
    <w:rsid w:val="00EB309C"/>
    <w:rsid w:val="00EB31A9"/>
    <w:rsid w:val="00EB3258"/>
    <w:rsid w:val="00EB32CF"/>
    <w:rsid w:val="00EB3331"/>
    <w:rsid w:val="00EB33AB"/>
    <w:rsid w:val="00EB33EB"/>
    <w:rsid w:val="00EB35BD"/>
    <w:rsid w:val="00EB35EE"/>
    <w:rsid w:val="00EB3611"/>
    <w:rsid w:val="00EB36F5"/>
    <w:rsid w:val="00EB3753"/>
    <w:rsid w:val="00EB3787"/>
    <w:rsid w:val="00EB37A5"/>
    <w:rsid w:val="00EB37D0"/>
    <w:rsid w:val="00EB39C7"/>
    <w:rsid w:val="00EB3B57"/>
    <w:rsid w:val="00EB3B83"/>
    <w:rsid w:val="00EB3DD5"/>
    <w:rsid w:val="00EB3EB7"/>
    <w:rsid w:val="00EB3ED8"/>
    <w:rsid w:val="00EB3EFD"/>
    <w:rsid w:val="00EB3FA5"/>
    <w:rsid w:val="00EB4038"/>
    <w:rsid w:val="00EB404D"/>
    <w:rsid w:val="00EB4767"/>
    <w:rsid w:val="00EB47D0"/>
    <w:rsid w:val="00EB49AA"/>
    <w:rsid w:val="00EB49AE"/>
    <w:rsid w:val="00EB4ADD"/>
    <w:rsid w:val="00EB4AEC"/>
    <w:rsid w:val="00EB4BE3"/>
    <w:rsid w:val="00EB4D81"/>
    <w:rsid w:val="00EB4DFB"/>
    <w:rsid w:val="00EB4FC1"/>
    <w:rsid w:val="00EB5255"/>
    <w:rsid w:val="00EB525D"/>
    <w:rsid w:val="00EB52D0"/>
    <w:rsid w:val="00EB52D9"/>
    <w:rsid w:val="00EB531C"/>
    <w:rsid w:val="00EB537C"/>
    <w:rsid w:val="00EB53F8"/>
    <w:rsid w:val="00EB5639"/>
    <w:rsid w:val="00EB5686"/>
    <w:rsid w:val="00EB56E6"/>
    <w:rsid w:val="00EB5811"/>
    <w:rsid w:val="00EB5ACE"/>
    <w:rsid w:val="00EB5C11"/>
    <w:rsid w:val="00EB5C47"/>
    <w:rsid w:val="00EB5F81"/>
    <w:rsid w:val="00EB6278"/>
    <w:rsid w:val="00EB6312"/>
    <w:rsid w:val="00EB633F"/>
    <w:rsid w:val="00EB6355"/>
    <w:rsid w:val="00EB63A2"/>
    <w:rsid w:val="00EB6413"/>
    <w:rsid w:val="00EB653D"/>
    <w:rsid w:val="00EB65BE"/>
    <w:rsid w:val="00EB6673"/>
    <w:rsid w:val="00EB672B"/>
    <w:rsid w:val="00EB6752"/>
    <w:rsid w:val="00EB67BD"/>
    <w:rsid w:val="00EB67BE"/>
    <w:rsid w:val="00EB6848"/>
    <w:rsid w:val="00EB693D"/>
    <w:rsid w:val="00EB6999"/>
    <w:rsid w:val="00EB6ADB"/>
    <w:rsid w:val="00EB6BFF"/>
    <w:rsid w:val="00EB6C09"/>
    <w:rsid w:val="00EB6D2E"/>
    <w:rsid w:val="00EB6D5F"/>
    <w:rsid w:val="00EB6FA9"/>
    <w:rsid w:val="00EB6FED"/>
    <w:rsid w:val="00EB7134"/>
    <w:rsid w:val="00EB716F"/>
    <w:rsid w:val="00EB727E"/>
    <w:rsid w:val="00EB72A0"/>
    <w:rsid w:val="00EB7641"/>
    <w:rsid w:val="00EB77B1"/>
    <w:rsid w:val="00EB791B"/>
    <w:rsid w:val="00EB7A10"/>
    <w:rsid w:val="00EB7A87"/>
    <w:rsid w:val="00EB7BCA"/>
    <w:rsid w:val="00EB7C2A"/>
    <w:rsid w:val="00EB7D84"/>
    <w:rsid w:val="00EB7E06"/>
    <w:rsid w:val="00EB7FBD"/>
    <w:rsid w:val="00EC001E"/>
    <w:rsid w:val="00EC02E1"/>
    <w:rsid w:val="00EC036F"/>
    <w:rsid w:val="00EC0408"/>
    <w:rsid w:val="00EC08D5"/>
    <w:rsid w:val="00EC09DB"/>
    <w:rsid w:val="00EC0ADA"/>
    <w:rsid w:val="00EC0ADD"/>
    <w:rsid w:val="00EC0B0C"/>
    <w:rsid w:val="00EC0B23"/>
    <w:rsid w:val="00EC0B70"/>
    <w:rsid w:val="00EC0BCF"/>
    <w:rsid w:val="00EC0C7D"/>
    <w:rsid w:val="00EC0D8C"/>
    <w:rsid w:val="00EC0DD2"/>
    <w:rsid w:val="00EC0EC0"/>
    <w:rsid w:val="00EC0F46"/>
    <w:rsid w:val="00EC1016"/>
    <w:rsid w:val="00EC10D0"/>
    <w:rsid w:val="00EC1325"/>
    <w:rsid w:val="00EC141D"/>
    <w:rsid w:val="00EC1524"/>
    <w:rsid w:val="00EC16A2"/>
    <w:rsid w:val="00EC1814"/>
    <w:rsid w:val="00EC19E6"/>
    <w:rsid w:val="00EC1B89"/>
    <w:rsid w:val="00EC1C92"/>
    <w:rsid w:val="00EC1DCE"/>
    <w:rsid w:val="00EC1DFD"/>
    <w:rsid w:val="00EC209A"/>
    <w:rsid w:val="00EC2137"/>
    <w:rsid w:val="00EC2142"/>
    <w:rsid w:val="00EC21D4"/>
    <w:rsid w:val="00EC2282"/>
    <w:rsid w:val="00EC23EA"/>
    <w:rsid w:val="00EC2870"/>
    <w:rsid w:val="00EC28A9"/>
    <w:rsid w:val="00EC2984"/>
    <w:rsid w:val="00EC2C0A"/>
    <w:rsid w:val="00EC2CA7"/>
    <w:rsid w:val="00EC2ECE"/>
    <w:rsid w:val="00EC2F64"/>
    <w:rsid w:val="00EC2FFD"/>
    <w:rsid w:val="00EC3155"/>
    <w:rsid w:val="00EC319C"/>
    <w:rsid w:val="00EC31A2"/>
    <w:rsid w:val="00EC31A5"/>
    <w:rsid w:val="00EC31CA"/>
    <w:rsid w:val="00EC320C"/>
    <w:rsid w:val="00EC323E"/>
    <w:rsid w:val="00EC348F"/>
    <w:rsid w:val="00EC34C7"/>
    <w:rsid w:val="00EC354B"/>
    <w:rsid w:val="00EC36C7"/>
    <w:rsid w:val="00EC3BC9"/>
    <w:rsid w:val="00EC3E29"/>
    <w:rsid w:val="00EC3E47"/>
    <w:rsid w:val="00EC4027"/>
    <w:rsid w:val="00EC402C"/>
    <w:rsid w:val="00EC43A0"/>
    <w:rsid w:val="00EC43CF"/>
    <w:rsid w:val="00EC4521"/>
    <w:rsid w:val="00EC46C7"/>
    <w:rsid w:val="00EC47A5"/>
    <w:rsid w:val="00EC480B"/>
    <w:rsid w:val="00EC4886"/>
    <w:rsid w:val="00EC48D8"/>
    <w:rsid w:val="00EC48FD"/>
    <w:rsid w:val="00EC4977"/>
    <w:rsid w:val="00EC4AA7"/>
    <w:rsid w:val="00EC4C90"/>
    <w:rsid w:val="00EC4C98"/>
    <w:rsid w:val="00EC5109"/>
    <w:rsid w:val="00EC51B4"/>
    <w:rsid w:val="00EC5220"/>
    <w:rsid w:val="00EC533F"/>
    <w:rsid w:val="00EC553C"/>
    <w:rsid w:val="00EC5628"/>
    <w:rsid w:val="00EC5660"/>
    <w:rsid w:val="00EC5772"/>
    <w:rsid w:val="00EC5A38"/>
    <w:rsid w:val="00EC5BCC"/>
    <w:rsid w:val="00EC5CD1"/>
    <w:rsid w:val="00EC5CE2"/>
    <w:rsid w:val="00EC5D30"/>
    <w:rsid w:val="00EC5D43"/>
    <w:rsid w:val="00EC5E46"/>
    <w:rsid w:val="00EC610E"/>
    <w:rsid w:val="00EC6121"/>
    <w:rsid w:val="00EC61CC"/>
    <w:rsid w:val="00EC6352"/>
    <w:rsid w:val="00EC638A"/>
    <w:rsid w:val="00EC63E7"/>
    <w:rsid w:val="00EC651D"/>
    <w:rsid w:val="00EC6586"/>
    <w:rsid w:val="00EC6687"/>
    <w:rsid w:val="00EC6849"/>
    <w:rsid w:val="00EC6A0A"/>
    <w:rsid w:val="00EC6B03"/>
    <w:rsid w:val="00EC6B22"/>
    <w:rsid w:val="00EC6D02"/>
    <w:rsid w:val="00EC6D24"/>
    <w:rsid w:val="00EC6FF6"/>
    <w:rsid w:val="00EC7218"/>
    <w:rsid w:val="00EC737C"/>
    <w:rsid w:val="00EC73E2"/>
    <w:rsid w:val="00EC73E9"/>
    <w:rsid w:val="00EC7533"/>
    <w:rsid w:val="00EC7558"/>
    <w:rsid w:val="00EC7640"/>
    <w:rsid w:val="00EC77A0"/>
    <w:rsid w:val="00EC79F7"/>
    <w:rsid w:val="00EC7A64"/>
    <w:rsid w:val="00EC7BD9"/>
    <w:rsid w:val="00EC7D09"/>
    <w:rsid w:val="00EC7D26"/>
    <w:rsid w:val="00EC7F7C"/>
    <w:rsid w:val="00ED0067"/>
    <w:rsid w:val="00ED00F8"/>
    <w:rsid w:val="00ED0123"/>
    <w:rsid w:val="00ED034D"/>
    <w:rsid w:val="00ED0377"/>
    <w:rsid w:val="00ED0386"/>
    <w:rsid w:val="00ED047D"/>
    <w:rsid w:val="00ED05E1"/>
    <w:rsid w:val="00ED0639"/>
    <w:rsid w:val="00ED063D"/>
    <w:rsid w:val="00ED087E"/>
    <w:rsid w:val="00ED0892"/>
    <w:rsid w:val="00ED0924"/>
    <w:rsid w:val="00ED0994"/>
    <w:rsid w:val="00ED09BA"/>
    <w:rsid w:val="00ED09FC"/>
    <w:rsid w:val="00ED0B3A"/>
    <w:rsid w:val="00ED0C21"/>
    <w:rsid w:val="00ED0C34"/>
    <w:rsid w:val="00ED0F85"/>
    <w:rsid w:val="00ED1074"/>
    <w:rsid w:val="00ED10EA"/>
    <w:rsid w:val="00ED12C3"/>
    <w:rsid w:val="00ED12C8"/>
    <w:rsid w:val="00ED1333"/>
    <w:rsid w:val="00ED13E6"/>
    <w:rsid w:val="00ED16C9"/>
    <w:rsid w:val="00ED176C"/>
    <w:rsid w:val="00ED17B7"/>
    <w:rsid w:val="00ED1914"/>
    <w:rsid w:val="00ED19A0"/>
    <w:rsid w:val="00ED1C6F"/>
    <w:rsid w:val="00ED1DD5"/>
    <w:rsid w:val="00ED1E1D"/>
    <w:rsid w:val="00ED1EB2"/>
    <w:rsid w:val="00ED1FA8"/>
    <w:rsid w:val="00ED2102"/>
    <w:rsid w:val="00ED217C"/>
    <w:rsid w:val="00ED217E"/>
    <w:rsid w:val="00ED22C6"/>
    <w:rsid w:val="00ED241F"/>
    <w:rsid w:val="00ED24DB"/>
    <w:rsid w:val="00ED2722"/>
    <w:rsid w:val="00ED27AA"/>
    <w:rsid w:val="00ED27F2"/>
    <w:rsid w:val="00ED2E59"/>
    <w:rsid w:val="00ED2F0F"/>
    <w:rsid w:val="00ED2F9F"/>
    <w:rsid w:val="00ED3000"/>
    <w:rsid w:val="00ED308D"/>
    <w:rsid w:val="00ED3509"/>
    <w:rsid w:val="00ED363B"/>
    <w:rsid w:val="00ED3738"/>
    <w:rsid w:val="00ED379B"/>
    <w:rsid w:val="00ED37F7"/>
    <w:rsid w:val="00ED3888"/>
    <w:rsid w:val="00ED3C98"/>
    <w:rsid w:val="00ED3D00"/>
    <w:rsid w:val="00ED3D34"/>
    <w:rsid w:val="00ED3D62"/>
    <w:rsid w:val="00ED3D6E"/>
    <w:rsid w:val="00ED3DB3"/>
    <w:rsid w:val="00ED4005"/>
    <w:rsid w:val="00ED40EC"/>
    <w:rsid w:val="00ED415D"/>
    <w:rsid w:val="00ED42CB"/>
    <w:rsid w:val="00ED42FE"/>
    <w:rsid w:val="00ED44BD"/>
    <w:rsid w:val="00ED44C5"/>
    <w:rsid w:val="00ED44F1"/>
    <w:rsid w:val="00ED450E"/>
    <w:rsid w:val="00ED45F7"/>
    <w:rsid w:val="00ED4649"/>
    <w:rsid w:val="00ED496D"/>
    <w:rsid w:val="00ED49ED"/>
    <w:rsid w:val="00ED4DEA"/>
    <w:rsid w:val="00ED4E6E"/>
    <w:rsid w:val="00ED50CA"/>
    <w:rsid w:val="00ED5190"/>
    <w:rsid w:val="00ED5266"/>
    <w:rsid w:val="00ED5413"/>
    <w:rsid w:val="00ED554D"/>
    <w:rsid w:val="00ED569D"/>
    <w:rsid w:val="00ED56C5"/>
    <w:rsid w:val="00ED56D2"/>
    <w:rsid w:val="00ED5782"/>
    <w:rsid w:val="00ED57BE"/>
    <w:rsid w:val="00ED5A36"/>
    <w:rsid w:val="00ED5A46"/>
    <w:rsid w:val="00ED5AEB"/>
    <w:rsid w:val="00ED5BFD"/>
    <w:rsid w:val="00ED5CAE"/>
    <w:rsid w:val="00ED5DA3"/>
    <w:rsid w:val="00ED5F2D"/>
    <w:rsid w:val="00ED617A"/>
    <w:rsid w:val="00ED6324"/>
    <w:rsid w:val="00ED64BE"/>
    <w:rsid w:val="00ED6611"/>
    <w:rsid w:val="00ED68E3"/>
    <w:rsid w:val="00ED690D"/>
    <w:rsid w:val="00ED69BD"/>
    <w:rsid w:val="00ED6A05"/>
    <w:rsid w:val="00ED6A45"/>
    <w:rsid w:val="00ED6A5C"/>
    <w:rsid w:val="00ED6A8B"/>
    <w:rsid w:val="00ED6AC4"/>
    <w:rsid w:val="00ED6B7D"/>
    <w:rsid w:val="00ED6B82"/>
    <w:rsid w:val="00ED6B95"/>
    <w:rsid w:val="00ED6C90"/>
    <w:rsid w:val="00ED6CAA"/>
    <w:rsid w:val="00ED6DB6"/>
    <w:rsid w:val="00ED6E6A"/>
    <w:rsid w:val="00ED6FAA"/>
    <w:rsid w:val="00ED72C3"/>
    <w:rsid w:val="00ED7343"/>
    <w:rsid w:val="00ED73DA"/>
    <w:rsid w:val="00ED7565"/>
    <w:rsid w:val="00ED75B5"/>
    <w:rsid w:val="00ED7647"/>
    <w:rsid w:val="00ED7717"/>
    <w:rsid w:val="00ED77F2"/>
    <w:rsid w:val="00ED7968"/>
    <w:rsid w:val="00ED7FF9"/>
    <w:rsid w:val="00EE0026"/>
    <w:rsid w:val="00EE0094"/>
    <w:rsid w:val="00EE0234"/>
    <w:rsid w:val="00EE0259"/>
    <w:rsid w:val="00EE03E7"/>
    <w:rsid w:val="00EE04B2"/>
    <w:rsid w:val="00EE0676"/>
    <w:rsid w:val="00EE078C"/>
    <w:rsid w:val="00EE0888"/>
    <w:rsid w:val="00EE094C"/>
    <w:rsid w:val="00EE0B37"/>
    <w:rsid w:val="00EE0D0C"/>
    <w:rsid w:val="00EE0D17"/>
    <w:rsid w:val="00EE0DA6"/>
    <w:rsid w:val="00EE0E33"/>
    <w:rsid w:val="00EE0F08"/>
    <w:rsid w:val="00EE0F60"/>
    <w:rsid w:val="00EE0F6B"/>
    <w:rsid w:val="00EE0FC1"/>
    <w:rsid w:val="00EE1028"/>
    <w:rsid w:val="00EE1029"/>
    <w:rsid w:val="00EE1236"/>
    <w:rsid w:val="00EE12F1"/>
    <w:rsid w:val="00EE13AF"/>
    <w:rsid w:val="00EE13C0"/>
    <w:rsid w:val="00EE17BE"/>
    <w:rsid w:val="00EE187C"/>
    <w:rsid w:val="00EE19F1"/>
    <w:rsid w:val="00EE1A03"/>
    <w:rsid w:val="00EE1A69"/>
    <w:rsid w:val="00EE1B79"/>
    <w:rsid w:val="00EE1BBE"/>
    <w:rsid w:val="00EE1C22"/>
    <w:rsid w:val="00EE1E50"/>
    <w:rsid w:val="00EE1F73"/>
    <w:rsid w:val="00EE2095"/>
    <w:rsid w:val="00EE2110"/>
    <w:rsid w:val="00EE2115"/>
    <w:rsid w:val="00EE2191"/>
    <w:rsid w:val="00EE22D8"/>
    <w:rsid w:val="00EE2399"/>
    <w:rsid w:val="00EE23A0"/>
    <w:rsid w:val="00EE2963"/>
    <w:rsid w:val="00EE2BB8"/>
    <w:rsid w:val="00EE2BDE"/>
    <w:rsid w:val="00EE2E6F"/>
    <w:rsid w:val="00EE31A6"/>
    <w:rsid w:val="00EE326B"/>
    <w:rsid w:val="00EE3291"/>
    <w:rsid w:val="00EE32F1"/>
    <w:rsid w:val="00EE3352"/>
    <w:rsid w:val="00EE336D"/>
    <w:rsid w:val="00EE33DE"/>
    <w:rsid w:val="00EE3421"/>
    <w:rsid w:val="00EE342E"/>
    <w:rsid w:val="00EE358D"/>
    <w:rsid w:val="00EE3617"/>
    <w:rsid w:val="00EE36BD"/>
    <w:rsid w:val="00EE37B2"/>
    <w:rsid w:val="00EE39B9"/>
    <w:rsid w:val="00EE3A81"/>
    <w:rsid w:val="00EE3B99"/>
    <w:rsid w:val="00EE3C8B"/>
    <w:rsid w:val="00EE3C94"/>
    <w:rsid w:val="00EE3D71"/>
    <w:rsid w:val="00EE3E60"/>
    <w:rsid w:val="00EE4021"/>
    <w:rsid w:val="00EE40EF"/>
    <w:rsid w:val="00EE4108"/>
    <w:rsid w:val="00EE41A1"/>
    <w:rsid w:val="00EE423A"/>
    <w:rsid w:val="00EE42EF"/>
    <w:rsid w:val="00EE42F6"/>
    <w:rsid w:val="00EE43CA"/>
    <w:rsid w:val="00EE4427"/>
    <w:rsid w:val="00EE4835"/>
    <w:rsid w:val="00EE4AAC"/>
    <w:rsid w:val="00EE4AB7"/>
    <w:rsid w:val="00EE4DC2"/>
    <w:rsid w:val="00EE4DE0"/>
    <w:rsid w:val="00EE4DEC"/>
    <w:rsid w:val="00EE4F84"/>
    <w:rsid w:val="00EE4FF4"/>
    <w:rsid w:val="00EE508B"/>
    <w:rsid w:val="00EE519B"/>
    <w:rsid w:val="00EE5200"/>
    <w:rsid w:val="00EE5366"/>
    <w:rsid w:val="00EE536C"/>
    <w:rsid w:val="00EE54DE"/>
    <w:rsid w:val="00EE58B8"/>
    <w:rsid w:val="00EE5B03"/>
    <w:rsid w:val="00EE5B17"/>
    <w:rsid w:val="00EE5B20"/>
    <w:rsid w:val="00EE5C30"/>
    <w:rsid w:val="00EE5D29"/>
    <w:rsid w:val="00EE5E00"/>
    <w:rsid w:val="00EE5F7E"/>
    <w:rsid w:val="00EE6004"/>
    <w:rsid w:val="00EE6111"/>
    <w:rsid w:val="00EE6179"/>
    <w:rsid w:val="00EE62FE"/>
    <w:rsid w:val="00EE6560"/>
    <w:rsid w:val="00EE65EF"/>
    <w:rsid w:val="00EE66AC"/>
    <w:rsid w:val="00EE67E0"/>
    <w:rsid w:val="00EE69C4"/>
    <w:rsid w:val="00EE69C6"/>
    <w:rsid w:val="00EE6BBD"/>
    <w:rsid w:val="00EE6D03"/>
    <w:rsid w:val="00EE6D88"/>
    <w:rsid w:val="00EE6F50"/>
    <w:rsid w:val="00EE6F62"/>
    <w:rsid w:val="00EE6F64"/>
    <w:rsid w:val="00EE7207"/>
    <w:rsid w:val="00EE74E0"/>
    <w:rsid w:val="00EE765B"/>
    <w:rsid w:val="00EE77A6"/>
    <w:rsid w:val="00EE7946"/>
    <w:rsid w:val="00EE7AEC"/>
    <w:rsid w:val="00EE7BAD"/>
    <w:rsid w:val="00EE7CEE"/>
    <w:rsid w:val="00EE7D13"/>
    <w:rsid w:val="00EE7D28"/>
    <w:rsid w:val="00EE7F30"/>
    <w:rsid w:val="00EF0052"/>
    <w:rsid w:val="00EF0062"/>
    <w:rsid w:val="00EF0067"/>
    <w:rsid w:val="00EF009D"/>
    <w:rsid w:val="00EF0131"/>
    <w:rsid w:val="00EF0274"/>
    <w:rsid w:val="00EF0509"/>
    <w:rsid w:val="00EF0571"/>
    <w:rsid w:val="00EF079C"/>
    <w:rsid w:val="00EF07F3"/>
    <w:rsid w:val="00EF0C33"/>
    <w:rsid w:val="00EF0D60"/>
    <w:rsid w:val="00EF0ED7"/>
    <w:rsid w:val="00EF0F72"/>
    <w:rsid w:val="00EF0F95"/>
    <w:rsid w:val="00EF0FA2"/>
    <w:rsid w:val="00EF1012"/>
    <w:rsid w:val="00EF1025"/>
    <w:rsid w:val="00EF10F8"/>
    <w:rsid w:val="00EF1186"/>
    <w:rsid w:val="00EF1337"/>
    <w:rsid w:val="00EF13D1"/>
    <w:rsid w:val="00EF156C"/>
    <w:rsid w:val="00EF1622"/>
    <w:rsid w:val="00EF1875"/>
    <w:rsid w:val="00EF1892"/>
    <w:rsid w:val="00EF190C"/>
    <w:rsid w:val="00EF1A36"/>
    <w:rsid w:val="00EF1B2F"/>
    <w:rsid w:val="00EF1BE8"/>
    <w:rsid w:val="00EF1D82"/>
    <w:rsid w:val="00EF2283"/>
    <w:rsid w:val="00EF22A9"/>
    <w:rsid w:val="00EF23FB"/>
    <w:rsid w:val="00EF24B1"/>
    <w:rsid w:val="00EF25C1"/>
    <w:rsid w:val="00EF2734"/>
    <w:rsid w:val="00EF27EC"/>
    <w:rsid w:val="00EF2AC0"/>
    <w:rsid w:val="00EF2AFE"/>
    <w:rsid w:val="00EF2BF5"/>
    <w:rsid w:val="00EF2C3A"/>
    <w:rsid w:val="00EF2C40"/>
    <w:rsid w:val="00EF2EE5"/>
    <w:rsid w:val="00EF2F18"/>
    <w:rsid w:val="00EF2F2E"/>
    <w:rsid w:val="00EF3175"/>
    <w:rsid w:val="00EF31C4"/>
    <w:rsid w:val="00EF330A"/>
    <w:rsid w:val="00EF3383"/>
    <w:rsid w:val="00EF3408"/>
    <w:rsid w:val="00EF3459"/>
    <w:rsid w:val="00EF348D"/>
    <w:rsid w:val="00EF3616"/>
    <w:rsid w:val="00EF3654"/>
    <w:rsid w:val="00EF3669"/>
    <w:rsid w:val="00EF38C3"/>
    <w:rsid w:val="00EF395A"/>
    <w:rsid w:val="00EF3A62"/>
    <w:rsid w:val="00EF3A76"/>
    <w:rsid w:val="00EF3AEC"/>
    <w:rsid w:val="00EF3C4F"/>
    <w:rsid w:val="00EF40FE"/>
    <w:rsid w:val="00EF410F"/>
    <w:rsid w:val="00EF41DF"/>
    <w:rsid w:val="00EF4262"/>
    <w:rsid w:val="00EF4377"/>
    <w:rsid w:val="00EF4467"/>
    <w:rsid w:val="00EF447D"/>
    <w:rsid w:val="00EF45F6"/>
    <w:rsid w:val="00EF463D"/>
    <w:rsid w:val="00EF4690"/>
    <w:rsid w:val="00EF4753"/>
    <w:rsid w:val="00EF4755"/>
    <w:rsid w:val="00EF4D2E"/>
    <w:rsid w:val="00EF4E42"/>
    <w:rsid w:val="00EF4E91"/>
    <w:rsid w:val="00EF51B1"/>
    <w:rsid w:val="00EF5254"/>
    <w:rsid w:val="00EF52B6"/>
    <w:rsid w:val="00EF537B"/>
    <w:rsid w:val="00EF54C7"/>
    <w:rsid w:val="00EF5791"/>
    <w:rsid w:val="00EF57D2"/>
    <w:rsid w:val="00EF57DC"/>
    <w:rsid w:val="00EF5805"/>
    <w:rsid w:val="00EF586C"/>
    <w:rsid w:val="00EF58B1"/>
    <w:rsid w:val="00EF5D47"/>
    <w:rsid w:val="00EF5EEE"/>
    <w:rsid w:val="00EF616E"/>
    <w:rsid w:val="00EF61A5"/>
    <w:rsid w:val="00EF62F0"/>
    <w:rsid w:val="00EF64F4"/>
    <w:rsid w:val="00EF660E"/>
    <w:rsid w:val="00EF6691"/>
    <w:rsid w:val="00EF6740"/>
    <w:rsid w:val="00EF6A4E"/>
    <w:rsid w:val="00EF6A68"/>
    <w:rsid w:val="00EF6AC9"/>
    <w:rsid w:val="00EF6BB1"/>
    <w:rsid w:val="00EF6C2C"/>
    <w:rsid w:val="00EF6C48"/>
    <w:rsid w:val="00EF6CE0"/>
    <w:rsid w:val="00EF6F51"/>
    <w:rsid w:val="00EF712C"/>
    <w:rsid w:val="00EF7135"/>
    <w:rsid w:val="00EF733F"/>
    <w:rsid w:val="00EF7402"/>
    <w:rsid w:val="00EF74DA"/>
    <w:rsid w:val="00EF75F8"/>
    <w:rsid w:val="00EF7608"/>
    <w:rsid w:val="00EF78D7"/>
    <w:rsid w:val="00EF7AB2"/>
    <w:rsid w:val="00EF7ACD"/>
    <w:rsid w:val="00EF7C21"/>
    <w:rsid w:val="00EF7C93"/>
    <w:rsid w:val="00EF7CFB"/>
    <w:rsid w:val="00EF7D97"/>
    <w:rsid w:val="00EF7F3F"/>
    <w:rsid w:val="00F000C1"/>
    <w:rsid w:val="00F00127"/>
    <w:rsid w:val="00F001E1"/>
    <w:rsid w:val="00F002C9"/>
    <w:rsid w:val="00F0030E"/>
    <w:rsid w:val="00F003A6"/>
    <w:rsid w:val="00F003CF"/>
    <w:rsid w:val="00F00489"/>
    <w:rsid w:val="00F00765"/>
    <w:rsid w:val="00F007A2"/>
    <w:rsid w:val="00F00811"/>
    <w:rsid w:val="00F008FE"/>
    <w:rsid w:val="00F00A0A"/>
    <w:rsid w:val="00F00AC0"/>
    <w:rsid w:val="00F00C80"/>
    <w:rsid w:val="00F00D7D"/>
    <w:rsid w:val="00F00D8C"/>
    <w:rsid w:val="00F00E50"/>
    <w:rsid w:val="00F00F05"/>
    <w:rsid w:val="00F01091"/>
    <w:rsid w:val="00F0118C"/>
    <w:rsid w:val="00F012EA"/>
    <w:rsid w:val="00F012F7"/>
    <w:rsid w:val="00F014E5"/>
    <w:rsid w:val="00F015C9"/>
    <w:rsid w:val="00F019D7"/>
    <w:rsid w:val="00F01AA0"/>
    <w:rsid w:val="00F01C6D"/>
    <w:rsid w:val="00F01E1C"/>
    <w:rsid w:val="00F01EF1"/>
    <w:rsid w:val="00F0233B"/>
    <w:rsid w:val="00F024A0"/>
    <w:rsid w:val="00F02773"/>
    <w:rsid w:val="00F027DB"/>
    <w:rsid w:val="00F0294D"/>
    <w:rsid w:val="00F0297B"/>
    <w:rsid w:val="00F02B44"/>
    <w:rsid w:val="00F02B99"/>
    <w:rsid w:val="00F02BB2"/>
    <w:rsid w:val="00F02BC2"/>
    <w:rsid w:val="00F02C95"/>
    <w:rsid w:val="00F02D7E"/>
    <w:rsid w:val="00F02F33"/>
    <w:rsid w:val="00F02F77"/>
    <w:rsid w:val="00F02FE0"/>
    <w:rsid w:val="00F03015"/>
    <w:rsid w:val="00F030C0"/>
    <w:rsid w:val="00F030C8"/>
    <w:rsid w:val="00F03297"/>
    <w:rsid w:val="00F032CD"/>
    <w:rsid w:val="00F03387"/>
    <w:rsid w:val="00F033BB"/>
    <w:rsid w:val="00F034AA"/>
    <w:rsid w:val="00F0352C"/>
    <w:rsid w:val="00F03800"/>
    <w:rsid w:val="00F038EB"/>
    <w:rsid w:val="00F03B16"/>
    <w:rsid w:val="00F03B91"/>
    <w:rsid w:val="00F03CEC"/>
    <w:rsid w:val="00F03D98"/>
    <w:rsid w:val="00F03E30"/>
    <w:rsid w:val="00F03F8D"/>
    <w:rsid w:val="00F04071"/>
    <w:rsid w:val="00F04119"/>
    <w:rsid w:val="00F0412D"/>
    <w:rsid w:val="00F04322"/>
    <w:rsid w:val="00F043DC"/>
    <w:rsid w:val="00F045B6"/>
    <w:rsid w:val="00F04618"/>
    <w:rsid w:val="00F0477D"/>
    <w:rsid w:val="00F047E1"/>
    <w:rsid w:val="00F0484B"/>
    <w:rsid w:val="00F04A4B"/>
    <w:rsid w:val="00F04AE4"/>
    <w:rsid w:val="00F04AF8"/>
    <w:rsid w:val="00F04B27"/>
    <w:rsid w:val="00F04C19"/>
    <w:rsid w:val="00F04CB7"/>
    <w:rsid w:val="00F04ED1"/>
    <w:rsid w:val="00F04F19"/>
    <w:rsid w:val="00F04FF4"/>
    <w:rsid w:val="00F05025"/>
    <w:rsid w:val="00F052F2"/>
    <w:rsid w:val="00F05368"/>
    <w:rsid w:val="00F054E0"/>
    <w:rsid w:val="00F055FD"/>
    <w:rsid w:val="00F0565A"/>
    <w:rsid w:val="00F057C6"/>
    <w:rsid w:val="00F058C7"/>
    <w:rsid w:val="00F058F9"/>
    <w:rsid w:val="00F059AF"/>
    <w:rsid w:val="00F059D3"/>
    <w:rsid w:val="00F05BE4"/>
    <w:rsid w:val="00F05D1D"/>
    <w:rsid w:val="00F05DE9"/>
    <w:rsid w:val="00F05E7F"/>
    <w:rsid w:val="00F05E80"/>
    <w:rsid w:val="00F0604A"/>
    <w:rsid w:val="00F061C5"/>
    <w:rsid w:val="00F061CF"/>
    <w:rsid w:val="00F0622F"/>
    <w:rsid w:val="00F062D8"/>
    <w:rsid w:val="00F06486"/>
    <w:rsid w:val="00F06495"/>
    <w:rsid w:val="00F06512"/>
    <w:rsid w:val="00F06556"/>
    <w:rsid w:val="00F06682"/>
    <w:rsid w:val="00F0681F"/>
    <w:rsid w:val="00F06929"/>
    <w:rsid w:val="00F06995"/>
    <w:rsid w:val="00F069EF"/>
    <w:rsid w:val="00F06A7E"/>
    <w:rsid w:val="00F06A81"/>
    <w:rsid w:val="00F06B06"/>
    <w:rsid w:val="00F06CB5"/>
    <w:rsid w:val="00F06D0B"/>
    <w:rsid w:val="00F06D6F"/>
    <w:rsid w:val="00F06E03"/>
    <w:rsid w:val="00F06E2F"/>
    <w:rsid w:val="00F06F33"/>
    <w:rsid w:val="00F0700C"/>
    <w:rsid w:val="00F07098"/>
    <w:rsid w:val="00F07178"/>
    <w:rsid w:val="00F071AF"/>
    <w:rsid w:val="00F071FE"/>
    <w:rsid w:val="00F0721F"/>
    <w:rsid w:val="00F0722B"/>
    <w:rsid w:val="00F072EB"/>
    <w:rsid w:val="00F073F4"/>
    <w:rsid w:val="00F0747E"/>
    <w:rsid w:val="00F07562"/>
    <w:rsid w:val="00F076DA"/>
    <w:rsid w:val="00F07853"/>
    <w:rsid w:val="00F0796D"/>
    <w:rsid w:val="00F07A31"/>
    <w:rsid w:val="00F07B22"/>
    <w:rsid w:val="00F07B65"/>
    <w:rsid w:val="00F07D17"/>
    <w:rsid w:val="00F07D5C"/>
    <w:rsid w:val="00F101AA"/>
    <w:rsid w:val="00F10339"/>
    <w:rsid w:val="00F104E6"/>
    <w:rsid w:val="00F105B0"/>
    <w:rsid w:val="00F1075B"/>
    <w:rsid w:val="00F1090B"/>
    <w:rsid w:val="00F10ABA"/>
    <w:rsid w:val="00F10DD1"/>
    <w:rsid w:val="00F11066"/>
    <w:rsid w:val="00F110A0"/>
    <w:rsid w:val="00F110C4"/>
    <w:rsid w:val="00F1114F"/>
    <w:rsid w:val="00F111CD"/>
    <w:rsid w:val="00F1140C"/>
    <w:rsid w:val="00F11487"/>
    <w:rsid w:val="00F114B1"/>
    <w:rsid w:val="00F114FF"/>
    <w:rsid w:val="00F1168C"/>
    <w:rsid w:val="00F11A94"/>
    <w:rsid w:val="00F11AD8"/>
    <w:rsid w:val="00F11C3C"/>
    <w:rsid w:val="00F11E00"/>
    <w:rsid w:val="00F11EA9"/>
    <w:rsid w:val="00F11EFB"/>
    <w:rsid w:val="00F12189"/>
    <w:rsid w:val="00F121A5"/>
    <w:rsid w:val="00F1220E"/>
    <w:rsid w:val="00F12280"/>
    <w:rsid w:val="00F1258C"/>
    <w:rsid w:val="00F125DA"/>
    <w:rsid w:val="00F12683"/>
    <w:rsid w:val="00F1273C"/>
    <w:rsid w:val="00F12798"/>
    <w:rsid w:val="00F127C2"/>
    <w:rsid w:val="00F12839"/>
    <w:rsid w:val="00F12887"/>
    <w:rsid w:val="00F12A50"/>
    <w:rsid w:val="00F12C01"/>
    <w:rsid w:val="00F12D74"/>
    <w:rsid w:val="00F12D78"/>
    <w:rsid w:val="00F12DEC"/>
    <w:rsid w:val="00F12E86"/>
    <w:rsid w:val="00F12ED8"/>
    <w:rsid w:val="00F1306A"/>
    <w:rsid w:val="00F131CC"/>
    <w:rsid w:val="00F13339"/>
    <w:rsid w:val="00F1340F"/>
    <w:rsid w:val="00F135A2"/>
    <w:rsid w:val="00F13904"/>
    <w:rsid w:val="00F13999"/>
    <w:rsid w:val="00F1399F"/>
    <w:rsid w:val="00F13A25"/>
    <w:rsid w:val="00F13B38"/>
    <w:rsid w:val="00F13CBE"/>
    <w:rsid w:val="00F13D3E"/>
    <w:rsid w:val="00F13E44"/>
    <w:rsid w:val="00F13E93"/>
    <w:rsid w:val="00F13F42"/>
    <w:rsid w:val="00F13FD6"/>
    <w:rsid w:val="00F14057"/>
    <w:rsid w:val="00F141DC"/>
    <w:rsid w:val="00F14382"/>
    <w:rsid w:val="00F143D5"/>
    <w:rsid w:val="00F14442"/>
    <w:rsid w:val="00F14494"/>
    <w:rsid w:val="00F144F3"/>
    <w:rsid w:val="00F147BF"/>
    <w:rsid w:val="00F1488D"/>
    <w:rsid w:val="00F148C0"/>
    <w:rsid w:val="00F148CB"/>
    <w:rsid w:val="00F14A3A"/>
    <w:rsid w:val="00F14A7A"/>
    <w:rsid w:val="00F14AC6"/>
    <w:rsid w:val="00F14B83"/>
    <w:rsid w:val="00F14C09"/>
    <w:rsid w:val="00F14C93"/>
    <w:rsid w:val="00F14ECE"/>
    <w:rsid w:val="00F14EED"/>
    <w:rsid w:val="00F14FA7"/>
    <w:rsid w:val="00F15116"/>
    <w:rsid w:val="00F15133"/>
    <w:rsid w:val="00F1525E"/>
    <w:rsid w:val="00F15444"/>
    <w:rsid w:val="00F1555D"/>
    <w:rsid w:val="00F15817"/>
    <w:rsid w:val="00F15A0A"/>
    <w:rsid w:val="00F15ADD"/>
    <w:rsid w:val="00F15B07"/>
    <w:rsid w:val="00F15BB8"/>
    <w:rsid w:val="00F15DAC"/>
    <w:rsid w:val="00F15EA8"/>
    <w:rsid w:val="00F15FC6"/>
    <w:rsid w:val="00F15FF8"/>
    <w:rsid w:val="00F15FF9"/>
    <w:rsid w:val="00F160DA"/>
    <w:rsid w:val="00F16297"/>
    <w:rsid w:val="00F162EF"/>
    <w:rsid w:val="00F16309"/>
    <w:rsid w:val="00F163EC"/>
    <w:rsid w:val="00F163F4"/>
    <w:rsid w:val="00F16529"/>
    <w:rsid w:val="00F16634"/>
    <w:rsid w:val="00F16650"/>
    <w:rsid w:val="00F16691"/>
    <w:rsid w:val="00F16693"/>
    <w:rsid w:val="00F16694"/>
    <w:rsid w:val="00F166B5"/>
    <w:rsid w:val="00F166EB"/>
    <w:rsid w:val="00F167F5"/>
    <w:rsid w:val="00F1690F"/>
    <w:rsid w:val="00F169CE"/>
    <w:rsid w:val="00F16B54"/>
    <w:rsid w:val="00F16BFF"/>
    <w:rsid w:val="00F16C42"/>
    <w:rsid w:val="00F16DC3"/>
    <w:rsid w:val="00F1706C"/>
    <w:rsid w:val="00F170DB"/>
    <w:rsid w:val="00F17201"/>
    <w:rsid w:val="00F17267"/>
    <w:rsid w:val="00F17536"/>
    <w:rsid w:val="00F17588"/>
    <w:rsid w:val="00F1767F"/>
    <w:rsid w:val="00F1793D"/>
    <w:rsid w:val="00F17C0E"/>
    <w:rsid w:val="00F17CAA"/>
    <w:rsid w:val="00F17DFA"/>
    <w:rsid w:val="00F17E80"/>
    <w:rsid w:val="00F17E8E"/>
    <w:rsid w:val="00F17FF9"/>
    <w:rsid w:val="00F200E4"/>
    <w:rsid w:val="00F20173"/>
    <w:rsid w:val="00F201AB"/>
    <w:rsid w:val="00F201D6"/>
    <w:rsid w:val="00F20263"/>
    <w:rsid w:val="00F20329"/>
    <w:rsid w:val="00F203A9"/>
    <w:rsid w:val="00F20454"/>
    <w:rsid w:val="00F205B9"/>
    <w:rsid w:val="00F206BE"/>
    <w:rsid w:val="00F2071A"/>
    <w:rsid w:val="00F2078E"/>
    <w:rsid w:val="00F209A1"/>
    <w:rsid w:val="00F20C70"/>
    <w:rsid w:val="00F20F26"/>
    <w:rsid w:val="00F20F36"/>
    <w:rsid w:val="00F21181"/>
    <w:rsid w:val="00F211B7"/>
    <w:rsid w:val="00F213C7"/>
    <w:rsid w:val="00F21490"/>
    <w:rsid w:val="00F214EB"/>
    <w:rsid w:val="00F215DF"/>
    <w:rsid w:val="00F216B1"/>
    <w:rsid w:val="00F216C2"/>
    <w:rsid w:val="00F21787"/>
    <w:rsid w:val="00F218D9"/>
    <w:rsid w:val="00F219FB"/>
    <w:rsid w:val="00F21C5D"/>
    <w:rsid w:val="00F21D4B"/>
    <w:rsid w:val="00F21E21"/>
    <w:rsid w:val="00F21E91"/>
    <w:rsid w:val="00F21EB0"/>
    <w:rsid w:val="00F21F16"/>
    <w:rsid w:val="00F22228"/>
    <w:rsid w:val="00F22372"/>
    <w:rsid w:val="00F223FB"/>
    <w:rsid w:val="00F224D5"/>
    <w:rsid w:val="00F22744"/>
    <w:rsid w:val="00F22769"/>
    <w:rsid w:val="00F22817"/>
    <w:rsid w:val="00F22907"/>
    <w:rsid w:val="00F22985"/>
    <w:rsid w:val="00F22A06"/>
    <w:rsid w:val="00F22E91"/>
    <w:rsid w:val="00F23044"/>
    <w:rsid w:val="00F2304A"/>
    <w:rsid w:val="00F23271"/>
    <w:rsid w:val="00F23402"/>
    <w:rsid w:val="00F23418"/>
    <w:rsid w:val="00F236A7"/>
    <w:rsid w:val="00F23854"/>
    <w:rsid w:val="00F238E1"/>
    <w:rsid w:val="00F23C81"/>
    <w:rsid w:val="00F23D1E"/>
    <w:rsid w:val="00F23E90"/>
    <w:rsid w:val="00F23F95"/>
    <w:rsid w:val="00F23FBD"/>
    <w:rsid w:val="00F24068"/>
    <w:rsid w:val="00F24098"/>
    <w:rsid w:val="00F240F5"/>
    <w:rsid w:val="00F2411F"/>
    <w:rsid w:val="00F2437E"/>
    <w:rsid w:val="00F243FF"/>
    <w:rsid w:val="00F244F3"/>
    <w:rsid w:val="00F245B7"/>
    <w:rsid w:val="00F247D6"/>
    <w:rsid w:val="00F249F3"/>
    <w:rsid w:val="00F24B30"/>
    <w:rsid w:val="00F24CCA"/>
    <w:rsid w:val="00F24CFE"/>
    <w:rsid w:val="00F24E42"/>
    <w:rsid w:val="00F24E79"/>
    <w:rsid w:val="00F24ED0"/>
    <w:rsid w:val="00F24F5B"/>
    <w:rsid w:val="00F24F66"/>
    <w:rsid w:val="00F24FED"/>
    <w:rsid w:val="00F2504D"/>
    <w:rsid w:val="00F25074"/>
    <w:rsid w:val="00F250E5"/>
    <w:rsid w:val="00F25180"/>
    <w:rsid w:val="00F2518D"/>
    <w:rsid w:val="00F252DF"/>
    <w:rsid w:val="00F254DC"/>
    <w:rsid w:val="00F25507"/>
    <w:rsid w:val="00F25611"/>
    <w:rsid w:val="00F2562E"/>
    <w:rsid w:val="00F2567F"/>
    <w:rsid w:val="00F256F3"/>
    <w:rsid w:val="00F25719"/>
    <w:rsid w:val="00F257D8"/>
    <w:rsid w:val="00F2588C"/>
    <w:rsid w:val="00F259D6"/>
    <w:rsid w:val="00F25A2F"/>
    <w:rsid w:val="00F25B3F"/>
    <w:rsid w:val="00F25BFA"/>
    <w:rsid w:val="00F25E32"/>
    <w:rsid w:val="00F2600A"/>
    <w:rsid w:val="00F2612D"/>
    <w:rsid w:val="00F261A3"/>
    <w:rsid w:val="00F261B8"/>
    <w:rsid w:val="00F263EB"/>
    <w:rsid w:val="00F2646F"/>
    <w:rsid w:val="00F2662B"/>
    <w:rsid w:val="00F26734"/>
    <w:rsid w:val="00F267AC"/>
    <w:rsid w:val="00F26803"/>
    <w:rsid w:val="00F2685A"/>
    <w:rsid w:val="00F26861"/>
    <w:rsid w:val="00F2690B"/>
    <w:rsid w:val="00F26A43"/>
    <w:rsid w:val="00F26B27"/>
    <w:rsid w:val="00F26B31"/>
    <w:rsid w:val="00F26B4B"/>
    <w:rsid w:val="00F26B5C"/>
    <w:rsid w:val="00F26D55"/>
    <w:rsid w:val="00F26E9A"/>
    <w:rsid w:val="00F26F49"/>
    <w:rsid w:val="00F270AA"/>
    <w:rsid w:val="00F27182"/>
    <w:rsid w:val="00F272C6"/>
    <w:rsid w:val="00F27388"/>
    <w:rsid w:val="00F276FF"/>
    <w:rsid w:val="00F27955"/>
    <w:rsid w:val="00F27A8E"/>
    <w:rsid w:val="00F27CC3"/>
    <w:rsid w:val="00F27EDB"/>
    <w:rsid w:val="00F30340"/>
    <w:rsid w:val="00F3048E"/>
    <w:rsid w:val="00F304CC"/>
    <w:rsid w:val="00F30515"/>
    <w:rsid w:val="00F305C5"/>
    <w:rsid w:val="00F306F5"/>
    <w:rsid w:val="00F307D8"/>
    <w:rsid w:val="00F30847"/>
    <w:rsid w:val="00F30848"/>
    <w:rsid w:val="00F3088F"/>
    <w:rsid w:val="00F30CF2"/>
    <w:rsid w:val="00F30D1E"/>
    <w:rsid w:val="00F30D4B"/>
    <w:rsid w:val="00F30E47"/>
    <w:rsid w:val="00F3102E"/>
    <w:rsid w:val="00F3104D"/>
    <w:rsid w:val="00F310D9"/>
    <w:rsid w:val="00F3111E"/>
    <w:rsid w:val="00F314BD"/>
    <w:rsid w:val="00F31870"/>
    <w:rsid w:val="00F31881"/>
    <w:rsid w:val="00F318DD"/>
    <w:rsid w:val="00F31DE4"/>
    <w:rsid w:val="00F3221B"/>
    <w:rsid w:val="00F3222E"/>
    <w:rsid w:val="00F32280"/>
    <w:rsid w:val="00F328A0"/>
    <w:rsid w:val="00F328AC"/>
    <w:rsid w:val="00F32BB5"/>
    <w:rsid w:val="00F32BF9"/>
    <w:rsid w:val="00F32C11"/>
    <w:rsid w:val="00F32CAD"/>
    <w:rsid w:val="00F32DF4"/>
    <w:rsid w:val="00F331AE"/>
    <w:rsid w:val="00F33252"/>
    <w:rsid w:val="00F3327B"/>
    <w:rsid w:val="00F333DF"/>
    <w:rsid w:val="00F33424"/>
    <w:rsid w:val="00F3371A"/>
    <w:rsid w:val="00F337BD"/>
    <w:rsid w:val="00F3383E"/>
    <w:rsid w:val="00F33A0D"/>
    <w:rsid w:val="00F33A7B"/>
    <w:rsid w:val="00F33B7C"/>
    <w:rsid w:val="00F33B98"/>
    <w:rsid w:val="00F33CA7"/>
    <w:rsid w:val="00F33DCF"/>
    <w:rsid w:val="00F33EBA"/>
    <w:rsid w:val="00F3406F"/>
    <w:rsid w:val="00F341E2"/>
    <w:rsid w:val="00F3420A"/>
    <w:rsid w:val="00F34238"/>
    <w:rsid w:val="00F3425A"/>
    <w:rsid w:val="00F34339"/>
    <w:rsid w:val="00F3443A"/>
    <w:rsid w:val="00F34466"/>
    <w:rsid w:val="00F34542"/>
    <w:rsid w:val="00F345AB"/>
    <w:rsid w:val="00F34619"/>
    <w:rsid w:val="00F34630"/>
    <w:rsid w:val="00F3465F"/>
    <w:rsid w:val="00F34688"/>
    <w:rsid w:val="00F34924"/>
    <w:rsid w:val="00F34A26"/>
    <w:rsid w:val="00F34A86"/>
    <w:rsid w:val="00F34C42"/>
    <w:rsid w:val="00F34D38"/>
    <w:rsid w:val="00F34F4F"/>
    <w:rsid w:val="00F34F5E"/>
    <w:rsid w:val="00F35009"/>
    <w:rsid w:val="00F35050"/>
    <w:rsid w:val="00F35084"/>
    <w:rsid w:val="00F350A5"/>
    <w:rsid w:val="00F3514D"/>
    <w:rsid w:val="00F35231"/>
    <w:rsid w:val="00F35248"/>
    <w:rsid w:val="00F352F2"/>
    <w:rsid w:val="00F35331"/>
    <w:rsid w:val="00F355C1"/>
    <w:rsid w:val="00F35721"/>
    <w:rsid w:val="00F358B5"/>
    <w:rsid w:val="00F35A24"/>
    <w:rsid w:val="00F35A2B"/>
    <w:rsid w:val="00F35A6E"/>
    <w:rsid w:val="00F35AA1"/>
    <w:rsid w:val="00F35BFC"/>
    <w:rsid w:val="00F35D93"/>
    <w:rsid w:val="00F35DB8"/>
    <w:rsid w:val="00F35E12"/>
    <w:rsid w:val="00F35E27"/>
    <w:rsid w:val="00F3609F"/>
    <w:rsid w:val="00F360CA"/>
    <w:rsid w:val="00F3625B"/>
    <w:rsid w:val="00F362A8"/>
    <w:rsid w:val="00F3635C"/>
    <w:rsid w:val="00F363A2"/>
    <w:rsid w:val="00F3641C"/>
    <w:rsid w:val="00F36498"/>
    <w:rsid w:val="00F36548"/>
    <w:rsid w:val="00F365CB"/>
    <w:rsid w:val="00F365CD"/>
    <w:rsid w:val="00F36623"/>
    <w:rsid w:val="00F366B2"/>
    <w:rsid w:val="00F366FF"/>
    <w:rsid w:val="00F3672B"/>
    <w:rsid w:val="00F367C5"/>
    <w:rsid w:val="00F369BB"/>
    <w:rsid w:val="00F36A4D"/>
    <w:rsid w:val="00F36CEF"/>
    <w:rsid w:val="00F36D5F"/>
    <w:rsid w:val="00F36E29"/>
    <w:rsid w:val="00F36F88"/>
    <w:rsid w:val="00F37088"/>
    <w:rsid w:val="00F37121"/>
    <w:rsid w:val="00F37167"/>
    <w:rsid w:val="00F3723D"/>
    <w:rsid w:val="00F3725B"/>
    <w:rsid w:val="00F37270"/>
    <w:rsid w:val="00F372B5"/>
    <w:rsid w:val="00F37425"/>
    <w:rsid w:val="00F376B7"/>
    <w:rsid w:val="00F377A7"/>
    <w:rsid w:val="00F37A47"/>
    <w:rsid w:val="00F37B8D"/>
    <w:rsid w:val="00F37C84"/>
    <w:rsid w:val="00F37DE4"/>
    <w:rsid w:val="00F37F2F"/>
    <w:rsid w:val="00F37F6D"/>
    <w:rsid w:val="00F400B0"/>
    <w:rsid w:val="00F400E8"/>
    <w:rsid w:val="00F4027F"/>
    <w:rsid w:val="00F402B3"/>
    <w:rsid w:val="00F40378"/>
    <w:rsid w:val="00F4038B"/>
    <w:rsid w:val="00F403DD"/>
    <w:rsid w:val="00F403EF"/>
    <w:rsid w:val="00F4047F"/>
    <w:rsid w:val="00F404EE"/>
    <w:rsid w:val="00F40807"/>
    <w:rsid w:val="00F40869"/>
    <w:rsid w:val="00F40BA9"/>
    <w:rsid w:val="00F40C34"/>
    <w:rsid w:val="00F40DC2"/>
    <w:rsid w:val="00F40E33"/>
    <w:rsid w:val="00F40E50"/>
    <w:rsid w:val="00F40F00"/>
    <w:rsid w:val="00F40F33"/>
    <w:rsid w:val="00F40FDC"/>
    <w:rsid w:val="00F41039"/>
    <w:rsid w:val="00F41062"/>
    <w:rsid w:val="00F410AE"/>
    <w:rsid w:val="00F4119C"/>
    <w:rsid w:val="00F41272"/>
    <w:rsid w:val="00F412A1"/>
    <w:rsid w:val="00F412B6"/>
    <w:rsid w:val="00F412DF"/>
    <w:rsid w:val="00F41346"/>
    <w:rsid w:val="00F41458"/>
    <w:rsid w:val="00F4145B"/>
    <w:rsid w:val="00F415A8"/>
    <w:rsid w:val="00F415EB"/>
    <w:rsid w:val="00F41754"/>
    <w:rsid w:val="00F41791"/>
    <w:rsid w:val="00F41860"/>
    <w:rsid w:val="00F41997"/>
    <w:rsid w:val="00F41AC6"/>
    <w:rsid w:val="00F41B54"/>
    <w:rsid w:val="00F41F3A"/>
    <w:rsid w:val="00F42040"/>
    <w:rsid w:val="00F4206D"/>
    <w:rsid w:val="00F420A6"/>
    <w:rsid w:val="00F42220"/>
    <w:rsid w:val="00F42229"/>
    <w:rsid w:val="00F422B8"/>
    <w:rsid w:val="00F4233E"/>
    <w:rsid w:val="00F4261D"/>
    <w:rsid w:val="00F4274F"/>
    <w:rsid w:val="00F4298D"/>
    <w:rsid w:val="00F429FD"/>
    <w:rsid w:val="00F42BBA"/>
    <w:rsid w:val="00F42DC4"/>
    <w:rsid w:val="00F430C9"/>
    <w:rsid w:val="00F431DA"/>
    <w:rsid w:val="00F432A0"/>
    <w:rsid w:val="00F434A8"/>
    <w:rsid w:val="00F434BD"/>
    <w:rsid w:val="00F436F9"/>
    <w:rsid w:val="00F43856"/>
    <w:rsid w:val="00F4387A"/>
    <w:rsid w:val="00F4391A"/>
    <w:rsid w:val="00F439C5"/>
    <w:rsid w:val="00F439FB"/>
    <w:rsid w:val="00F43A16"/>
    <w:rsid w:val="00F43A38"/>
    <w:rsid w:val="00F43D20"/>
    <w:rsid w:val="00F43D38"/>
    <w:rsid w:val="00F43E10"/>
    <w:rsid w:val="00F43FCE"/>
    <w:rsid w:val="00F440CA"/>
    <w:rsid w:val="00F44341"/>
    <w:rsid w:val="00F44361"/>
    <w:rsid w:val="00F445C4"/>
    <w:rsid w:val="00F4465D"/>
    <w:rsid w:val="00F446DE"/>
    <w:rsid w:val="00F44751"/>
    <w:rsid w:val="00F44778"/>
    <w:rsid w:val="00F447CB"/>
    <w:rsid w:val="00F448A2"/>
    <w:rsid w:val="00F449C7"/>
    <w:rsid w:val="00F44A2B"/>
    <w:rsid w:val="00F44BE7"/>
    <w:rsid w:val="00F44D63"/>
    <w:rsid w:val="00F44D87"/>
    <w:rsid w:val="00F44E9B"/>
    <w:rsid w:val="00F44FD5"/>
    <w:rsid w:val="00F44FD6"/>
    <w:rsid w:val="00F45297"/>
    <w:rsid w:val="00F4535F"/>
    <w:rsid w:val="00F45385"/>
    <w:rsid w:val="00F454A3"/>
    <w:rsid w:val="00F45506"/>
    <w:rsid w:val="00F457B1"/>
    <w:rsid w:val="00F45887"/>
    <w:rsid w:val="00F45888"/>
    <w:rsid w:val="00F458B7"/>
    <w:rsid w:val="00F45902"/>
    <w:rsid w:val="00F459EE"/>
    <w:rsid w:val="00F45A6E"/>
    <w:rsid w:val="00F45A97"/>
    <w:rsid w:val="00F45BA3"/>
    <w:rsid w:val="00F45DA0"/>
    <w:rsid w:val="00F45FE3"/>
    <w:rsid w:val="00F46024"/>
    <w:rsid w:val="00F46250"/>
    <w:rsid w:val="00F465A7"/>
    <w:rsid w:val="00F46D69"/>
    <w:rsid w:val="00F46F34"/>
    <w:rsid w:val="00F46FC7"/>
    <w:rsid w:val="00F470A4"/>
    <w:rsid w:val="00F471B0"/>
    <w:rsid w:val="00F4743E"/>
    <w:rsid w:val="00F47461"/>
    <w:rsid w:val="00F474BB"/>
    <w:rsid w:val="00F4758F"/>
    <w:rsid w:val="00F475A3"/>
    <w:rsid w:val="00F476F5"/>
    <w:rsid w:val="00F47721"/>
    <w:rsid w:val="00F4774A"/>
    <w:rsid w:val="00F4795A"/>
    <w:rsid w:val="00F479AE"/>
    <w:rsid w:val="00F47A84"/>
    <w:rsid w:val="00F47A8A"/>
    <w:rsid w:val="00F47AEA"/>
    <w:rsid w:val="00F47CA6"/>
    <w:rsid w:val="00F47F18"/>
    <w:rsid w:val="00F47FBE"/>
    <w:rsid w:val="00F47FC9"/>
    <w:rsid w:val="00F50145"/>
    <w:rsid w:val="00F50445"/>
    <w:rsid w:val="00F50458"/>
    <w:rsid w:val="00F506C8"/>
    <w:rsid w:val="00F507DF"/>
    <w:rsid w:val="00F50804"/>
    <w:rsid w:val="00F508B9"/>
    <w:rsid w:val="00F50A4D"/>
    <w:rsid w:val="00F50B30"/>
    <w:rsid w:val="00F50B7C"/>
    <w:rsid w:val="00F50EA9"/>
    <w:rsid w:val="00F50FA8"/>
    <w:rsid w:val="00F50FE6"/>
    <w:rsid w:val="00F5101B"/>
    <w:rsid w:val="00F511F5"/>
    <w:rsid w:val="00F5123C"/>
    <w:rsid w:val="00F512AF"/>
    <w:rsid w:val="00F515A2"/>
    <w:rsid w:val="00F515D0"/>
    <w:rsid w:val="00F51670"/>
    <w:rsid w:val="00F51852"/>
    <w:rsid w:val="00F5196D"/>
    <w:rsid w:val="00F519C3"/>
    <w:rsid w:val="00F51A97"/>
    <w:rsid w:val="00F51AEE"/>
    <w:rsid w:val="00F51B60"/>
    <w:rsid w:val="00F51D33"/>
    <w:rsid w:val="00F51D9B"/>
    <w:rsid w:val="00F51E11"/>
    <w:rsid w:val="00F51F91"/>
    <w:rsid w:val="00F52412"/>
    <w:rsid w:val="00F52461"/>
    <w:rsid w:val="00F5251B"/>
    <w:rsid w:val="00F52577"/>
    <w:rsid w:val="00F525B4"/>
    <w:rsid w:val="00F525ED"/>
    <w:rsid w:val="00F525FB"/>
    <w:rsid w:val="00F52620"/>
    <w:rsid w:val="00F52642"/>
    <w:rsid w:val="00F52A3A"/>
    <w:rsid w:val="00F52DD3"/>
    <w:rsid w:val="00F52EFD"/>
    <w:rsid w:val="00F52F0D"/>
    <w:rsid w:val="00F530A0"/>
    <w:rsid w:val="00F530D6"/>
    <w:rsid w:val="00F53230"/>
    <w:rsid w:val="00F533EC"/>
    <w:rsid w:val="00F53441"/>
    <w:rsid w:val="00F535DB"/>
    <w:rsid w:val="00F536F4"/>
    <w:rsid w:val="00F53782"/>
    <w:rsid w:val="00F5382C"/>
    <w:rsid w:val="00F53840"/>
    <w:rsid w:val="00F5394E"/>
    <w:rsid w:val="00F5395E"/>
    <w:rsid w:val="00F53A0C"/>
    <w:rsid w:val="00F53A4D"/>
    <w:rsid w:val="00F53B04"/>
    <w:rsid w:val="00F53B89"/>
    <w:rsid w:val="00F54075"/>
    <w:rsid w:val="00F540D9"/>
    <w:rsid w:val="00F54132"/>
    <w:rsid w:val="00F54161"/>
    <w:rsid w:val="00F541EC"/>
    <w:rsid w:val="00F5433A"/>
    <w:rsid w:val="00F54347"/>
    <w:rsid w:val="00F54494"/>
    <w:rsid w:val="00F544CF"/>
    <w:rsid w:val="00F545DD"/>
    <w:rsid w:val="00F54645"/>
    <w:rsid w:val="00F54677"/>
    <w:rsid w:val="00F54861"/>
    <w:rsid w:val="00F54970"/>
    <w:rsid w:val="00F549BB"/>
    <w:rsid w:val="00F54A29"/>
    <w:rsid w:val="00F54A80"/>
    <w:rsid w:val="00F54B4C"/>
    <w:rsid w:val="00F54C6D"/>
    <w:rsid w:val="00F54D8F"/>
    <w:rsid w:val="00F550E6"/>
    <w:rsid w:val="00F55278"/>
    <w:rsid w:val="00F55331"/>
    <w:rsid w:val="00F55349"/>
    <w:rsid w:val="00F5536C"/>
    <w:rsid w:val="00F55548"/>
    <w:rsid w:val="00F5570A"/>
    <w:rsid w:val="00F5575F"/>
    <w:rsid w:val="00F5586A"/>
    <w:rsid w:val="00F558C5"/>
    <w:rsid w:val="00F55A43"/>
    <w:rsid w:val="00F55A53"/>
    <w:rsid w:val="00F55F32"/>
    <w:rsid w:val="00F55F5D"/>
    <w:rsid w:val="00F55F7D"/>
    <w:rsid w:val="00F56005"/>
    <w:rsid w:val="00F56103"/>
    <w:rsid w:val="00F5623E"/>
    <w:rsid w:val="00F56262"/>
    <w:rsid w:val="00F5631C"/>
    <w:rsid w:val="00F5654A"/>
    <w:rsid w:val="00F5658E"/>
    <w:rsid w:val="00F56656"/>
    <w:rsid w:val="00F566CB"/>
    <w:rsid w:val="00F566D0"/>
    <w:rsid w:val="00F566EE"/>
    <w:rsid w:val="00F567AC"/>
    <w:rsid w:val="00F56A72"/>
    <w:rsid w:val="00F56AAB"/>
    <w:rsid w:val="00F56B5F"/>
    <w:rsid w:val="00F56BB5"/>
    <w:rsid w:val="00F56C5A"/>
    <w:rsid w:val="00F56E17"/>
    <w:rsid w:val="00F56E7D"/>
    <w:rsid w:val="00F56EC8"/>
    <w:rsid w:val="00F56EF7"/>
    <w:rsid w:val="00F572BC"/>
    <w:rsid w:val="00F57372"/>
    <w:rsid w:val="00F5740E"/>
    <w:rsid w:val="00F575D8"/>
    <w:rsid w:val="00F57773"/>
    <w:rsid w:val="00F5779A"/>
    <w:rsid w:val="00F578D6"/>
    <w:rsid w:val="00F57937"/>
    <w:rsid w:val="00F579A3"/>
    <w:rsid w:val="00F57ABE"/>
    <w:rsid w:val="00F57C07"/>
    <w:rsid w:val="00F57C1F"/>
    <w:rsid w:val="00F57D42"/>
    <w:rsid w:val="00F57DD0"/>
    <w:rsid w:val="00F57E7A"/>
    <w:rsid w:val="00F57EDD"/>
    <w:rsid w:val="00F57F68"/>
    <w:rsid w:val="00F60131"/>
    <w:rsid w:val="00F60153"/>
    <w:rsid w:val="00F601AB"/>
    <w:rsid w:val="00F601EB"/>
    <w:rsid w:val="00F60205"/>
    <w:rsid w:val="00F60392"/>
    <w:rsid w:val="00F609F0"/>
    <w:rsid w:val="00F60B9A"/>
    <w:rsid w:val="00F60CFA"/>
    <w:rsid w:val="00F60E09"/>
    <w:rsid w:val="00F60FA6"/>
    <w:rsid w:val="00F6116C"/>
    <w:rsid w:val="00F611AE"/>
    <w:rsid w:val="00F6133F"/>
    <w:rsid w:val="00F613D9"/>
    <w:rsid w:val="00F6141C"/>
    <w:rsid w:val="00F61495"/>
    <w:rsid w:val="00F6159F"/>
    <w:rsid w:val="00F615F9"/>
    <w:rsid w:val="00F61761"/>
    <w:rsid w:val="00F6178D"/>
    <w:rsid w:val="00F6190C"/>
    <w:rsid w:val="00F619C6"/>
    <w:rsid w:val="00F619FA"/>
    <w:rsid w:val="00F61AE0"/>
    <w:rsid w:val="00F62070"/>
    <w:rsid w:val="00F620D6"/>
    <w:rsid w:val="00F62176"/>
    <w:rsid w:val="00F6222C"/>
    <w:rsid w:val="00F62279"/>
    <w:rsid w:val="00F622D9"/>
    <w:rsid w:val="00F62657"/>
    <w:rsid w:val="00F6268C"/>
    <w:rsid w:val="00F62736"/>
    <w:rsid w:val="00F62842"/>
    <w:rsid w:val="00F62A46"/>
    <w:rsid w:val="00F62AC8"/>
    <w:rsid w:val="00F62CB1"/>
    <w:rsid w:val="00F62DDA"/>
    <w:rsid w:val="00F62E4D"/>
    <w:rsid w:val="00F62E4F"/>
    <w:rsid w:val="00F62F87"/>
    <w:rsid w:val="00F62FA7"/>
    <w:rsid w:val="00F6307D"/>
    <w:rsid w:val="00F630F0"/>
    <w:rsid w:val="00F631BB"/>
    <w:rsid w:val="00F6322E"/>
    <w:rsid w:val="00F63255"/>
    <w:rsid w:val="00F634B8"/>
    <w:rsid w:val="00F63536"/>
    <w:rsid w:val="00F63631"/>
    <w:rsid w:val="00F637A5"/>
    <w:rsid w:val="00F63903"/>
    <w:rsid w:val="00F63915"/>
    <w:rsid w:val="00F63994"/>
    <w:rsid w:val="00F63A47"/>
    <w:rsid w:val="00F63B25"/>
    <w:rsid w:val="00F63D7B"/>
    <w:rsid w:val="00F63E4B"/>
    <w:rsid w:val="00F64474"/>
    <w:rsid w:val="00F644C8"/>
    <w:rsid w:val="00F64538"/>
    <w:rsid w:val="00F6454C"/>
    <w:rsid w:val="00F6457B"/>
    <w:rsid w:val="00F64918"/>
    <w:rsid w:val="00F64A67"/>
    <w:rsid w:val="00F64B66"/>
    <w:rsid w:val="00F64CB1"/>
    <w:rsid w:val="00F64E42"/>
    <w:rsid w:val="00F64EC0"/>
    <w:rsid w:val="00F64F73"/>
    <w:rsid w:val="00F6502C"/>
    <w:rsid w:val="00F651AB"/>
    <w:rsid w:val="00F652B3"/>
    <w:rsid w:val="00F652F9"/>
    <w:rsid w:val="00F65399"/>
    <w:rsid w:val="00F6544D"/>
    <w:rsid w:val="00F654E9"/>
    <w:rsid w:val="00F65769"/>
    <w:rsid w:val="00F657F5"/>
    <w:rsid w:val="00F6580A"/>
    <w:rsid w:val="00F65833"/>
    <w:rsid w:val="00F65910"/>
    <w:rsid w:val="00F65979"/>
    <w:rsid w:val="00F65B30"/>
    <w:rsid w:val="00F65B47"/>
    <w:rsid w:val="00F65CAD"/>
    <w:rsid w:val="00F65CBF"/>
    <w:rsid w:val="00F65D0B"/>
    <w:rsid w:val="00F65D7A"/>
    <w:rsid w:val="00F65E4C"/>
    <w:rsid w:val="00F663E8"/>
    <w:rsid w:val="00F6641F"/>
    <w:rsid w:val="00F6653B"/>
    <w:rsid w:val="00F665CC"/>
    <w:rsid w:val="00F665EC"/>
    <w:rsid w:val="00F66681"/>
    <w:rsid w:val="00F6680A"/>
    <w:rsid w:val="00F66867"/>
    <w:rsid w:val="00F668EF"/>
    <w:rsid w:val="00F66A9E"/>
    <w:rsid w:val="00F66AD7"/>
    <w:rsid w:val="00F66B7E"/>
    <w:rsid w:val="00F66BF6"/>
    <w:rsid w:val="00F66DEB"/>
    <w:rsid w:val="00F66E4F"/>
    <w:rsid w:val="00F66EE4"/>
    <w:rsid w:val="00F66F9F"/>
    <w:rsid w:val="00F67029"/>
    <w:rsid w:val="00F6709E"/>
    <w:rsid w:val="00F6713C"/>
    <w:rsid w:val="00F67206"/>
    <w:rsid w:val="00F67391"/>
    <w:rsid w:val="00F673C2"/>
    <w:rsid w:val="00F674EA"/>
    <w:rsid w:val="00F67577"/>
    <w:rsid w:val="00F6758A"/>
    <w:rsid w:val="00F67747"/>
    <w:rsid w:val="00F6778D"/>
    <w:rsid w:val="00F67922"/>
    <w:rsid w:val="00F67934"/>
    <w:rsid w:val="00F67975"/>
    <w:rsid w:val="00F67B39"/>
    <w:rsid w:val="00F67B42"/>
    <w:rsid w:val="00F67C4E"/>
    <w:rsid w:val="00F67CDD"/>
    <w:rsid w:val="00F67D8A"/>
    <w:rsid w:val="00F67E38"/>
    <w:rsid w:val="00F67EC3"/>
    <w:rsid w:val="00F67EE5"/>
    <w:rsid w:val="00F70035"/>
    <w:rsid w:val="00F700C2"/>
    <w:rsid w:val="00F70199"/>
    <w:rsid w:val="00F70238"/>
    <w:rsid w:val="00F702FB"/>
    <w:rsid w:val="00F70730"/>
    <w:rsid w:val="00F709B2"/>
    <w:rsid w:val="00F709DC"/>
    <w:rsid w:val="00F70AAA"/>
    <w:rsid w:val="00F70B58"/>
    <w:rsid w:val="00F70C7B"/>
    <w:rsid w:val="00F70F5B"/>
    <w:rsid w:val="00F710B5"/>
    <w:rsid w:val="00F71112"/>
    <w:rsid w:val="00F7119A"/>
    <w:rsid w:val="00F71207"/>
    <w:rsid w:val="00F71294"/>
    <w:rsid w:val="00F71385"/>
    <w:rsid w:val="00F71398"/>
    <w:rsid w:val="00F715B1"/>
    <w:rsid w:val="00F715F6"/>
    <w:rsid w:val="00F716F0"/>
    <w:rsid w:val="00F71774"/>
    <w:rsid w:val="00F71847"/>
    <w:rsid w:val="00F718DE"/>
    <w:rsid w:val="00F71911"/>
    <w:rsid w:val="00F71920"/>
    <w:rsid w:val="00F71A12"/>
    <w:rsid w:val="00F71AD7"/>
    <w:rsid w:val="00F71B0D"/>
    <w:rsid w:val="00F71CC6"/>
    <w:rsid w:val="00F71FCC"/>
    <w:rsid w:val="00F7214C"/>
    <w:rsid w:val="00F721A4"/>
    <w:rsid w:val="00F721AE"/>
    <w:rsid w:val="00F72271"/>
    <w:rsid w:val="00F723AC"/>
    <w:rsid w:val="00F724A8"/>
    <w:rsid w:val="00F72536"/>
    <w:rsid w:val="00F725D3"/>
    <w:rsid w:val="00F7260E"/>
    <w:rsid w:val="00F72617"/>
    <w:rsid w:val="00F726AF"/>
    <w:rsid w:val="00F727B8"/>
    <w:rsid w:val="00F727F6"/>
    <w:rsid w:val="00F7286A"/>
    <w:rsid w:val="00F72D62"/>
    <w:rsid w:val="00F72D75"/>
    <w:rsid w:val="00F72D99"/>
    <w:rsid w:val="00F72FA3"/>
    <w:rsid w:val="00F72FE3"/>
    <w:rsid w:val="00F7335F"/>
    <w:rsid w:val="00F7356C"/>
    <w:rsid w:val="00F7377E"/>
    <w:rsid w:val="00F73898"/>
    <w:rsid w:val="00F7389A"/>
    <w:rsid w:val="00F73A71"/>
    <w:rsid w:val="00F73B4A"/>
    <w:rsid w:val="00F73C1E"/>
    <w:rsid w:val="00F73E49"/>
    <w:rsid w:val="00F74345"/>
    <w:rsid w:val="00F74407"/>
    <w:rsid w:val="00F74474"/>
    <w:rsid w:val="00F744F8"/>
    <w:rsid w:val="00F745AE"/>
    <w:rsid w:val="00F74607"/>
    <w:rsid w:val="00F74619"/>
    <w:rsid w:val="00F7471E"/>
    <w:rsid w:val="00F74816"/>
    <w:rsid w:val="00F7499E"/>
    <w:rsid w:val="00F74AC0"/>
    <w:rsid w:val="00F74B58"/>
    <w:rsid w:val="00F74B83"/>
    <w:rsid w:val="00F74CF6"/>
    <w:rsid w:val="00F74DDB"/>
    <w:rsid w:val="00F751C0"/>
    <w:rsid w:val="00F75220"/>
    <w:rsid w:val="00F7535E"/>
    <w:rsid w:val="00F753C7"/>
    <w:rsid w:val="00F754F1"/>
    <w:rsid w:val="00F755BA"/>
    <w:rsid w:val="00F75662"/>
    <w:rsid w:val="00F756B3"/>
    <w:rsid w:val="00F757E1"/>
    <w:rsid w:val="00F7586F"/>
    <w:rsid w:val="00F75971"/>
    <w:rsid w:val="00F75988"/>
    <w:rsid w:val="00F759D5"/>
    <w:rsid w:val="00F75A56"/>
    <w:rsid w:val="00F75A72"/>
    <w:rsid w:val="00F75D05"/>
    <w:rsid w:val="00F761F6"/>
    <w:rsid w:val="00F762DD"/>
    <w:rsid w:val="00F762F2"/>
    <w:rsid w:val="00F763FF"/>
    <w:rsid w:val="00F76501"/>
    <w:rsid w:val="00F765EB"/>
    <w:rsid w:val="00F7661C"/>
    <w:rsid w:val="00F7674A"/>
    <w:rsid w:val="00F769CE"/>
    <w:rsid w:val="00F76DAB"/>
    <w:rsid w:val="00F76E15"/>
    <w:rsid w:val="00F76E2C"/>
    <w:rsid w:val="00F7700D"/>
    <w:rsid w:val="00F7720E"/>
    <w:rsid w:val="00F77212"/>
    <w:rsid w:val="00F7721B"/>
    <w:rsid w:val="00F77227"/>
    <w:rsid w:val="00F77290"/>
    <w:rsid w:val="00F775B4"/>
    <w:rsid w:val="00F775FE"/>
    <w:rsid w:val="00F77857"/>
    <w:rsid w:val="00F77907"/>
    <w:rsid w:val="00F77A59"/>
    <w:rsid w:val="00F77C13"/>
    <w:rsid w:val="00F77D26"/>
    <w:rsid w:val="00F77DC1"/>
    <w:rsid w:val="00F77E56"/>
    <w:rsid w:val="00F80055"/>
    <w:rsid w:val="00F80111"/>
    <w:rsid w:val="00F80178"/>
    <w:rsid w:val="00F80196"/>
    <w:rsid w:val="00F801AF"/>
    <w:rsid w:val="00F8026C"/>
    <w:rsid w:val="00F80588"/>
    <w:rsid w:val="00F8068B"/>
    <w:rsid w:val="00F806D9"/>
    <w:rsid w:val="00F80728"/>
    <w:rsid w:val="00F80A0A"/>
    <w:rsid w:val="00F80B8A"/>
    <w:rsid w:val="00F80BCD"/>
    <w:rsid w:val="00F80C4F"/>
    <w:rsid w:val="00F80C6E"/>
    <w:rsid w:val="00F80CDF"/>
    <w:rsid w:val="00F80CEF"/>
    <w:rsid w:val="00F80F6E"/>
    <w:rsid w:val="00F80F99"/>
    <w:rsid w:val="00F81221"/>
    <w:rsid w:val="00F812D9"/>
    <w:rsid w:val="00F8164C"/>
    <w:rsid w:val="00F8171D"/>
    <w:rsid w:val="00F81798"/>
    <w:rsid w:val="00F81806"/>
    <w:rsid w:val="00F81929"/>
    <w:rsid w:val="00F81C84"/>
    <w:rsid w:val="00F81E43"/>
    <w:rsid w:val="00F81F16"/>
    <w:rsid w:val="00F82040"/>
    <w:rsid w:val="00F8260D"/>
    <w:rsid w:val="00F827F8"/>
    <w:rsid w:val="00F82813"/>
    <w:rsid w:val="00F8293D"/>
    <w:rsid w:val="00F82949"/>
    <w:rsid w:val="00F829DE"/>
    <w:rsid w:val="00F829F1"/>
    <w:rsid w:val="00F82A49"/>
    <w:rsid w:val="00F82B19"/>
    <w:rsid w:val="00F82C1D"/>
    <w:rsid w:val="00F82EDA"/>
    <w:rsid w:val="00F83037"/>
    <w:rsid w:val="00F837B9"/>
    <w:rsid w:val="00F83805"/>
    <w:rsid w:val="00F8388E"/>
    <w:rsid w:val="00F83905"/>
    <w:rsid w:val="00F8394E"/>
    <w:rsid w:val="00F83C02"/>
    <w:rsid w:val="00F83C48"/>
    <w:rsid w:val="00F83CDB"/>
    <w:rsid w:val="00F83E7A"/>
    <w:rsid w:val="00F8408C"/>
    <w:rsid w:val="00F840BD"/>
    <w:rsid w:val="00F84193"/>
    <w:rsid w:val="00F84272"/>
    <w:rsid w:val="00F8450F"/>
    <w:rsid w:val="00F845B2"/>
    <w:rsid w:val="00F84773"/>
    <w:rsid w:val="00F84785"/>
    <w:rsid w:val="00F847A7"/>
    <w:rsid w:val="00F849D2"/>
    <w:rsid w:val="00F84A8B"/>
    <w:rsid w:val="00F84BA1"/>
    <w:rsid w:val="00F84CCD"/>
    <w:rsid w:val="00F84D7B"/>
    <w:rsid w:val="00F84EB8"/>
    <w:rsid w:val="00F84ED4"/>
    <w:rsid w:val="00F850A9"/>
    <w:rsid w:val="00F852EA"/>
    <w:rsid w:val="00F855C5"/>
    <w:rsid w:val="00F855F9"/>
    <w:rsid w:val="00F85610"/>
    <w:rsid w:val="00F85645"/>
    <w:rsid w:val="00F8564C"/>
    <w:rsid w:val="00F856D3"/>
    <w:rsid w:val="00F8588B"/>
    <w:rsid w:val="00F858F5"/>
    <w:rsid w:val="00F85B39"/>
    <w:rsid w:val="00F85C8D"/>
    <w:rsid w:val="00F85D67"/>
    <w:rsid w:val="00F85D7B"/>
    <w:rsid w:val="00F85E33"/>
    <w:rsid w:val="00F85EA8"/>
    <w:rsid w:val="00F85EFA"/>
    <w:rsid w:val="00F85F16"/>
    <w:rsid w:val="00F8608D"/>
    <w:rsid w:val="00F862C6"/>
    <w:rsid w:val="00F86387"/>
    <w:rsid w:val="00F8645F"/>
    <w:rsid w:val="00F86498"/>
    <w:rsid w:val="00F86748"/>
    <w:rsid w:val="00F867DC"/>
    <w:rsid w:val="00F869D3"/>
    <w:rsid w:val="00F86B4C"/>
    <w:rsid w:val="00F86C01"/>
    <w:rsid w:val="00F86C4E"/>
    <w:rsid w:val="00F87043"/>
    <w:rsid w:val="00F87333"/>
    <w:rsid w:val="00F8739B"/>
    <w:rsid w:val="00F8750A"/>
    <w:rsid w:val="00F87638"/>
    <w:rsid w:val="00F87669"/>
    <w:rsid w:val="00F877E8"/>
    <w:rsid w:val="00F87806"/>
    <w:rsid w:val="00F878D5"/>
    <w:rsid w:val="00F87955"/>
    <w:rsid w:val="00F87972"/>
    <w:rsid w:val="00F87A08"/>
    <w:rsid w:val="00F87A98"/>
    <w:rsid w:val="00F87BDF"/>
    <w:rsid w:val="00F87EA7"/>
    <w:rsid w:val="00F87EAD"/>
    <w:rsid w:val="00F87F1E"/>
    <w:rsid w:val="00F87F36"/>
    <w:rsid w:val="00F9007E"/>
    <w:rsid w:val="00F90155"/>
    <w:rsid w:val="00F90284"/>
    <w:rsid w:val="00F90378"/>
    <w:rsid w:val="00F90438"/>
    <w:rsid w:val="00F90451"/>
    <w:rsid w:val="00F904D8"/>
    <w:rsid w:val="00F90546"/>
    <w:rsid w:val="00F905AD"/>
    <w:rsid w:val="00F9060C"/>
    <w:rsid w:val="00F90AB9"/>
    <w:rsid w:val="00F90B98"/>
    <w:rsid w:val="00F90C25"/>
    <w:rsid w:val="00F90E54"/>
    <w:rsid w:val="00F90EE8"/>
    <w:rsid w:val="00F91080"/>
    <w:rsid w:val="00F91086"/>
    <w:rsid w:val="00F910DF"/>
    <w:rsid w:val="00F910ED"/>
    <w:rsid w:val="00F910FD"/>
    <w:rsid w:val="00F91344"/>
    <w:rsid w:val="00F913C5"/>
    <w:rsid w:val="00F91687"/>
    <w:rsid w:val="00F918E9"/>
    <w:rsid w:val="00F919C5"/>
    <w:rsid w:val="00F91CBD"/>
    <w:rsid w:val="00F91E7C"/>
    <w:rsid w:val="00F91F40"/>
    <w:rsid w:val="00F92087"/>
    <w:rsid w:val="00F9212D"/>
    <w:rsid w:val="00F923A8"/>
    <w:rsid w:val="00F924EB"/>
    <w:rsid w:val="00F924F5"/>
    <w:rsid w:val="00F9257C"/>
    <w:rsid w:val="00F9263E"/>
    <w:rsid w:val="00F92717"/>
    <w:rsid w:val="00F9275D"/>
    <w:rsid w:val="00F927E7"/>
    <w:rsid w:val="00F92A2B"/>
    <w:rsid w:val="00F92BC5"/>
    <w:rsid w:val="00F92BFF"/>
    <w:rsid w:val="00F92E89"/>
    <w:rsid w:val="00F92FA9"/>
    <w:rsid w:val="00F9300E"/>
    <w:rsid w:val="00F931A6"/>
    <w:rsid w:val="00F9320F"/>
    <w:rsid w:val="00F9376C"/>
    <w:rsid w:val="00F93A72"/>
    <w:rsid w:val="00F93A81"/>
    <w:rsid w:val="00F93A94"/>
    <w:rsid w:val="00F93D1A"/>
    <w:rsid w:val="00F93E2A"/>
    <w:rsid w:val="00F93EB5"/>
    <w:rsid w:val="00F93F1E"/>
    <w:rsid w:val="00F93FBF"/>
    <w:rsid w:val="00F940CE"/>
    <w:rsid w:val="00F9411B"/>
    <w:rsid w:val="00F94272"/>
    <w:rsid w:val="00F94313"/>
    <w:rsid w:val="00F945E1"/>
    <w:rsid w:val="00F94617"/>
    <w:rsid w:val="00F94841"/>
    <w:rsid w:val="00F9491F"/>
    <w:rsid w:val="00F94937"/>
    <w:rsid w:val="00F94D0F"/>
    <w:rsid w:val="00F94DD6"/>
    <w:rsid w:val="00F94ED1"/>
    <w:rsid w:val="00F94F82"/>
    <w:rsid w:val="00F94F9F"/>
    <w:rsid w:val="00F95108"/>
    <w:rsid w:val="00F951D5"/>
    <w:rsid w:val="00F9535C"/>
    <w:rsid w:val="00F953E4"/>
    <w:rsid w:val="00F955BF"/>
    <w:rsid w:val="00F956B2"/>
    <w:rsid w:val="00F9574D"/>
    <w:rsid w:val="00F957DE"/>
    <w:rsid w:val="00F957FD"/>
    <w:rsid w:val="00F95931"/>
    <w:rsid w:val="00F95994"/>
    <w:rsid w:val="00F95A07"/>
    <w:rsid w:val="00F95B9B"/>
    <w:rsid w:val="00F95D31"/>
    <w:rsid w:val="00F95E92"/>
    <w:rsid w:val="00F95FE9"/>
    <w:rsid w:val="00F96080"/>
    <w:rsid w:val="00F9625E"/>
    <w:rsid w:val="00F96349"/>
    <w:rsid w:val="00F9634B"/>
    <w:rsid w:val="00F96387"/>
    <w:rsid w:val="00F965DA"/>
    <w:rsid w:val="00F965F6"/>
    <w:rsid w:val="00F9677E"/>
    <w:rsid w:val="00F968B6"/>
    <w:rsid w:val="00F96A0F"/>
    <w:rsid w:val="00F96B32"/>
    <w:rsid w:val="00F96D9A"/>
    <w:rsid w:val="00F96F8D"/>
    <w:rsid w:val="00F970D5"/>
    <w:rsid w:val="00F97112"/>
    <w:rsid w:val="00F97161"/>
    <w:rsid w:val="00F97355"/>
    <w:rsid w:val="00F974EC"/>
    <w:rsid w:val="00F97680"/>
    <w:rsid w:val="00F9772B"/>
    <w:rsid w:val="00F97730"/>
    <w:rsid w:val="00F9785F"/>
    <w:rsid w:val="00F97B3C"/>
    <w:rsid w:val="00F97C68"/>
    <w:rsid w:val="00F97CC9"/>
    <w:rsid w:val="00F97D4E"/>
    <w:rsid w:val="00F97F8C"/>
    <w:rsid w:val="00FA02A8"/>
    <w:rsid w:val="00FA02AF"/>
    <w:rsid w:val="00FA02EC"/>
    <w:rsid w:val="00FA03C2"/>
    <w:rsid w:val="00FA05ED"/>
    <w:rsid w:val="00FA06BF"/>
    <w:rsid w:val="00FA06CE"/>
    <w:rsid w:val="00FA0708"/>
    <w:rsid w:val="00FA07E1"/>
    <w:rsid w:val="00FA0840"/>
    <w:rsid w:val="00FA0A4A"/>
    <w:rsid w:val="00FA0A78"/>
    <w:rsid w:val="00FA0AF3"/>
    <w:rsid w:val="00FA0B3D"/>
    <w:rsid w:val="00FA0BEC"/>
    <w:rsid w:val="00FA0D48"/>
    <w:rsid w:val="00FA0DB9"/>
    <w:rsid w:val="00FA0F27"/>
    <w:rsid w:val="00FA1475"/>
    <w:rsid w:val="00FA15EA"/>
    <w:rsid w:val="00FA1624"/>
    <w:rsid w:val="00FA162A"/>
    <w:rsid w:val="00FA162B"/>
    <w:rsid w:val="00FA1B00"/>
    <w:rsid w:val="00FA1B30"/>
    <w:rsid w:val="00FA1CB5"/>
    <w:rsid w:val="00FA1D44"/>
    <w:rsid w:val="00FA1D67"/>
    <w:rsid w:val="00FA1DC0"/>
    <w:rsid w:val="00FA1E42"/>
    <w:rsid w:val="00FA231E"/>
    <w:rsid w:val="00FA232F"/>
    <w:rsid w:val="00FA2512"/>
    <w:rsid w:val="00FA2551"/>
    <w:rsid w:val="00FA267C"/>
    <w:rsid w:val="00FA277E"/>
    <w:rsid w:val="00FA27CB"/>
    <w:rsid w:val="00FA27D3"/>
    <w:rsid w:val="00FA27FC"/>
    <w:rsid w:val="00FA282C"/>
    <w:rsid w:val="00FA2A6F"/>
    <w:rsid w:val="00FA2BAB"/>
    <w:rsid w:val="00FA2DE1"/>
    <w:rsid w:val="00FA2DEC"/>
    <w:rsid w:val="00FA3044"/>
    <w:rsid w:val="00FA3083"/>
    <w:rsid w:val="00FA3158"/>
    <w:rsid w:val="00FA349A"/>
    <w:rsid w:val="00FA34AA"/>
    <w:rsid w:val="00FA3745"/>
    <w:rsid w:val="00FA3820"/>
    <w:rsid w:val="00FA39AD"/>
    <w:rsid w:val="00FA39DB"/>
    <w:rsid w:val="00FA3A1D"/>
    <w:rsid w:val="00FA3ACA"/>
    <w:rsid w:val="00FA3C17"/>
    <w:rsid w:val="00FA3DF8"/>
    <w:rsid w:val="00FA3E1A"/>
    <w:rsid w:val="00FA3E7E"/>
    <w:rsid w:val="00FA3F9E"/>
    <w:rsid w:val="00FA406A"/>
    <w:rsid w:val="00FA41D1"/>
    <w:rsid w:val="00FA426E"/>
    <w:rsid w:val="00FA4425"/>
    <w:rsid w:val="00FA4434"/>
    <w:rsid w:val="00FA4495"/>
    <w:rsid w:val="00FA462F"/>
    <w:rsid w:val="00FA4799"/>
    <w:rsid w:val="00FA47FC"/>
    <w:rsid w:val="00FA48B4"/>
    <w:rsid w:val="00FA4922"/>
    <w:rsid w:val="00FA4A09"/>
    <w:rsid w:val="00FA4C25"/>
    <w:rsid w:val="00FA4C2A"/>
    <w:rsid w:val="00FA4CF0"/>
    <w:rsid w:val="00FA4D8F"/>
    <w:rsid w:val="00FA4E26"/>
    <w:rsid w:val="00FA4EF6"/>
    <w:rsid w:val="00FA5117"/>
    <w:rsid w:val="00FA5165"/>
    <w:rsid w:val="00FA5168"/>
    <w:rsid w:val="00FA51E7"/>
    <w:rsid w:val="00FA5214"/>
    <w:rsid w:val="00FA52E1"/>
    <w:rsid w:val="00FA53B4"/>
    <w:rsid w:val="00FA58E5"/>
    <w:rsid w:val="00FA5926"/>
    <w:rsid w:val="00FA5ACF"/>
    <w:rsid w:val="00FA5B37"/>
    <w:rsid w:val="00FA5C7C"/>
    <w:rsid w:val="00FA5D4E"/>
    <w:rsid w:val="00FA5E4C"/>
    <w:rsid w:val="00FA5F72"/>
    <w:rsid w:val="00FA5FC6"/>
    <w:rsid w:val="00FA6166"/>
    <w:rsid w:val="00FA61DE"/>
    <w:rsid w:val="00FA62A1"/>
    <w:rsid w:val="00FA655F"/>
    <w:rsid w:val="00FA6586"/>
    <w:rsid w:val="00FA659D"/>
    <w:rsid w:val="00FA65E4"/>
    <w:rsid w:val="00FA6633"/>
    <w:rsid w:val="00FA6C4B"/>
    <w:rsid w:val="00FA6D47"/>
    <w:rsid w:val="00FA6DA3"/>
    <w:rsid w:val="00FA6DFE"/>
    <w:rsid w:val="00FA7098"/>
    <w:rsid w:val="00FA7105"/>
    <w:rsid w:val="00FA7210"/>
    <w:rsid w:val="00FA72D2"/>
    <w:rsid w:val="00FA7381"/>
    <w:rsid w:val="00FA73C8"/>
    <w:rsid w:val="00FA7534"/>
    <w:rsid w:val="00FA76C6"/>
    <w:rsid w:val="00FA7861"/>
    <w:rsid w:val="00FA7A6D"/>
    <w:rsid w:val="00FA7DA8"/>
    <w:rsid w:val="00FA7E68"/>
    <w:rsid w:val="00FA7ED1"/>
    <w:rsid w:val="00FA7F01"/>
    <w:rsid w:val="00FA7FDB"/>
    <w:rsid w:val="00FB0028"/>
    <w:rsid w:val="00FB02C8"/>
    <w:rsid w:val="00FB0383"/>
    <w:rsid w:val="00FB0394"/>
    <w:rsid w:val="00FB0403"/>
    <w:rsid w:val="00FB052A"/>
    <w:rsid w:val="00FB06FC"/>
    <w:rsid w:val="00FB0792"/>
    <w:rsid w:val="00FB07D7"/>
    <w:rsid w:val="00FB08DF"/>
    <w:rsid w:val="00FB0A35"/>
    <w:rsid w:val="00FB0A8E"/>
    <w:rsid w:val="00FB0AFE"/>
    <w:rsid w:val="00FB0CD5"/>
    <w:rsid w:val="00FB0DB0"/>
    <w:rsid w:val="00FB0E65"/>
    <w:rsid w:val="00FB0FFC"/>
    <w:rsid w:val="00FB115C"/>
    <w:rsid w:val="00FB11D7"/>
    <w:rsid w:val="00FB16D7"/>
    <w:rsid w:val="00FB1869"/>
    <w:rsid w:val="00FB1AAE"/>
    <w:rsid w:val="00FB1B81"/>
    <w:rsid w:val="00FB1C15"/>
    <w:rsid w:val="00FB2014"/>
    <w:rsid w:val="00FB21F6"/>
    <w:rsid w:val="00FB2296"/>
    <w:rsid w:val="00FB251E"/>
    <w:rsid w:val="00FB253E"/>
    <w:rsid w:val="00FB25AB"/>
    <w:rsid w:val="00FB27A0"/>
    <w:rsid w:val="00FB2990"/>
    <w:rsid w:val="00FB2A93"/>
    <w:rsid w:val="00FB2ACB"/>
    <w:rsid w:val="00FB2BD9"/>
    <w:rsid w:val="00FB2C4B"/>
    <w:rsid w:val="00FB2D5B"/>
    <w:rsid w:val="00FB2DE9"/>
    <w:rsid w:val="00FB2E1F"/>
    <w:rsid w:val="00FB2E24"/>
    <w:rsid w:val="00FB2E43"/>
    <w:rsid w:val="00FB2F43"/>
    <w:rsid w:val="00FB2FD2"/>
    <w:rsid w:val="00FB3109"/>
    <w:rsid w:val="00FB3232"/>
    <w:rsid w:val="00FB3238"/>
    <w:rsid w:val="00FB34A0"/>
    <w:rsid w:val="00FB3599"/>
    <w:rsid w:val="00FB35A5"/>
    <w:rsid w:val="00FB367C"/>
    <w:rsid w:val="00FB387F"/>
    <w:rsid w:val="00FB38AC"/>
    <w:rsid w:val="00FB3960"/>
    <w:rsid w:val="00FB3984"/>
    <w:rsid w:val="00FB3A7A"/>
    <w:rsid w:val="00FB3B4D"/>
    <w:rsid w:val="00FB3B8B"/>
    <w:rsid w:val="00FB3BA9"/>
    <w:rsid w:val="00FB3C47"/>
    <w:rsid w:val="00FB3D18"/>
    <w:rsid w:val="00FB3DBC"/>
    <w:rsid w:val="00FB3DDB"/>
    <w:rsid w:val="00FB3F02"/>
    <w:rsid w:val="00FB3F9B"/>
    <w:rsid w:val="00FB4024"/>
    <w:rsid w:val="00FB422D"/>
    <w:rsid w:val="00FB43CE"/>
    <w:rsid w:val="00FB442E"/>
    <w:rsid w:val="00FB4448"/>
    <w:rsid w:val="00FB4515"/>
    <w:rsid w:val="00FB45BD"/>
    <w:rsid w:val="00FB45CD"/>
    <w:rsid w:val="00FB46B3"/>
    <w:rsid w:val="00FB4765"/>
    <w:rsid w:val="00FB4970"/>
    <w:rsid w:val="00FB4A63"/>
    <w:rsid w:val="00FB4AAD"/>
    <w:rsid w:val="00FB4B8E"/>
    <w:rsid w:val="00FB4B94"/>
    <w:rsid w:val="00FB4CB1"/>
    <w:rsid w:val="00FB4CD1"/>
    <w:rsid w:val="00FB4D85"/>
    <w:rsid w:val="00FB503A"/>
    <w:rsid w:val="00FB513E"/>
    <w:rsid w:val="00FB516C"/>
    <w:rsid w:val="00FB530D"/>
    <w:rsid w:val="00FB5491"/>
    <w:rsid w:val="00FB5550"/>
    <w:rsid w:val="00FB5582"/>
    <w:rsid w:val="00FB5650"/>
    <w:rsid w:val="00FB5698"/>
    <w:rsid w:val="00FB56E5"/>
    <w:rsid w:val="00FB5785"/>
    <w:rsid w:val="00FB598A"/>
    <w:rsid w:val="00FB59A9"/>
    <w:rsid w:val="00FB59BF"/>
    <w:rsid w:val="00FB59C0"/>
    <w:rsid w:val="00FB5BE8"/>
    <w:rsid w:val="00FB5C1A"/>
    <w:rsid w:val="00FB5CC9"/>
    <w:rsid w:val="00FB5DC8"/>
    <w:rsid w:val="00FB5E13"/>
    <w:rsid w:val="00FB5E2F"/>
    <w:rsid w:val="00FB5EDF"/>
    <w:rsid w:val="00FB605A"/>
    <w:rsid w:val="00FB6184"/>
    <w:rsid w:val="00FB61E6"/>
    <w:rsid w:val="00FB61E8"/>
    <w:rsid w:val="00FB6209"/>
    <w:rsid w:val="00FB63EE"/>
    <w:rsid w:val="00FB6506"/>
    <w:rsid w:val="00FB66E1"/>
    <w:rsid w:val="00FB66ED"/>
    <w:rsid w:val="00FB67E8"/>
    <w:rsid w:val="00FB6905"/>
    <w:rsid w:val="00FB69D0"/>
    <w:rsid w:val="00FB6B92"/>
    <w:rsid w:val="00FB6BD0"/>
    <w:rsid w:val="00FB6ED6"/>
    <w:rsid w:val="00FB7043"/>
    <w:rsid w:val="00FB70C3"/>
    <w:rsid w:val="00FB7175"/>
    <w:rsid w:val="00FB739B"/>
    <w:rsid w:val="00FB73A2"/>
    <w:rsid w:val="00FB74D8"/>
    <w:rsid w:val="00FB75F6"/>
    <w:rsid w:val="00FB76AB"/>
    <w:rsid w:val="00FB78D6"/>
    <w:rsid w:val="00FB78FA"/>
    <w:rsid w:val="00FB7AA8"/>
    <w:rsid w:val="00FB7AFE"/>
    <w:rsid w:val="00FB7B17"/>
    <w:rsid w:val="00FB7C07"/>
    <w:rsid w:val="00FB7C93"/>
    <w:rsid w:val="00FB7C9E"/>
    <w:rsid w:val="00FB7D19"/>
    <w:rsid w:val="00FB7E35"/>
    <w:rsid w:val="00FB7E52"/>
    <w:rsid w:val="00FB7F20"/>
    <w:rsid w:val="00FB7F2A"/>
    <w:rsid w:val="00FB7FEA"/>
    <w:rsid w:val="00FC0036"/>
    <w:rsid w:val="00FC00EF"/>
    <w:rsid w:val="00FC0101"/>
    <w:rsid w:val="00FC0107"/>
    <w:rsid w:val="00FC0350"/>
    <w:rsid w:val="00FC0377"/>
    <w:rsid w:val="00FC058B"/>
    <w:rsid w:val="00FC05AD"/>
    <w:rsid w:val="00FC0643"/>
    <w:rsid w:val="00FC091E"/>
    <w:rsid w:val="00FC0949"/>
    <w:rsid w:val="00FC0B5C"/>
    <w:rsid w:val="00FC0B80"/>
    <w:rsid w:val="00FC0C06"/>
    <w:rsid w:val="00FC0D0A"/>
    <w:rsid w:val="00FC0E76"/>
    <w:rsid w:val="00FC101B"/>
    <w:rsid w:val="00FC119B"/>
    <w:rsid w:val="00FC1278"/>
    <w:rsid w:val="00FC12D5"/>
    <w:rsid w:val="00FC1385"/>
    <w:rsid w:val="00FC1453"/>
    <w:rsid w:val="00FC14E0"/>
    <w:rsid w:val="00FC15E8"/>
    <w:rsid w:val="00FC1747"/>
    <w:rsid w:val="00FC1910"/>
    <w:rsid w:val="00FC193D"/>
    <w:rsid w:val="00FC197F"/>
    <w:rsid w:val="00FC1998"/>
    <w:rsid w:val="00FC1BE5"/>
    <w:rsid w:val="00FC1C17"/>
    <w:rsid w:val="00FC1C45"/>
    <w:rsid w:val="00FC1EE4"/>
    <w:rsid w:val="00FC1F25"/>
    <w:rsid w:val="00FC2064"/>
    <w:rsid w:val="00FC2349"/>
    <w:rsid w:val="00FC2900"/>
    <w:rsid w:val="00FC2A59"/>
    <w:rsid w:val="00FC2C7D"/>
    <w:rsid w:val="00FC2CB2"/>
    <w:rsid w:val="00FC2D98"/>
    <w:rsid w:val="00FC33D6"/>
    <w:rsid w:val="00FC342F"/>
    <w:rsid w:val="00FC3556"/>
    <w:rsid w:val="00FC3732"/>
    <w:rsid w:val="00FC3753"/>
    <w:rsid w:val="00FC3996"/>
    <w:rsid w:val="00FC3AA5"/>
    <w:rsid w:val="00FC3AA9"/>
    <w:rsid w:val="00FC3E06"/>
    <w:rsid w:val="00FC3E1B"/>
    <w:rsid w:val="00FC3E5E"/>
    <w:rsid w:val="00FC3E92"/>
    <w:rsid w:val="00FC3EC5"/>
    <w:rsid w:val="00FC3EF3"/>
    <w:rsid w:val="00FC4067"/>
    <w:rsid w:val="00FC461D"/>
    <w:rsid w:val="00FC4782"/>
    <w:rsid w:val="00FC49FE"/>
    <w:rsid w:val="00FC4A6F"/>
    <w:rsid w:val="00FC4AEB"/>
    <w:rsid w:val="00FC4C06"/>
    <w:rsid w:val="00FC4C15"/>
    <w:rsid w:val="00FC4DB8"/>
    <w:rsid w:val="00FC4E36"/>
    <w:rsid w:val="00FC4F33"/>
    <w:rsid w:val="00FC506D"/>
    <w:rsid w:val="00FC50D4"/>
    <w:rsid w:val="00FC5182"/>
    <w:rsid w:val="00FC52BA"/>
    <w:rsid w:val="00FC53AE"/>
    <w:rsid w:val="00FC542D"/>
    <w:rsid w:val="00FC5432"/>
    <w:rsid w:val="00FC5485"/>
    <w:rsid w:val="00FC54F0"/>
    <w:rsid w:val="00FC577F"/>
    <w:rsid w:val="00FC5A15"/>
    <w:rsid w:val="00FC5AAF"/>
    <w:rsid w:val="00FC5B86"/>
    <w:rsid w:val="00FC5C5A"/>
    <w:rsid w:val="00FC5D5E"/>
    <w:rsid w:val="00FC5E95"/>
    <w:rsid w:val="00FC5EED"/>
    <w:rsid w:val="00FC60C5"/>
    <w:rsid w:val="00FC61C7"/>
    <w:rsid w:val="00FC6215"/>
    <w:rsid w:val="00FC621A"/>
    <w:rsid w:val="00FC6282"/>
    <w:rsid w:val="00FC63A5"/>
    <w:rsid w:val="00FC64F3"/>
    <w:rsid w:val="00FC651F"/>
    <w:rsid w:val="00FC661C"/>
    <w:rsid w:val="00FC682C"/>
    <w:rsid w:val="00FC6A79"/>
    <w:rsid w:val="00FC6C7E"/>
    <w:rsid w:val="00FC6CEC"/>
    <w:rsid w:val="00FC6DCC"/>
    <w:rsid w:val="00FC70E9"/>
    <w:rsid w:val="00FC713F"/>
    <w:rsid w:val="00FC71DB"/>
    <w:rsid w:val="00FC72BA"/>
    <w:rsid w:val="00FC72FA"/>
    <w:rsid w:val="00FC73F3"/>
    <w:rsid w:val="00FC7523"/>
    <w:rsid w:val="00FC755A"/>
    <w:rsid w:val="00FC7707"/>
    <w:rsid w:val="00FC7741"/>
    <w:rsid w:val="00FC77C4"/>
    <w:rsid w:val="00FC77FB"/>
    <w:rsid w:val="00FC7961"/>
    <w:rsid w:val="00FC7985"/>
    <w:rsid w:val="00FC7D15"/>
    <w:rsid w:val="00FC7D57"/>
    <w:rsid w:val="00FC7D83"/>
    <w:rsid w:val="00FC7E2E"/>
    <w:rsid w:val="00FC7E49"/>
    <w:rsid w:val="00FC7E4F"/>
    <w:rsid w:val="00FC7EF0"/>
    <w:rsid w:val="00FC7FE7"/>
    <w:rsid w:val="00FD006B"/>
    <w:rsid w:val="00FD00B9"/>
    <w:rsid w:val="00FD010A"/>
    <w:rsid w:val="00FD011F"/>
    <w:rsid w:val="00FD01E0"/>
    <w:rsid w:val="00FD01F5"/>
    <w:rsid w:val="00FD0236"/>
    <w:rsid w:val="00FD036A"/>
    <w:rsid w:val="00FD03AD"/>
    <w:rsid w:val="00FD049F"/>
    <w:rsid w:val="00FD0627"/>
    <w:rsid w:val="00FD0758"/>
    <w:rsid w:val="00FD07B9"/>
    <w:rsid w:val="00FD0807"/>
    <w:rsid w:val="00FD088D"/>
    <w:rsid w:val="00FD08C1"/>
    <w:rsid w:val="00FD0A15"/>
    <w:rsid w:val="00FD0B13"/>
    <w:rsid w:val="00FD0B8E"/>
    <w:rsid w:val="00FD0C8B"/>
    <w:rsid w:val="00FD0CFD"/>
    <w:rsid w:val="00FD0E4C"/>
    <w:rsid w:val="00FD0E58"/>
    <w:rsid w:val="00FD0EF0"/>
    <w:rsid w:val="00FD0F83"/>
    <w:rsid w:val="00FD0FEA"/>
    <w:rsid w:val="00FD1054"/>
    <w:rsid w:val="00FD10C6"/>
    <w:rsid w:val="00FD1280"/>
    <w:rsid w:val="00FD13C6"/>
    <w:rsid w:val="00FD1467"/>
    <w:rsid w:val="00FD1682"/>
    <w:rsid w:val="00FD174D"/>
    <w:rsid w:val="00FD1783"/>
    <w:rsid w:val="00FD1801"/>
    <w:rsid w:val="00FD18F4"/>
    <w:rsid w:val="00FD1987"/>
    <w:rsid w:val="00FD1CBA"/>
    <w:rsid w:val="00FD1DEE"/>
    <w:rsid w:val="00FD236D"/>
    <w:rsid w:val="00FD23AC"/>
    <w:rsid w:val="00FD23D4"/>
    <w:rsid w:val="00FD25A0"/>
    <w:rsid w:val="00FD278A"/>
    <w:rsid w:val="00FD2874"/>
    <w:rsid w:val="00FD2958"/>
    <w:rsid w:val="00FD2A33"/>
    <w:rsid w:val="00FD2A75"/>
    <w:rsid w:val="00FD2C37"/>
    <w:rsid w:val="00FD2C7F"/>
    <w:rsid w:val="00FD2CD3"/>
    <w:rsid w:val="00FD2D4B"/>
    <w:rsid w:val="00FD2D80"/>
    <w:rsid w:val="00FD2DCD"/>
    <w:rsid w:val="00FD2E60"/>
    <w:rsid w:val="00FD2F77"/>
    <w:rsid w:val="00FD2F7D"/>
    <w:rsid w:val="00FD3076"/>
    <w:rsid w:val="00FD3136"/>
    <w:rsid w:val="00FD3169"/>
    <w:rsid w:val="00FD31CD"/>
    <w:rsid w:val="00FD31F4"/>
    <w:rsid w:val="00FD3361"/>
    <w:rsid w:val="00FD34A2"/>
    <w:rsid w:val="00FD35D7"/>
    <w:rsid w:val="00FD360E"/>
    <w:rsid w:val="00FD3661"/>
    <w:rsid w:val="00FD36B7"/>
    <w:rsid w:val="00FD3757"/>
    <w:rsid w:val="00FD3865"/>
    <w:rsid w:val="00FD39E1"/>
    <w:rsid w:val="00FD3A29"/>
    <w:rsid w:val="00FD3CC9"/>
    <w:rsid w:val="00FD3DE0"/>
    <w:rsid w:val="00FD3E49"/>
    <w:rsid w:val="00FD3ED5"/>
    <w:rsid w:val="00FD4032"/>
    <w:rsid w:val="00FD4035"/>
    <w:rsid w:val="00FD4135"/>
    <w:rsid w:val="00FD41A2"/>
    <w:rsid w:val="00FD41BD"/>
    <w:rsid w:val="00FD41EE"/>
    <w:rsid w:val="00FD421D"/>
    <w:rsid w:val="00FD430A"/>
    <w:rsid w:val="00FD43D2"/>
    <w:rsid w:val="00FD4531"/>
    <w:rsid w:val="00FD457D"/>
    <w:rsid w:val="00FD472A"/>
    <w:rsid w:val="00FD4816"/>
    <w:rsid w:val="00FD4B5F"/>
    <w:rsid w:val="00FD4BAD"/>
    <w:rsid w:val="00FD4BEC"/>
    <w:rsid w:val="00FD4BFF"/>
    <w:rsid w:val="00FD4E50"/>
    <w:rsid w:val="00FD4E55"/>
    <w:rsid w:val="00FD4F68"/>
    <w:rsid w:val="00FD514D"/>
    <w:rsid w:val="00FD51A6"/>
    <w:rsid w:val="00FD524A"/>
    <w:rsid w:val="00FD525F"/>
    <w:rsid w:val="00FD548C"/>
    <w:rsid w:val="00FD54BC"/>
    <w:rsid w:val="00FD54DB"/>
    <w:rsid w:val="00FD551A"/>
    <w:rsid w:val="00FD5568"/>
    <w:rsid w:val="00FD56E6"/>
    <w:rsid w:val="00FD58CE"/>
    <w:rsid w:val="00FD59A1"/>
    <w:rsid w:val="00FD5B0A"/>
    <w:rsid w:val="00FD5C00"/>
    <w:rsid w:val="00FD5EBC"/>
    <w:rsid w:val="00FD60A6"/>
    <w:rsid w:val="00FD6152"/>
    <w:rsid w:val="00FD619F"/>
    <w:rsid w:val="00FD62FB"/>
    <w:rsid w:val="00FD634D"/>
    <w:rsid w:val="00FD642C"/>
    <w:rsid w:val="00FD644F"/>
    <w:rsid w:val="00FD64C4"/>
    <w:rsid w:val="00FD6581"/>
    <w:rsid w:val="00FD65FB"/>
    <w:rsid w:val="00FD6662"/>
    <w:rsid w:val="00FD687C"/>
    <w:rsid w:val="00FD6B6E"/>
    <w:rsid w:val="00FD6C27"/>
    <w:rsid w:val="00FD6C32"/>
    <w:rsid w:val="00FD6E11"/>
    <w:rsid w:val="00FD6E70"/>
    <w:rsid w:val="00FD73C5"/>
    <w:rsid w:val="00FD73D9"/>
    <w:rsid w:val="00FD755C"/>
    <w:rsid w:val="00FD7645"/>
    <w:rsid w:val="00FD7679"/>
    <w:rsid w:val="00FD775C"/>
    <w:rsid w:val="00FD779E"/>
    <w:rsid w:val="00FD78C7"/>
    <w:rsid w:val="00FD78E5"/>
    <w:rsid w:val="00FD790A"/>
    <w:rsid w:val="00FD7A4C"/>
    <w:rsid w:val="00FD7B40"/>
    <w:rsid w:val="00FD7BA6"/>
    <w:rsid w:val="00FD7EF7"/>
    <w:rsid w:val="00FD7F68"/>
    <w:rsid w:val="00FE04E2"/>
    <w:rsid w:val="00FE06B5"/>
    <w:rsid w:val="00FE07FB"/>
    <w:rsid w:val="00FE0834"/>
    <w:rsid w:val="00FE088F"/>
    <w:rsid w:val="00FE0AA8"/>
    <w:rsid w:val="00FE0D75"/>
    <w:rsid w:val="00FE0DA7"/>
    <w:rsid w:val="00FE0DFE"/>
    <w:rsid w:val="00FE0E57"/>
    <w:rsid w:val="00FE0EFE"/>
    <w:rsid w:val="00FE0FCA"/>
    <w:rsid w:val="00FE10E2"/>
    <w:rsid w:val="00FE10EE"/>
    <w:rsid w:val="00FE1101"/>
    <w:rsid w:val="00FE1207"/>
    <w:rsid w:val="00FE12DE"/>
    <w:rsid w:val="00FE1440"/>
    <w:rsid w:val="00FE14A4"/>
    <w:rsid w:val="00FE1523"/>
    <w:rsid w:val="00FE15F9"/>
    <w:rsid w:val="00FE162F"/>
    <w:rsid w:val="00FE1662"/>
    <w:rsid w:val="00FE1731"/>
    <w:rsid w:val="00FE1BF4"/>
    <w:rsid w:val="00FE1C73"/>
    <w:rsid w:val="00FE1D4E"/>
    <w:rsid w:val="00FE1E2E"/>
    <w:rsid w:val="00FE1E57"/>
    <w:rsid w:val="00FE1FC3"/>
    <w:rsid w:val="00FE1FFD"/>
    <w:rsid w:val="00FE2026"/>
    <w:rsid w:val="00FE21C3"/>
    <w:rsid w:val="00FE22B3"/>
    <w:rsid w:val="00FE23E3"/>
    <w:rsid w:val="00FE246A"/>
    <w:rsid w:val="00FE2474"/>
    <w:rsid w:val="00FE24D8"/>
    <w:rsid w:val="00FE2647"/>
    <w:rsid w:val="00FE2728"/>
    <w:rsid w:val="00FE27B6"/>
    <w:rsid w:val="00FE2853"/>
    <w:rsid w:val="00FE28BF"/>
    <w:rsid w:val="00FE2A6A"/>
    <w:rsid w:val="00FE2A88"/>
    <w:rsid w:val="00FE2B0D"/>
    <w:rsid w:val="00FE2D57"/>
    <w:rsid w:val="00FE2D9A"/>
    <w:rsid w:val="00FE2E15"/>
    <w:rsid w:val="00FE2EC0"/>
    <w:rsid w:val="00FE2F88"/>
    <w:rsid w:val="00FE2FC9"/>
    <w:rsid w:val="00FE31B4"/>
    <w:rsid w:val="00FE321E"/>
    <w:rsid w:val="00FE334E"/>
    <w:rsid w:val="00FE35E0"/>
    <w:rsid w:val="00FE35F5"/>
    <w:rsid w:val="00FE3615"/>
    <w:rsid w:val="00FE3631"/>
    <w:rsid w:val="00FE37A1"/>
    <w:rsid w:val="00FE3808"/>
    <w:rsid w:val="00FE390D"/>
    <w:rsid w:val="00FE39E5"/>
    <w:rsid w:val="00FE3A23"/>
    <w:rsid w:val="00FE3C36"/>
    <w:rsid w:val="00FE3CD4"/>
    <w:rsid w:val="00FE3D97"/>
    <w:rsid w:val="00FE3E2A"/>
    <w:rsid w:val="00FE3EA6"/>
    <w:rsid w:val="00FE3F92"/>
    <w:rsid w:val="00FE4016"/>
    <w:rsid w:val="00FE41BB"/>
    <w:rsid w:val="00FE41F1"/>
    <w:rsid w:val="00FE41F9"/>
    <w:rsid w:val="00FE42E4"/>
    <w:rsid w:val="00FE4401"/>
    <w:rsid w:val="00FE4571"/>
    <w:rsid w:val="00FE47C6"/>
    <w:rsid w:val="00FE480C"/>
    <w:rsid w:val="00FE491C"/>
    <w:rsid w:val="00FE4A78"/>
    <w:rsid w:val="00FE4B9F"/>
    <w:rsid w:val="00FE4BBB"/>
    <w:rsid w:val="00FE4D0A"/>
    <w:rsid w:val="00FE4DB3"/>
    <w:rsid w:val="00FE4DC6"/>
    <w:rsid w:val="00FE4DF3"/>
    <w:rsid w:val="00FE4E7B"/>
    <w:rsid w:val="00FE4F33"/>
    <w:rsid w:val="00FE4F9E"/>
    <w:rsid w:val="00FE500A"/>
    <w:rsid w:val="00FE5095"/>
    <w:rsid w:val="00FE50D6"/>
    <w:rsid w:val="00FE555F"/>
    <w:rsid w:val="00FE5609"/>
    <w:rsid w:val="00FE572E"/>
    <w:rsid w:val="00FE57BB"/>
    <w:rsid w:val="00FE57DA"/>
    <w:rsid w:val="00FE5862"/>
    <w:rsid w:val="00FE58D8"/>
    <w:rsid w:val="00FE58F0"/>
    <w:rsid w:val="00FE597E"/>
    <w:rsid w:val="00FE5B59"/>
    <w:rsid w:val="00FE5CA5"/>
    <w:rsid w:val="00FE5CAD"/>
    <w:rsid w:val="00FE5DE1"/>
    <w:rsid w:val="00FE6016"/>
    <w:rsid w:val="00FE6040"/>
    <w:rsid w:val="00FE6053"/>
    <w:rsid w:val="00FE60C1"/>
    <w:rsid w:val="00FE617E"/>
    <w:rsid w:val="00FE626B"/>
    <w:rsid w:val="00FE62B7"/>
    <w:rsid w:val="00FE63FA"/>
    <w:rsid w:val="00FE6463"/>
    <w:rsid w:val="00FE670A"/>
    <w:rsid w:val="00FE68B1"/>
    <w:rsid w:val="00FE6923"/>
    <w:rsid w:val="00FE696A"/>
    <w:rsid w:val="00FE6C3F"/>
    <w:rsid w:val="00FE6CA1"/>
    <w:rsid w:val="00FE7171"/>
    <w:rsid w:val="00FE7272"/>
    <w:rsid w:val="00FE7341"/>
    <w:rsid w:val="00FE73D4"/>
    <w:rsid w:val="00FE73DA"/>
    <w:rsid w:val="00FE74CF"/>
    <w:rsid w:val="00FE750A"/>
    <w:rsid w:val="00FE775A"/>
    <w:rsid w:val="00FE77CA"/>
    <w:rsid w:val="00FE7926"/>
    <w:rsid w:val="00FE798F"/>
    <w:rsid w:val="00FE79C9"/>
    <w:rsid w:val="00FE7A3F"/>
    <w:rsid w:val="00FE7C53"/>
    <w:rsid w:val="00FE7CD3"/>
    <w:rsid w:val="00FE7DEA"/>
    <w:rsid w:val="00FF028A"/>
    <w:rsid w:val="00FF0382"/>
    <w:rsid w:val="00FF03C3"/>
    <w:rsid w:val="00FF0405"/>
    <w:rsid w:val="00FF050C"/>
    <w:rsid w:val="00FF0817"/>
    <w:rsid w:val="00FF0A0E"/>
    <w:rsid w:val="00FF0C9B"/>
    <w:rsid w:val="00FF0F1D"/>
    <w:rsid w:val="00FF10F7"/>
    <w:rsid w:val="00FF10FD"/>
    <w:rsid w:val="00FF118C"/>
    <w:rsid w:val="00FF1264"/>
    <w:rsid w:val="00FF1303"/>
    <w:rsid w:val="00FF1309"/>
    <w:rsid w:val="00FF1542"/>
    <w:rsid w:val="00FF15E5"/>
    <w:rsid w:val="00FF15FB"/>
    <w:rsid w:val="00FF1630"/>
    <w:rsid w:val="00FF17DA"/>
    <w:rsid w:val="00FF1CE8"/>
    <w:rsid w:val="00FF1D88"/>
    <w:rsid w:val="00FF1DA8"/>
    <w:rsid w:val="00FF1DF6"/>
    <w:rsid w:val="00FF1ED8"/>
    <w:rsid w:val="00FF1EEE"/>
    <w:rsid w:val="00FF2008"/>
    <w:rsid w:val="00FF2023"/>
    <w:rsid w:val="00FF20CA"/>
    <w:rsid w:val="00FF2403"/>
    <w:rsid w:val="00FF257A"/>
    <w:rsid w:val="00FF2595"/>
    <w:rsid w:val="00FF25B1"/>
    <w:rsid w:val="00FF26A7"/>
    <w:rsid w:val="00FF2733"/>
    <w:rsid w:val="00FF27A9"/>
    <w:rsid w:val="00FF2887"/>
    <w:rsid w:val="00FF28DA"/>
    <w:rsid w:val="00FF294B"/>
    <w:rsid w:val="00FF2B62"/>
    <w:rsid w:val="00FF2B6C"/>
    <w:rsid w:val="00FF2BEA"/>
    <w:rsid w:val="00FF2C59"/>
    <w:rsid w:val="00FF2C6E"/>
    <w:rsid w:val="00FF2E21"/>
    <w:rsid w:val="00FF2F0F"/>
    <w:rsid w:val="00FF307A"/>
    <w:rsid w:val="00FF30A9"/>
    <w:rsid w:val="00FF315A"/>
    <w:rsid w:val="00FF3184"/>
    <w:rsid w:val="00FF31EB"/>
    <w:rsid w:val="00FF3318"/>
    <w:rsid w:val="00FF33AE"/>
    <w:rsid w:val="00FF343B"/>
    <w:rsid w:val="00FF368A"/>
    <w:rsid w:val="00FF3690"/>
    <w:rsid w:val="00FF371F"/>
    <w:rsid w:val="00FF37D8"/>
    <w:rsid w:val="00FF387E"/>
    <w:rsid w:val="00FF3989"/>
    <w:rsid w:val="00FF398E"/>
    <w:rsid w:val="00FF39A9"/>
    <w:rsid w:val="00FF39D0"/>
    <w:rsid w:val="00FF3A2D"/>
    <w:rsid w:val="00FF3B6C"/>
    <w:rsid w:val="00FF3CF1"/>
    <w:rsid w:val="00FF3DB1"/>
    <w:rsid w:val="00FF3DED"/>
    <w:rsid w:val="00FF3F8A"/>
    <w:rsid w:val="00FF40E2"/>
    <w:rsid w:val="00FF44F1"/>
    <w:rsid w:val="00FF45BD"/>
    <w:rsid w:val="00FF45D8"/>
    <w:rsid w:val="00FF46F6"/>
    <w:rsid w:val="00FF475D"/>
    <w:rsid w:val="00FF4B44"/>
    <w:rsid w:val="00FF4C76"/>
    <w:rsid w:val="00FF4D67"/>
    <w:rsid w:val="00FF5000"/>
    <w:rsid w:val="00FF5018"/>
    <w:rsid w:val="00FF52F3"/>
    <w:rsid w:val="00FF5466"/>
    <w:rsid w:val="00FF549D"/>
    <w:rsid w:val="00FF5624"/>
    <w:rsid w:val="00FF5728"/>
    <w:rsid w:val="00FF5730"/>
    <w:rsid w:val="00FF58A6"/>
    <w:rsid w:val="00FF58A9"/>
    <w:rsid w:val="00FF596D"/>
    <w:rsid w:val="00FF5B37"/>
    <w:rsid w:val="00FF5CCB"/>
    <w:rsid w:val="00FF5DF5"/>
    <w:rsid w:val="00FF5E11"/>
    <w:rsid w:val="00FF61DE"/>
    <w:rsid w:val="00FF6204"/>
    <w:rsid w:val="00FF64E3"/>
    <w:rsid w:val="00FF6509"/>
    <w:rsid w:val="00FF66B3"/>
    <w:rsid w:val="00FF683E"/>
    <w:rsid w:val="00FF6888"/>
    <w:rsid w:val="00FF68A4"/>
    <w:rsid w:val="00FF6B1C"/>
    <w:rsid w:val="00FF6E53"/>
    <w:rsid w:val="00FF6F2B"/>
    <w:rsid w:val="00FF705B"/>
    <w:rsid w:val="00FF7090"/>
    <w:rsid w:val="00FF7124"/>
    <w:rsid w:val="00FF71CE"/>
    <w:rsid w:val="00FF7233"/>
    <w:rsid w:val="00FF72C7"/>
    <w:rsid w:val="00FF73C1"/>
    <w:rsid w:val="00FF7437"/>
    <w:rsid w:val="00FF7741"/>
    <w:rsid w:val="00FF78EE"/>
    <w:rsid w:val="00FF7911"/>
    <w:rsid w:val="00FF7996"/>
    <w:rsid w:val="00FF7D66"/>
    <w:rsid w:val="00FF7E1D"/>
    <w:rsid w:val="00FF7E5A"/>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6C16C43"/>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1D65964"/>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B8A675E"/>
    <w:rsid w:val="4C4A0649"/>
    <w:rsid w:val="4C7E5ECA"/>
    <w:rsid w:val="4C876AA5"/>
    <w:rsid w:val="4D0E00FB"/>
    <w:rsid w:val="4D176606"/>
    <w:rsid w:val="4D566C89"/>
    <w:rsid w:val="4DEC4FB0"/>
    <w:rsid w:val="4E075D8A"/>
    <w:rsid w:val="4EC00FAD"/>
    <w:rsid w:val="4F9843DC"/>
    <w:rsid w:val="4FC62A8C"/>
    <w:rsid w:val="4FE20F0D"/>
    <w:rsid w:val="4FE51552"/>
    <w:rsid w:val="50504C4B"/>
    <w:rsid w:val="509C6E7C"/>
    <w:rsid w:val="5162104E"/>
    <w:rsid w:val="51C44714"/>
    <w:rsid w:val="53660459"/>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8CF1ACD"/>
    <w:rsid w:val="59C0439F"/>
    <w:rsid w:val="5A5D23D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491FE6"/>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qFormat="1"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uiPriority="0" w:name="toc 2" w:locked="1"/>
    <w:lsdException w:uiPriority="0" w:name="toc 3" w:locked="1"/>
    <w:lsdException w:uiPriority="0" w:name="toc 4" w:locked="1"/>
    <w:lsdException w:uiPriority="0" w:name="toc 5" w:locked="1"/>
    <w:lsdException w:qFormat="1" w:unhideWhenUsed="0" w:uiPriority="0" w:semiHidden="0" w:name="toc 6" w:locked="1"/>
    <w:lsdException w:uiPriority="0" w:name="toc 7" w:locked="1"/>
    <w:lsdException w:uiPriority="0" w:name="toc 8" w:locked="1"/>
    <w:lsdException w:qFormat="1" w:unhideWhenUsed="0" w:uiPriority="0" w:semiHidden="0" w:name="toc 9" w:locked="1"/>
    <w:lsdException w:qFormat="1" w:unhideWhenUsed="0" w:uiPriority="0" w:semiHidden="0" w:name="Normal Indent" w:locked="1"/>
    <w:lsdException w:uiPriority="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uiPriority="0" w:name="Body Text First Indent 2" w:locked="1"/>
    <w:lsdException w:uiPriority="0" w:name="Note Heading" w:locked="1"/>
    <w:lsdException w:uiPriority="0" w:name="Body Text 2" w:locked="1"/>
    <w:lsdException w:uiPriority="0" w:name="Body Text 3" w:locked="1"/>
    <w:lsdException w:uiPriority="0" w:name="Body Text Indent 2" w:locked="1"/>
    <w:lsdException w:qFormat="1" w:unhideWhenUsed="0" w:uiPriority="0" w:semiHidden="0" w:name="Body Text Indent 3" w:locked="1"/>
    <w:lsdException w:uiPriority="0" w:name="Block Text" w:locked="1"/>
    <w:lsdException w:qFormat="1" w:uiPriority="99" w:semiHidden="0" w:name="Hyperlink" w:locked="1"/>
    <w:lsdException w:uiPriority="0" w:name="FollowedHyperlink" w:locked="1"/>
    <w:lsdException w:qFormat="1" w:unhideWhenUsed="0" w:uiPriority="22" w:semiHidden="0" w:name="Strong" w:locked="1"/>
    <w:lsdException w:unhideWhenUsed="0" w:uiPriority="0" w:semiHidden="0" w:name="Emphasis" w:locked="1"/>
    <w:lsdException w:uiPriority="0" w:name="Document Map" w:locked="1"/>
    <w:lsdException w:qFormat="1" w:unhideWhenUsed="0" w:uiPriority="0"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0" w:semiHidden="0" w:name="Table Grid"/>
    <w:lsdException w:qFormat="1" w:unhideWhenUsed="0" w:uiPriority="0" w:semiHidden="0" w:name="Table Theme" w:locked="1"/>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val="0"/>
      <w:autoSpaceDN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77"/>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83"/>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85"/>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9">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locked/>
    <w:uiPriority w:val="0"/>
    <w:pPr>
      <w:wordWrap/>
      <w:autoSpaceDN/>
      <w:spacing w:line="240" w:lineRule="auto"/>
      <w:ind w:firstLine="420"/>
    </w:pPr>
    <w:rPr>
      <w:sz w:val="21"/>
      <w:szCs w:val="20"/>
    </w:rPr>
  </w:style>
  <w:style w:type="paragraph" w:styleId="7">
    <w:name w:val="caption"/>
    <w:basedOn w:val="1"/>
    <w:next w:val="1"/>
    <w:qFormat/>
    <w:locked/>
    <w:uiPriority w:val="0"/>
    <w:pPr>
      <w:tabs>
        <w:tab w:val="center" w:pos="10467"/>
        <w:tab w:val="left" w:pos="13095"/>
      </w:tabs>
      <w:wordWrap/>
      <w:autoSpaceDN/>
      <w:spacing w:line="240" w:lineRule="auto"/>
      <w:ind w:left="2783" w:hanging="2829" w:firstLineChars="0"/>
      <w:jc w:val="center"/>
    </w:pPr>
    <w:rPr>
      <w:rFonts w:ascii="Arial" w:hAnsi="Arial" w:cs="Arial"/>
      <w:b/>
      <w:kern w:val="28"/>
      <w:sz w:val="21"/>
    </w:rPr>
  </w:style>
  <w:style w:type="paragraph" w:styleId="8">
    <w:name w:val="annotation text"/>
    <w:basedOn w:val="1"/>
    <w:link w:val="40"/>
    <w:qFormat/>
    <w:uiPriority w:val="0"/>
    <w:pPr>
      <w:jc w:val="left"/>
    </w:pPr>
    <w:rPr>
      <w:kern w:val="0"/>
      <w:szCs w:val="20"/>
    </w:rPr>
  </w:style>
  <w:style w:type="paragraph" w:styleId="9">
    <w:name w:val="Body Text"/>
    <w:basedOn w:val="1"/>
    <w:link w:val="39"/>
    <w:qFormat/>
    <w:uiPriority w:val="0"/>
    <w:pPr>
      <w:widowControl/>
      <w:snapToGrid w:val="0"/>
      <w:spacing w:before="60" w:after="160" w:line="259" w:lineRule="auto"/>
      <w:ind w:right="113"/>
    </w:pPr>
    <w:rPr>
      <w:kern w:val="0"/>
      <w:sz w:val="18"/>
      <w:szCs w:val="20"/>
    </w:rPr>
  </w:style>
  <w:style w:type="paragraph" w:styleId="10">
    <w:name w:val="Body Text Indent"/>
    <w:basedOn w:val="1"/>
    <w:link w:val="48"/>
    <w:qFormat/>
    <w:uiPriority w:val="0"/>
    <w:pPr>
      <w:spacing w:after="120"/>
      <w:ind w:left="420" w:leftChars="200"/>
    </w:pPr>
    <w:rPr>
      <w:kern w:val="0"/>
      <w:szCs w:val="20"/>
    </w:rPr>
  </w:style>
  <w:style w:type="paragraph" w:styleId="11">
    <w:name w:val="Plain Text"/>
    <w:basedOn w:val="1"/>
    <w:link w:val="74"/>
    <w:qFormat/>
    <w:locked/>
    <w:uiPriority w:val="0"/>
    <w:pPr>
      <w:wordWrap/>
      <w:autoSpaceDN/>
      <w:spacing w:line="240" w:lineRule="auto"/>
      <w:ind w:firstLine="0" w:firstLineChars="0"/>
    </w:pPr>
    <w:rPr>
      <w:rFonts w:ascii="宋体" w:hAnsi="Courier New" w:cs="宋体"/>
      <w:sz w:val="21"/>
    </w:rPr>
  </w:style>
  <w:style w:type="paragraph" w:styleId="12">
    <w:name w:val="index 3"/>
    <w:basedOn w:val="1"/>
    <w:next w:val="1"/>
    <w:semiHidden/>
    <w:unhideWhenUsed/>
    <w:qFormat/>
    <w:locked/>
    <w:uiPriority w:val="0"/>
    <w:pPr>
      <w:ind w:left="400" w:leftChars="400" w:firstLine="0"/>
    </w:pPr>
  </w:style>
  <w:style w:type="paragraph" w:styleId="13">
    <w:name w:val="Date"/>
    <w:basedOn w:val="1"/>
    <w:next w:val="1"/>
    <w:link w:val="35"/>
    <w:qFormat/>
    <w:uiPriority w:val="0"/>
    <w:pPr>
      <w:ind w:left="100" w:leftChars="2500"/>
    </w:pPr>
    <w:rPr>
      <w:kern w:val="0"/>
      <w:szCs w:val="20"/>
    </w:rPr>
  </w:style>
  <w:style w:type="paragraph" w:styleId="14">
    <w:name w:val="Balloon Text"/>
    <w:basedOn w:val="1"/>
    <w:link w:val="44"/>
    <w:semiHidden/>
    <w:qFormat/>
    <w:uiPriority w:val="99"/>
    <w:rPr>
      <w:kern w:val="0"/>
      <w:sz w:val="18"/>
      <w:szCs w:val="20"/>
    </w:rPr>
  </w:style>
  <w:style w:type="paragraph" w:styleId="15">
    <w:name w:val="footer"/>
    <w:basedOn w:val="1"/>
    <w:link w:val="34"/>
    <w:qFormat/>
    <w:uiPriority w:val="99"/>
    <w:pPr>
      <w:tabs>
        <w:tab w:val="center" w:pos="4153"/>
        <w:tab w:val="right" w:pos="8306"/>
      </w:tabs>
      <w:snapToGrid w:val="0"/>
      <w:jc w:val="left"/>
    </w:pPr>
    <w:rPr>
      <w:kern w:val="0"/>
      <w:sz w:val="18"/>
      <w:szCs w:val="20"/>
    </w:rPr>
  </w:style>
  <w:style w:type="paragraph" w:styleId="16">
    <w:name w:val="header"/>
    <w:basedOn w:val="1"/>
    <w:link w:val="46"/>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qFormat/>
    <w:locked/>
    <w:uiPriority w:val="39"/>
  </w:style>
  <w:style w:type="paragraph" w:styleId="18">
    <w:name w:val="toc 6"/>
    <w:basedOn w:val="1"/>
    <w:next w:val="1"/>
    <w:qFormat/>
    <w:locked/>
    <w:uiPriority w:val="0"/>
    <w:pPr>
      <w:wordWrap/>
      <w:autoSpaceDN/>
      <w:spacing w:line="240" w:lineRule="auto"/>
      <w:ind w:left="2100" w:leftChars="1000" w:firstLine="0" w:firstLineChars="0"/>
    </w:pPr>
    <w:rPr>
      <w:sz w:val="21"/>
    </w:rPr>
  </w:style>
  <w:style w:type="paragraph" w:styleId="19">
    <w:name w:val="Body Text Indent 3"/>
    <w:basedOn w:val="1"/>
    <w:link w:val="73"/>
    <w:qFormat/>
    <w:locked/>
    <w:uiPriority w:val="0"/>
    <w:pPr>
      <w:spacing w:after="120"/>
      <w:ind w:left="420" w:leftChars="200"/>
    </w:pPr>
    <w:rPr>
      <w:sz w:val="16"/>
      <w:szCs w:val="16"/>
    </w:rPr>
  </w:style>
  <w:style w:type="paragraph" w:styleId="20">
    <w:name w:val="toc 9"/>
    <w:basedOn w:val="1"/>
    <w:next w:val="1"/>
    <w:qFormat/>
    <w:locked/>
    <w:uiPriority w:val="0"/>
    <w:pPr>
      <w:wordWrap/>
      <w:autoSpaceDN/>
      <w:spacing w:line="240" w:lineRule="auto"/>
      <w:ind w:left="3360" w:leftChars="1600" w:firstLine="0" w:firstLineChars="0"/>
    </w:pPr>
    <w:rPr>
      <w:sz w:val="21"/>
    </w:rPr>
  </w:style>
  <w:style w:type="paragraph" w:styleId="21">
    <w:name w:val="HTML Preformatted"/>
    <w:basedOn w:val="1"/>
    <w:link w:val="121"/>
    <w:semiHidden/>
    <w:unhideWhenUsed/>
    <w:qFormat/>
    <w:locked/>
    <w:uiPriority w:val="0"/>
    <w:rPr>
      <w:rFonts w:ascii="Courier New" w:hAnsi="Courier New" w:cs="Courier New"/>
      <w:sz w:val="20"/>
      <w:szCs w:val="20"/>
    </w:rPr>
  </w:style>
  <w:style w:type="paragraph" w:styleId="22">
    <w:name w:val="Normal (Web)"/>
    <w:basedOn w:val="1"/>
    <w:link w:val="37"/>
    <w:qFormat/>
    <w:uiPriority w:val="99"/>
    <w:pPr>
      <w:widowControl/>
      <w:spacing w:before="100" w:beforeAutospacing="1" w:after="100" w:afterAutospacing="1"/>
      <w:jc w:val="left"/>
    </w:pPr>
    <w:rPr>
      <w:rFonts w:ascii="宋体" w:hAnsi="宋体"/>
      <w:kern w:val="0"/>
      <w:szCs w:val="20"/>
    </w:rPr>
  </w:style>
  <w:style w:type="paragraph" w:styleId="23">
    <w:name w:val="Title"/>
    <w:basedOn w:val="1"/>
    <w:next w:val="1"/>
    <w:link w:val="69"/>
    <w:qFormat/>
    <w:locked/>
    <w:uiPriority w:val="0"/>
    <w:pPr>
      <w:ind w:firstLine="0" w:firstLineChars="0"/>
      <w:jc w:val="center"/>
      <w:outlineLvl w:val="0"/>
    </w:pPr>
    <w:rPr>
      <w:rFonts w:eastAsia="黑体" w:asciiTheme="majorHAnsi" w:hAnsiTheme="majorHAnsi" w:cstheme="majorBidi"/>
      <w:b/>
      <w:bCs/>
      <w:sz w:val="30"/>
      <w:szCs w:val="32"/>
    </w:rPr>
  </w:style>
  <w:style w:type="paragraph" w:styleId="24">
    <w:name w:val="annotation subject"/>
    <w:basedOn w:val="8"/>
    <w:next w:val="8"/>
    <w:link w:val="45"/>
    <w:semiHidden/>
    <w:qFormat/>
    <w:uiPriority w:val="0"/>
    <w:rPr>
      <w:b/>
    </w:rPr>
  </w:style>
  <w:style w:type="paragraph" w:styleId="25">
    <w:name w:val="Body Text First Indent"/>
    <w:basedOn w:val="9"/>
    <w:link w:val="106"/>
    <w:qFormat/>
    <w:locked/>
    <w:uiPriority w:val="0"/>
    <w:pPr>
      <w:widowControl w:val="0"/>
      <w:snapToGrid/>
      <w:spacing w:before="0" w:after="120" w:line="360" w:lineRule="auto"/>
      <w:ind w:right="0" w:firstLine="420" w:firstLineChars="100"/>
    </w:pPr>
    <w:rPr>
      <w:kern w:val="2"/>
      <w:sz w:val="24"/>
      <w:szCs w:val="24"/>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8">
    <w:name w:val="Table Theme"/>
    <w:basedOn w:val="26"/>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locked/>
    <w:uiPriority w:val="22"/>
    <w:rPr>
      <w:b/>
      <w:bCs/>
    </w:rPr>
  </w:style>
  <w:style w:type="character" w:styleId="31">
    <w:name w:val="page number"/>
    <w:basedOn w:val="29"/>
    <w:qFormat/>
    <w:locked/>
    <w:uiPriority w:val="0"/>
  </w:style>
  <w:style w:type="character" w:styleId="32">
    <w:name w:val="Hyperlink"/>
    <w:basedOn w:val="29"/>
    <w:unhideWhenUsed/>
    <w:qFormat/>
    <w:locked/>
    <w:uiPriority w:val="99"/>
    <w:rPr>
      <w:color w:val="0000FF" w:themeColor="hyperlink"/>
      <w:u w:val="single"/>
      <w14:textFill>
        <w14:solidFill>
          <w14:schemeClr w14:val="hlink"/>
        </w14:solidFill>
      </w14:textFill>
    </w:rPr>
  </w:style>
  <w:style w:type="character" w:styleId="33">
    <w:name w:val="annotation reference"/>
    <w:qFormat/>
    <w:uiPriority w:val="0"/>
    <w:rPr>
      <w:sz w:val="21"/>
    </w:rPr>
  </w:style>
  <w:style w:type="character" w:customStyle="1" w:styleId="34">
    <w:name w:val="页脚 字符1"/>
    <w:link w:val="15"/>
    <w:qFormat/>
    <w:locked/>
    <w:uiPriority w:val="99"/>
    <w:rPr>
      <w:sz w:val="18"/>
    </w:rPr>
  </w:style>
  <w:style w:type="character" w:customStyle="1" w:styleId="35">
    <w:name w:val="日期 字符1"/>
    <w:link w:val="13"/>
    <w:qFormat/>
    <w:locked/>
    <w:uiPriority w:val="0"/>
    <w:rPr>
      <w:rFonts w:ascii="Times New Roman" w:hAnsi="Times New Roman" w:eastAsia="宋体"/>
      <w:sz w:val="24"/>
    </w:rPr>
  </w:style>
  <w:style w:type="character" w:customStyle="1" w:styleId="36">
    <w:name w:val="页脚 字符"/>
    <w:basedOn w:val="29"/>
    <w:qFormat/>
    <w:uiPriority w:val="99"/>
  </w:style>
  <w:style w:type="character" w:customStyle="1" w:styleId="37">
    <w:name w:val="普通(网站) 字符"/>
    <w:link w:val="22"/>
    <w:qFormat/>
    <w:locked/>
    <w:uiPriority w:val="0"/>
    <w:rPr>
      <w:rFonts w:ascii="宋体" w:hAnsi="宋体" w:eastAsia="宋体"/>
      <w:sz w:val="24"/>
    </w:rPr>
  </w:style>
  <w:style w:type="character" w:customStyle="1" w:styleId="38">
    <w:name w:val="正文文本 字符1"/>
    <w:semiHidden/>
    <w:qFormat/>
    <w:uiPriority w:val="0"/>
    <w:rPr>
      <w:rFonts w:ascii="Times New Roman" w:hAnsi="Times New Roman" w:eastAsia="宋体"/>
      <w:sz w:val="24"/>
    </w:rPr>
  </w:style>
  <w:style w:type="character" w:customStyle="1" w:styleId="39">
    <w:name w:val="正文文本 字符"/>
    <w:link w:val="9"/>
    <w:qFormat/>
    <w:locked/>
    <w:uiPriority w:val="0"/>
    <w:rPr>
      <w:sz w:val="18"/>
    </w:rPr>
  </w:style>
  <w:style w:type="character" w:customStyle="1" w:styleId="40">
    <w:name w:val="批注文字 字符"/>
    <w:link w:val="8"/>
    <w:qFormat/>
    <w:locked/>
    <w:uiPriority w:val="0"/>
    <w:rPr>
      <w:rFonts w:ascii="Times New Roman" w:hAnsi="Times New Roman" w:eastAsia="宋体"/>
      <w:sz w:val="24"/>
    </w:rPr>
  </w:style>
  <w:style w:type="character" w:customStyle="1" w:styleId="41">
    <w:name w:val="表格 Char"/>
    <w:link w:val="42"/>
    <w:qFormat/>
    <w:locked/>
    <w:uiPriority w:val="0"/>
    <w:rPr>
      <w:rFonts w:ascii="宋体"/>
      <w:sz w:val="21"/>
    </w:rPr>
  </w:style>
  <w:style w:type="paragraph" w:customStyle="1" w:styleId="42">
    <w:name w:val="表格"/>
    <w:basedOn w:val="1"/>
    <w:next w:val="1"/>
    <w:link w:val="41"/>
    <w:qFormat/>
    <w:uiPriority w:val="0"/>
    <w:pPr>
      <w:adjustRightInd w:val="0"/>
      <w:snapToGrid w:val="0"/>
      <w:spacing w:beforeLines="10" w:afterLines="10" w:line="259" w:lineRule="auto"/>
      <w:jc w:val="center"/>
    </w:pPr>
    <w:rPr>
      <w:rFonts w:ascii="宋体"/>
      <w:kern w:val="0"/>
      <w:szCs w:val="20"/>
    </w:rPr>
  </w:style>
  <w:style w:type="character" w:customStyle="1" w:styleId="43">
    <w:name w:val="日期 字符"/>
    <w:semiHidden/>
    <w:qFormat/>
    <w:uiPriority w:val="0"/>
    <w:rPr>
      <w:rFonts w:ascii="Times New Roman" w:hAnsi="Times New Roman" w:eastAsia="宋体"/>
      <w:sz w:val="24"/>
    </w:rPr>
  </w:style>
  <w:style w:type="character" w:customStyle="1" w:styleId="44">
    <w:name w:val="批注框文本 字符"/>
    <w:link w:val="14"/>
    <w:semiHidden/>
    <w:qFormat/>
    <w:locked/>
    <w:uiPriority w:val="99"/>
    <w:rPr>
      <w:rFonts w:ascii="Times New Roman" w:hAnsi="Times New Roman" w:eastAsia="宋体"/>
      <w:sz w:val="18"/>
    </w:rPr>
  </w:style>
  <w:style w:type="character" w:customStyle="1" w:styleId="45">
    <w:name w:val="批注主题 字符"/>
    <w:link w:val="24"/>
    <w:semiHidden/>
    <w:qFormat/>
    <w:locked/>
    <w:uiPriority w:val="0"/>
    <w:rPr>
      <w:rFonts w:ascii="Times New Roman" w:hAnsi="Times New Roman" w:eastAsia="宋体"/>
      <w:b/>
      <w:kern w:val="2"/>
      <w:sz w:val="24"/>
    </w:rPr>
  </w:style>
  <w:style w:type="character" w:customStyle="1" w:styleId="46">
    <w:name w:val="页眉 字符"/>
    <w:link w:val="16"/>
    <w:qFormat/>
    <w:locked/>
    <w:uiPriority w:val="0"/>
    <w:rPr>
      <w:sz w:val="18"/>
    </w:rPr>
  </w:style>
  <w:style w:type="character" w:customStyle="1" w:styleId="47">
    <w:name w:val="批注文字 字符1"/>
    <w:semiHidden/>
    <w:qFormat/>
    <w:uiPriority w:val="0"/>
    <w:rPr>
      <w:rFonts w:ascii="Times New Roman" w:hAnsi="Times New Roman" w:eastAsia="宋体"/>
      <w:sz w:val="24"/>
    </w:rPr>
  </w:style>
  <w:style w:type="character" w:customStyle="1" w:styleId="48">
    <w:name w:val="正文文本缩进 字符"/>
    <w:link w:val="10"/>
    <w:semiHidden/>
    <w:qFormat/>
    <w:locked/>
    <w:uiPriority w:val="0"/>
    <w:rPr>
      <w:rFonts w:ascii="Times New Roman" w:hAnsi="Times New Roman" w:eastAsia="宋体"/>
      <w:sz w:val="24"/>
    </w:rPr>
  </w:style>
  <w:style w:type="paragraph" w:customStyle="1" w:styleId="4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51">
    <w:name w:val="标题2"/>
    <w:basedOn w:val="1"/>
    <w:link w:val="53"/>
    <w:qFormat/>
    <w:uiPriority w:val="0"/>
    <w:pPr>
      <w:autoSpaceDE w:val="0"/>
      <w:adjustRightInd w:val="0"/>
      <w:snapToGrid w:val="0"/>
      <w:spacing w:before="50" w:beforeLines="50" w:after="50" w:afterLines="50"/>
      <w:ind w:firstLine="0" w:firstLineChars="0"/>
    </w:pPr>
    <w:rPr>
      <w:rFonts w:cs="宋体"/>
      <w:b/>
      <w:kern w:val="0"/>
      <w:sz w:val="28"/>
      <w:szCs w:val="21"/>
    </w:rPr>
  </w:style>
  <w:style w:type="paragraph" w:customStyle="1" w:styleId="52">
    <w:name w:val="标题一"/>
    <w:basedOn w:val="22"/>
    <w:link w:val="55"/>
    <w:qFormat/>
    <w:uiPriority w:val="0"/>
    <w:pPr>
      <w:ind w:firstLine="0" w:firstLineChars="0"/>
      <w:jc w:val="center"/>
      <w:outlineLvl w:val="0"/>
    </w:pPr>
    <w:rPr>
      <w:rFonts w:ascii="黑体" w:hAnsi="黑体" w:eastAsia="黑体"/>
      <w:snapToGrid w:val="0"/>
      <w:sz w:val="30"/>
      <w:szCs w:val="30"/>
    </w:rPr>
  </w:style>
  <w:style w:type="character" w:customStyle="1" w:styleId="53">
    <w:name w:val="标题2 Char"/>
    <w:link w:val="51"/>
    <w:qFormat/>
    <w:uiPriority w:val="0"/>
    <w:rPr>
      <w:rFonts w:cs="宋体"/>
      <w:b/>
      <w:sz w:val="28"/>
      <w:szCs w:val="21"/>
    </w:rPr>
  </w:style>
  <w:style w:type="paragraph" w:customStyle="1" w:styleId="54">
    <w:name w:val="表格内容"/>
    <w:basedOn w:val="1"/>
    <w:link w:val="57"/>
    <w:qFormat/>
    <w:uiPriority w:val="0"/>
    <w:pPr>
      <w:adjustRightInd w:val="0"/>
      <w:snapToGrid w:val="0"/>
      <w:spacing w:line="240" w:lineRule="auto"/>
      <w:ind w:firstLine="0" w:firstLineChars="0"/>
      <w:jc w:val="center"/>
    </w:pPr>
    <w:rPr>
      <w:rFonts w:cs="宋体"/>
      <w:szCs w:val="21"/>
    </w:rPr>
  </w:style>
  <w:style w:type="character" w:customStyle="1" w:styleId="55">
    <w:name w:val="标题一 Char"/>
    <w:link w:val="52"/>
    <w:qFormat/>
    <w:uiPriority w:val="0"/>
    <w:rPr>
      <w:rFonts w:ascii="黑体" w:hAnsi="黑体" w:eastAsia="黑体"/>
      <w:snapToGrid w:val="0"/>
      <w:sz w:val="30"/>
      <w:szCs w:val="30"/>
    </w:rPr>
  </w:style>
  <w:style w:type="paragraph" w:customStyle="1" w:styleId="56">
    <w:name w:val="标题3"/>
    <w:basedOn w:val="51"/>
    <w:link w:val="59"/>
    <w:qFormat/>
    <w:uiPriority w:val="0"/>
    <w:pPr>
      <w:spacing w:before="25" w:beforeLines="25" w:after="25" w:afterLines="25"/>
    </w:pPr>
    <w:rPr>
      <w:sz w:val="24"/>
    </w:rPr>
  </w:style>
  <w:style w:type="character" w:customStyle="1" w:styleId="57">
    <w:name w:val="表格内容 Char"/>
    <w:link w:val="54"/>
    <w:qFormat/>
    <w:uiPriority w:val="0"/>
    <w:rPr>
      <w:rFonts w:cs="宋体"/>
      <w:kern w:val="2"/>
      <w:sz w:val="24"/>
      <w:szCs w:val="21"/>
    </w:rPr>
  </w:style>
  <w:style w:type="character" w:customStyle="1" w:styleId="58">
    <w:name w:val="NormalCharacter"/>
    <w:semiHidden/>
    <w:qFormat/>
    <w:uiPriority w:val="0"/>
  </w:style>
  <w:style w:type="character" w:customStyle="1" w:styleId="59">
    <w:name w:val="标题3 Char"/>
    <w:link w:val="56"/>
    <w:qFormat/>
    <w:uiPriority w:val="0"/>
    <w:rPr>
      <w:rFonts w:cs="宋体"/>
      <w:b/>
      <w:sz w:val="24"/>
      <w:szCs w:val="21"/>
    </w:rPr>
  </w:style>
  <w:style w:type="paragraph" w:customStyle="1" w:styleId="60">
    <w:name w:val="加黑文字"/>
    <w:basedOn w:val="1"/>
    <w:link w:val="62"/>
    <w:qFormat/>
    <w:uiPriority w:val="0"/>
    <w:pPr>
      <w:ind w:firstLine="480"/>
    </w:pPr>
    <w:rPr>
      <w:b/>
    </w:rPr>
  </w:style>
  <w:style w:type="paragraph" w:customStyle="1" w:styleId="61">
    <w:name w:val="表格文字"/>
    <w:basedOn w:val="1"/>
    <w:link w:val="107"/>
    <w:qFormat/>
    <w:uiPriority w:val="99"/>
    <w:pPr>
      <w:tabs>
        <w:tab w:val="left" w:pos="277"/>
        <w:tab w:val="left" w:pos="600"/>
        <w:tab w:val="left" w:pos="780"/>
        <w:tab w:val="left" w:pos="2517"/>
      </w:tabs>
      <w:wordWrap/>
      <w:autoSpaceDN/>
      <w:adjustRightInd w:val="0"/>
      <w:spacing w:before="30" w:line="300" w:lineRule="auto"/>
      <w:ind w:firstLine="0" w:firstLineChars="0"/>
      <w:jc w:val="center"/>
      <w:textAlignment w:val="baseline"/>
    </w:pPr>
    <w:rPr>
      <w:spacing w:val="-5"/>
      <w:kern w:val="0"/>
      <w:sz w:val="21"/>
      <w:szCs w:val="18"/>
    </w:rPr>
  </w:style>
  <w:style w:type="character" w:customStyle="1" w:styleId="62">
    <w:name w:val="加黑文字 Char"/>
    <w:link w:val="60"/>
    <w:qFormat/>
    <w:uiPriority w:val="0"/>
    <w:rPr>
      <w:b/>
      <w:kern w:val="2"/>
      <w:sz w:val="24"/>
      <w:szCs w:val="24"/>
    </w:rPr>
  </w:style>
  <w:style w:type="paragraph" w:customStyle="1" w:styleId="63">
    <w:name w:val="报告表格"/>
    <w:basedOn w:val="1"/>
    <w:link w:val="64"/>
    <w:qFormat/>
    <w:uiPriority w:val="0"/>
    <w:pPr>
      <w:topLinePunct/>
      <w:autoSpaceDE w:val="0"/>
      <w:adjustRightInd w:val="0"/>
      <w:spacing w:line="240" w:lineRule="auto"/>
      <w:ind w:firstLine="0" w:firstLineChars="0"/>
      <w:jc w:val="center"/>
      <w:textAlignment w:val="baseline"/>
    </w:pPr>
    <w:rPr>
      <w:kern w:val="0"/>
      <w:sz w:val="21"/>
      <w:szCs w:val="20"/>
      <w:lang w:val="zh-CN" w:eastAsia="zh-CN"/>
    </w:rPr>
  </w:style>
  <w:style w:type="character" w:customStyle="1" w:styleId="64">
    <w:name w:val="报告表格 Char"/>
    <w:link w:val="63"/>
    <w:qFormat/>
    <w:uiPriority w:val="0"/>
    <w:rPr>
      <w:sz w:val="21"/>
      <w:lang w:val="zh-CN" w:eastAsia="zh-CN"/>
    </w:rPr>
  </w:style>
  <w:style w:type="character" w:customStyle="1" w:styleId="65">
    <w:name w:val="表格 Char Char"/>
    <w:qFormat/>
    <w:uiPriority w:val="0"/>
    <w:rPr>
      <w:rFonts w:ascii="Times New Roman" w:hAnsi="Times New Roman" w:eastAsia="宋体"/>
      <w:sz w:val="21"/>
    </w:rPr>
  </w:style>
  <w:style w:type="paragraph" w:customStyle="1" w:styleId="66">
    <w:name w:val="图表标题"/>
    <w:basedOn w:val="60"/>
    <w:link w:val="67"/>
    <w:qFormat/>
    <w:uiPriority w:val="0"/>
    <w:pPr>
      <w:spacing w:line="240" w:lineRule="auto"/>
      <w:ind w:firstLine="0" w:firstLineChars="0"/>
      <w:jc w:val="center"/>
    </w:pPr>
    <w:rPr>
      <w:sz w:val="21"/>
    </w:rPr>
  </w:style>
  <w:style w:type="character" w:customStyle="1" w:styleId="67">
    <w:name w:val="图表标题 Char"/>
    <w:link w:val="66"/>
    <w:qFormat/>
    <w:uiPriority w:val="0"/>
    <w:rPr>
      <w:b/>
      <w:kern w:val="2"/>
      <w:sz w:val="21"/>
      <w:szCs w:val="24"/>
    </w:rPr>
  </w:style>
  <w:style w:type="paragraph" w:customStyle="1" w:styleId="68">
    <w:name w:val="表格文字2"/>
    <w:basedOn w:val="1"/>
    <w:qFormat/>
    <w:uiPriority w:val="0"/>
    <w:pPr>
      <w:tabs>
        <w:tab w:val="left" w:pos="277"/>
        <w:tab w:val="left" w:pos="600"/>
        <w:tab w:val="left" w:pos="780"/>
        <w:tab w:val="left" w:pos="2517"/>
      </w:tabs>
      <w:wordWrap/>
      <w:autoSpaceDN/>
      <w:adjustRightInd w:val="0"/>
      <w:spacing w:before="30" w:line="300" w:lineRule="auto"/>
      <w:ind w:firstLine="0" w:firstLineChars="0"/>
      <w:jc w:val="center"/>
      <w:textAlignment w:val="baseline"/>
    </w:pPr>
    <w:rPr>
      <w:spacing w:val="-5"/>
      <w:kern w:val="0"/>
      <w:sz w:val="21"/>
      <w:szCs w:val="18"/>
    </w:rPr>
  </w:style>
  <w:style w:type="character" w:customStyle="1" w:styleId="69">
    <w:name w:val="标题 字符"/>
    <w:basedOn w:val="29"/>
    <w:link w:val="23"/>
    <w:qFormat/>
    <w:uiPriority w:val="0"/>
    <w:rPr>
      <w:rFonts w:eastAsia="黑体" w:asciiTheme="majorHAnsi" w:hAnsiTheme="majorHAnsi" w:cstheme="majorBidi"/>
      <w:b/>
      <w:bCs/>
      <w:kern w:val="2"/>
      <w:sz w:val="30"/>
      <w:szCs w:val="32"/>
    </w:rPr>
  </w:style>
  <w:style w:type="paragraph" w:customStyle="1" w:styleId="70">
    <w:name w:val="标题4"/>
    <w:basedOn w:val="1"/>
    <w:link w:val="71"/>
    <w:qFormat/>
    <w:uiPriority w:val="0"/>
    <w:pPr>
      <w:widowControl/>
      <w:ind w:firstLine="0" w:firstLineChars="0"/>
    </w:pPr>
    <w:rPr>
      <w:b/>
    </w:rPr>
  </w:style>
  <w:style w:type="character" w:customStyle="1" w:styleId="71">
    <w:name w:val="标题4 Char"/>
    <w:basedOn w:val="29"/>
    <w:link w:val="70"/>
    <w:qFormat/>
    <w:uiPriority w:val="0"/>
    <w:rPr>
      <w:b/>
      <w:kern w:val="2"/>
      <w:sz w:val="24"/>
      <w:szCs w:val="24"/>
    </w:rPr>
  </w:style>
  <w:style w:type="paragraph" w:customStyle="1" w:styleId="72">
    <w:name w:val="这是正文"/>
    <w:basedOn w:val="1"/>
    <w:qFormat/>
    <w:uiPriority w:val="0"/>
    <w:pPr>
      <w:autoSpaceDN/>
      <w:adjustRightInd w:val="0"/>
      <w:textAlignment w:val="baseline"/>
    </w:pPr>
    <w:rPr>
      <w:b/>
      <w:kern w:val="0"/>
      <w:szCs w:val="20"/>
    </w:rPr>
  </w:style>
  <w:style w:type="character" w:customStyle="1" w:styleId="73">
    <w:name w:val="正文文本缩进 3 字符"/>
    <w:basedOn w:val="29"/>
    <w:link w:val="19"/>
    <w:qFormat/>
    <w:uiPriority w:val="0"/>
    <w:rPr>
      <w:kern w:val="2"/>
      <w:sz w:val="16"/>
      <w:szCs w:val="16"/>
    </w:rPr>
  </w:style>
  <w:style w:type="character" w:customStyle="1" w:styleId="74">
    <w:name w:val="纯文本 字符"/>
    <w:link w:val="11"/>
    <w:qFormat/>
    <w:uiPriority w:val="0"/>
    <w:rPr>
      <w:rFonts w:ascii="宋体" w:hAnsi="Courier New" w:cs="宋体"/>
      <w:kern w:val="2"/>
      <w:sz w:val="21"/>
      <w:szCs w:val="24"/>
    </w:rPr>
  </w:style>
  <w:style w:type="character" w:customStyle="1" w:styleId="75">
    <w:name w:val="纯文本 Char1"/>
    <w:basedOn w:val="29"/>
    <w:qFormat/>
    <w:uiPriority w:val="0"/>
    <w:rPr>
      <w:rFonts w:ascii="宋体" w:hAnsi="Courier New" w:cs="Courier New"/>
      <w:kern w:val="2"/>
      <w:sz w:val="21"/>
      <w:szCs w:val="21"/>
    </w:rPr>
  </w:style>
  <w:style w:type="table" w:customStyle="1" w:styleId="76">
    <w:name w:val="123"/>
    <w:basedOn w:val="26"/>
    <w:qFormat/>
    <w:uiPriority w:val="99"/>
    <w:pPr>
      <w:jc w:val="center"/>
    </w:pPr>
    <w:rPr>
      <w:rFonts w:ascii="Calibri" w:hAnsi="Calibri"/>
      <w:kern w:val="2"/>
      <w:sz w:val="21"/>
      <w:szCs w:val="2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character" w:customStyle="1" w:styleId="77">
    <w:name w:val="标题 2 字符"/>
    <w:basedOn w:val="29"/>
    <w:link w:val="3"/>
    <w:semiHidden/>
    <w:qFormat/>
    <w:uiPriority w:val="0"/>
    <w:rPr>
      <w:rFonts w:asciiTheme="majorHAnsi" w:hAnsiTheme="majorHAnsi" w:eastAsiaTheme="majorEastAsia" w:cstheme="majorBidi"/>
      <w:b/>
      <w:bCs/>
      <w:kern w:val="2"/>
      <w:sz w:val="32"/>
      <w:szCs w:val="32"/>
    </w:rPr>
  </w:style>
  <w:style w:type="character" w:customStyle="1" w:styleId="78">
    <w:name w:val="fontstyle01"/>
    <w:qFormat/>
    <w:uiPriority w:val="0"/>
    <w:rPr>
      <w:rFonts w:hint="eastAsia" w:ascii="宋体" w:hAnsi="宋体" w:eastAsia="宋体" w:cs="Times New Roman"/>
      <w:color w:val="000000"/>
      <w:sz w:val="24"/>
      <w:szCs w:val="24"/>
    </w:rPr>
  </w:style>
  <w:style w:type="character" w:customStyle="1" w:styleId="79">
    <w:name w:val="fontstyle11"/>
    <w:qFormat/>
    <w:uiPriority w:val="0"/>
    <w:rPr>
      <w:rFonts w:hint="default" w:ascii="TimesNewRomanPSMT" w:hAnsi="TimesNewRomanPSMT" w:eastAsia="宋体" w:cs="Times New Roman"/>
      <w:color w:val="000000"/>
      <w:sz w:val="24"/>
      <w:szCs w:val="24"/>
    </w:rPr>
  </w:style>
  <w:style w:type="paragraph" w:customStyle="1" w:styleId="80">
    <w:name w:val="加黑正文"/>
    <w:basedOn w:val="1"/>
    <w:qFormat/>
    <w:uiPriority w:val="0"/>
    <w:pPr>
      <w:topLinePunct/>
      <w:autoSpaceDE w:val="0"/>
      <w:autoSpaceDN/>
      <w:adjustRightInd w:val="0"/>
      <w:textAlignment w:val="baseline"/>
    </w:pPr>
    <w:rPr>
      <w:b/>
      <w:kern w:val="0"/>
      <w:szCs w:val="20"/>
    </w:rPr>
  </w:style>
  <w:style w:type="paragraph" w:customStyle="1" w:styleId="81">
    <w:name w:val="样式6"/>
    <w:basedOn w:val="1"/>
    <w:link w:val="82"/>
    <w:qFormat/>
    <w:uiPriority w:val="0"/>
    <w:pPr>
      <w:wordWrap/>
      <w:autoSpaceDN/>
      <w:ind w:firstLine="482" w:firstLineChars="0"/>
    </w:pPr>
    <w:rPr>
      <w:rFonts w:ascii="Calibri" w:hAnsi="Calibri"/>
      <w:color w:val="000000"/>
      <w:szCs w:val="22"/>
      <w:lang w:val="zh-CN" w:eastAsia="zh-CN"/>
    </w:rPr>
  </w:style>
  <w:style w:type="character" w:customStyle="1" w:styleId="82">
    <w:name w:val="样式6 Char"/>
    <w:link w:val="81"/>
    <w:qFormat/>
    <w:uiPriority w:val="0"/>
    <w:rPr>
      <w:rFonts w:ascii="Calibri" w:hAnsi="Calibri"/>
      <w:color w:val="000000"/>
      <w:kern w:val="2"/>
      <w:sz w:val="24"/>
      <w:szCs w:val="22"/>
      <w:lang w:val="zh-CN" w:eastAsia="zh-CN"/>
    </w:rPr>
  </w:style>
  <w:style w:type="character" w:customStyle="1" w:styleId="83">
    <w:name w:val="标题 3 字符"/>
    <w:basedOn w:val="29"/>
    <w:link w:val="4"/>
    <w:semiHidden/>
    <w:qFormat/>
    <w:uiPriority w:val="0"/>
    <w:rPr>
      <w:b/>
      <w:bCs/>
      <w:kern w:val="2"/>
      <w:sz w:val="32"/>
      <w:szCs w:val="32"/>
    </w:rPr>
  </w:style>
  <w:style w:type="paragraph" w:customStyle="1" w:styleId="84">
    <w:name w:val="列出段落4"/>
    <w:basedOn w:val="1"/>
    <w:unhideWhenUsed/>
    <w:qFormat/>
    <w:uiPriority w:val="0"/>
    <w:pPr>
      <w:wordWrap/>
      <w:autoSpaceDN/>
      <w:ind w:firstLine="420"/>
    </w:pPr>
    <w:rPr>
      <w:rFonts w:ascii="Calibri" w:hAnsi="Calibri"/>
    </w:rPr>
  </w:style>
  <w:style w:type="character" w:customStyle="1" w:styleId="85">
    <w:name w:val="标题 4 字符"/>
    <w:basedOn w:val="29"/>
    <w:link w:val="5"/>
    <w:semiHidden/>
    <w:qFormat/>
    <w:uiPriority w:val="0"/>
    <w:rPr>
      <w:rFonts w:asciiTheme="majorHAnsi" w:hAnsiTheme="majorHAnsi" w:eastAsiaTheme="majorEastAsia" w:cstheme="majorBidi"/>
      <w:b/>
      <w:bCs/>
      <w:kern w:val="2"/>
      <w:sz w:val="28"/>
      <w:szCs w:val="28"/>
    </w:rPr>
  </w:style>
  <w:style w:type="paragraph" w:customStyle="1" w:styleId="86">
    <w:name w:val="p0"/>
    <w:basedOn w:val="1"/>
    <w:qFormat/>
    <w:uiPriority w:val="0"/>
    <w:pPr>
      <w:widowControl/>
      <w:suppressAutoHyphens/>
      <w:autoSpaceDN/>
      <w:spacing w:line="240" w:lineRule="auto"/>
      <w:ind w:firstLine="0" w:firstLineChars="0"/>
      <w:jc w:val="left"/>
    </w:pPr>
    <w:rPr>
      <w:kern w:val="0"/>
      <w:sz w:val="20"/>
      <w:szCs w:val="20"/>
    </w:rPr>
  </w:style>
  <w:style w:type="paragraph" w:customStyle="1" w:styleId="87">
    <w:name w:val="表"/>
    <w:basedOn w:val="1"/>
    <w:qFormat/>
    <w:uiPriority w:val="0"/>
    <w:pPr>
      <w:wordWrap/>
      <w:autoSpaceDN/>
      <w:snapToGrid w:val="0"/>
      <w:spacing w:line="240" w:lineRule="auto"/>
      <w:ind w:firstLine="0" w:firstLineChars="0"/>
      <w:jc w:val="center"/>
    </w:pPr>
    <w:rPr>
      <w:spacing w:val="2"/>
      <w:sz w:val="21"/>
      <w:szCs w:val="20"/>
    </w:rPr>
  </w:style>
  <w:style w:type="paragraph" w:customStyle="1" w:styleId="88">
    <w:name w:val="正文首行缩进 2 + Times New Roman"/>
    <w:basedOn w:val="1"/>
    <w:qFormat/>
    <w:uiPriority w:val="0"/>
    <w:pPr>
      <w:tabs>
        <w:tab w:val="left" w:pos="0"/>
        <w:tab w:val="left" w:pos="3150"/>
      </w:tabs>
      <w:wordWrap/>
      <w:autoSpaceDE w:val="0"/>
      <w:ind w:firstLine="480"/>
      <w:jc w:val="left"/>
    </w:pPr>
    <w:rPr>
      <w:sz w:val="21"/>
    </w:rPr>
  </w:style>
  <w:style w:type="paragraph" w:customStyle="1" w:styleId="89">
    <w:name w:val="1表格"/>
    <w:basedOn w:val="1"/>
    <w:qFormat/>
    <w:uiPriority w:val="0"/>
    <w:pPr>
      <w:wordWrap/>
      <w:autoSpaceDN/>
      <w:snapToGrid w:val="0"/>
      <w:spacing w:line="160" w:lineRule="atLeast"/>
      <w:ind w:firstLine="0" w:firstLineChars="0"/>
      <w:jc w:val="center"/>
    </w:pPr>
    <w:rPr>
      <w:rFonts w:eastAsia="仿宋_GB2312"/>
      <w:sz w:val="21"/>
      <w:szCs w:val="20"/>
    </w:rPr>
  </w:style>
  <w:style w:type="paragraph" w:customStyle="1" w:styleId="90">
    <w:name w:val="TOC Heading"/>
    <w:basedOn w:val="2"/>
    <w:next w:val="1"/>
    <w:semiHidden/>
    <w:unhideWhenUsed/>
    <w:qFormat/>
    <w:uiPriority w:val="39"/>
    <w:pPr>
      <w:keepLines/>
      <w:widowControl/>
      <w:wordWrap/>
      <w:overflowPunct/>
      <w:autoSpaceDN/>
      <w:snapToGrid/>
      <w:spacing w:before="480" w:after="0" w:line="276" w:lineRule="auto"/>
      <w:ind w:left="0" w:firstLine="0" w:firstLineChars="0"/>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1">
    <w:name w:val="western"/>
    <w:basedOn w:val="1"/>
    <w:qFormat/>
    <w:uiPriority w:val="0"/>
    <w:pPr>
      <w:widowControl/>
      <w:wordWrap/>
      <w:autoSpaceDN/>
      <w:spacing w:before="100" w:beforeAutospacing="1" w:after="100" w:afterAutospacing="1" w:line="240" w:lineRule="auto"/>
      <w:ind w:firstLine="0" w:firstLineChars="0"/>
      <w:jc w:val="left"/>
    </w:pPr>
    <w:rPr>
      <w:rFonts w:ascii="宋体" w:hAnsi="宋体" w:cs="宋体"/>
      <w:kern w:val="0"/>
    </w:rPr>
  </w:style>
  <w:style w:type="paragraph" w:customStyle="1" w:styleId="92">
    <w:name w:val="正文3"/>
    <w:basedOn w:val="1"/>
    <w:link w:val="93"/>
    <w:qFormat/>
    <w:uiPriority w:val="0"/>
    <w:pPr>
      <w:autoSpaceDN/>
    </w:pPr>
  </w:style>
  <w:style w:type="character" w:customStyle="1" w:styleId="93">
    <w:name w:val="正文3 Char"/>
    <w:link w:val="92"/>
    <w:qFormat/>
    <w:uiPriority w:val="0"/>
    <w:rPr>
      <w:kern w:val="2"/>
      <w:sz w:val="24"/>
      <w:szCs w:val="24"/>
    </w:rPr>
  </w:style>
  <w:style w:type="paragraph" w:customStyle="1" w:styleId="94">
    <w:name w:val="正文2"/>
    <w:basedOn w:val="1"/>
    <w:link w:val="95"/>
    <w:qFormat/>
    <w:uiPriority w:val="0"/>
    <w:pPr>
      <w:wordWrap/>
      <w:autoSpaceDN/>
      <w:spacing w:line="240" w:lineRule="auto"/>
      <w:ind w:firstLine="480" w:firstLineChars="0"/>
    </w:pPr>
  </w:style>
  <w:style w:type="character" w:customStyle="1" w:styleId="95">
    <w:name w:val="正文2 Char"/>
    <w:link w:val="94"/>
    <w:qFormat/>
    <w:uiPriority w:val="0"/>
    <w:rPr>
      <w:kern w:val="2"/>
      <w:sz w:val="24"/>
      <w:szCs w:val="24"/>
    </w:rPr>
  </w:style>
  <w:style w:type="table" w:customStyle="1" w:styleId="96">
    <w:name w:val="网格型1"/>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7">
    <w:name w:val="附件 Char"/>
    <w:link w:val="98"/>
    <w:qFormat/>
    <w:uiPriority w:val="0"/>
    <w:rPr>
      <w:color w:val="FF00FF"/>
      <w:kern w:val="2"/>
      <w:sz w:val="24"/>
      <w:szCs w:val="28"/>
    </w:rPr>
  </w:style>
  <w:style w:type="paragraph" w:customStyle="1" w:styleId="98">
    <w:name w:val="附件"/>
    <w:basedOn w:val="1"/>
    <w:link w:val="97"/>
    <w:qFormat/>
    <w:uiPriority w:val="0"/>
    <w:pPr>
      <w:autoSpaceDN/>
      <w:jc w:val="center"/>
      <w:textAlignment w:val="center"/>
    </w:pPr>
    <w:rPr>
      <w:color w:val="FF00FF"/>
      <w:szCs w:val="28"/>
    </w:rPr>
  </w:style>
  <w:style w:type="paragraph" w:customStyle="1" w:styleId="99">
    <w:name w:val="Char2 Char Char Char Char Char Char Char Char Char11"/>
    <w:basedOn w:val="1"/>
    <w:semiHidden/>
    <w:qFormat/>
    <w:uiPriority w:val="0"/>
    <w:pPr>
      <w:autoSpaceDN/>
    </w:pPr>
  </w:style>
  <w:style w:type="character" w:customStyle="1" w:styleId="100">
    <w:name w:val="li_正文 Char"/>
    <w:link w:val="101"/>
    <w:qFormat/>
    <w:uiPriority w:val="0"/>
    <w:rPr>
      <w:kern w:val="2"/>
      <w:sz w:val="28"/>
      <w:szCs w:val="28"/>
    </w:rPr>
  </w:style>
  <w:style w:type="paragraph" w:customStyle="1" w:styleId="101">
    <w:name w:val="li_正文"/>
    <w:basedOn w:val="1"/>
    <w:link w:val="100"/>
    <w:qFormat/>
    <w:uiPriority w:val="0"/>
    <w:pPr>
      <w:topLinePunct/>
      <w:autoSpaceDE w:val="0"/>
      <w:autoSpaceDN/>
      <w:spacing w:line="240" w:lineRule="auto"/>
      <w:ind w:firstLine="560"/>
      <w:jc w:val="left"/>
    </w:pPr>
    <w:rPr>
      <w:sz w:val="28"/>
      <w:szCs w:val="28"/>
    </w:rPr>
  </w:style>
  <w:style w:type="paragraph" w:customStyle="1" w:styleId="102">
    <w:name w:val="111正文"/>
    <w:basedOn w:val="1"/>
    <w:qFormat/>
    <w:uiPriority w:val="0"/>
    <w:pPr>
      <w:wordWrap/>
      <w:autoSpaceDN/>
      <w:jc w:val="left"/>
    </w:pPr>
  </w:style>
  <w:style w:type="paragraph" w:customStyle="1" w:styleId="103">
    <w:name w:val="Table Paragraph"/>
    <w:basedOn w:val="1"/>
    <w:qFormat/>
    <w:uiPriority w:val="1"/>
    <w:pPr>
      <w:wordWrap/>
      <w:autoSpaceDE w:val="0"/>
      <w:spacing w:line="240" w:lineRule="auto"/>
      <w:ind w:firstLine="0" w:firstLineChars="0"/>
      <w:jc w:val="center"/>
    </w:pPr>
    <w:rPr>
      <w:rFonts w:ascii="宋体" w:hAnsi="宋体" w:cs="宋体"/>
      <w:kern w:val="0"/>
      <w:sz w:val="22"/>
      <w:szCs w:val="22"/>
      <w:lang w:val="zh-CN" w:bidi="zh-CN"/>
    </w:rPr>
  </w:style>
  <w:style w:type="paragraph" w:customStyle="1" w:styleId="104">
    <w:name w:val="翔一正文"/>
    <w:basedOn w:val="1"/>
    <w:next w:val="1"/>
    <w:semiHidden/>
    <w:qFormat/>
    <w:uiPriority w:val="0"/>
    <w:pPr>
      <w:wordWrap/>
      <w:autoSpaceDN/>
      <w:ind w:firstLine="1446"/>
    </w:pPr>
    <w:rPr>
      <w:szCs w:val="21"/>
    </w:rPr>
  </w:style>
  <w:style w:type="paragraph" w:customStyle="1" w:styleId="105">
    <w:name w:val="报告书正文"/>
    <w:basedOn w:val="25"/>
    <w:qFormat/>
    <w:uiPriority w:val="0"/>
    <w:pPr>
      <w:widowControl/>
      <w:wordWrap/>
      <w:autoSpaceDN/>
      <w:spacing w:line="300" w:lineRule="auto"/>
      <w:ind w:firstLine="480" w:firstLineChars="200"/>
    </w:pPr>
    <w:rPr>
      <w:color w:val="000000"/>
      <w:sz w:val="21"/>
      <w:szCs w:val="20"/>
    </w:rPr>
  </w:style>
  <w:style w:type="character" w:customStyle="1" w:styleId="106">
    <w:name w:val="正文首行缩进 字符"/>
    <w:basedOn w:val="39"/>
    <w:link w:val="25"/>
    <w:qFormat/>
    <w:uiPriority w:val="0"/>
    <w:rPr>
      <w:kern w:val="2"/>
      <w:sz w:val="24"/>
      <w:szCs w:val="24"/>
    </w:rPr>
  </w:style>
  <w:style w:type="character" w:customStyle="1" w:styleId="107">
    <w:name w:val="表格文字 字符"/>
    <w:basedOn w:val="29"/>
    <w:link w:val="61"/>
    <w:qFormat/>
    <w:uiPriority w:val="0"/>
    <w:rPr>
      <w:spacing w:val="-5"/>
      <w:sz w:val="21"/>
      <w:szCs w:val="18"/>
    </w:rPr>
  </w:style>
  <w:style w:type="paragraph" w:customStyle="1" w:styleId="108">
    <w:name w:val="Char2"/>
    <w:basedOn w:val="1"/>
    <w:qFormat/>
    <w:uiPriority w:val="0"/>
    <w:pPr>
      <w:wordWrap/>
      <w:autoSpaceDN/>
      <w:spacing w:line="240" w:lineRule="auto"/>
      <w:ind w:firstLine="0" w:firstLineChars="0"/>
    </w:pPr>
    <w:rPr>
      <w:sz w:val="21"/>
      <w:szCs w:val="21"/>
    </w:rPr>
  </w:style>
  <w:style w:type="paragraph" w:customStyle="1" w:styleId="109">
    <w:name w:val="翔一表格"/>
    <w:basedOn w:val="1"/>
    <w:next w:val="1"/>
    <w:semiHidden/>
    <w:qFormat/>
    <w:uiPriority w:val="0"/>
    <w:pPr>
      <w:wordWrap/>
      <w:autoSpaceDE w:val="0"/>
      <w:spacing w:line="240" w:lineRule="auto"/>
      <w:ind w:firstLine="0" w:firstLineChars="0"/>
      <w:jc w:val="center"/>
      <w:textAlignment w:val="baseline"/>
    </w:pPr>
    <w:rPr>
      <w:kern w:val="0"/>
      <w:sz w:val="21"/>
      <w:szCs w:val="21"/>
    </w:rPr>
  </w:style>
  <w:style w:type="paragraph" w:customStyle="1" w:styleId="110">
    <w:name w:val="三级正文"/>
    <w:basedOn w:val="1"/>
    <w:qFormat/>
    <w:uiPriority w:val="0"/>
    <w:pPr>
      <w:wordWrap/>
      <w:autoSpaceDN/>
      <w:spacing w:line="240" w:lineRule="auto"/>
      <w:ind w:firstLine="0" w:firstLineChars="0"/>
    </w:pPr>
    <w:rPr>
      <w:b/>
      <w:sz w:val="21"/>
      <w:szCs w:val="21"/>
    </w:rPr>
  </w:style>
  <w:style w:type="character" w:customStyle="1" w:styleId="111">
    <w:name w:val="环报告正文 Char"/>
    <w:link w:val="112"/>
    <w:qFormat/>
    <w:uiPriority w:val="0"/>
    <w:rPr>
      <w:rFonts w:hAnsi="Calibri"/>
      <w:kern w:val="2"/>
      <w:sz w:val="24"/>
      <w:szCs w:val="24"/>
    </w:rPr>
  </w:style>
  <w:style w:type="paragraph" w:customStyle="1" w:styleId="112">
    <w:name w:val="环报告正文"/>
    <w:basedOn w:val="1"/>
    <w:link w:val="111"/>
    <w:qFormat/>
    <w:uiPriority w:val="0"/>
    <w:pPr>
      <w:wordWrap/>
      <w:autoSpaceDN/>
      <w:ind w:firstLine="480"/>
      <w:jc w:val="left"/>
    </w:pPr>
    <w:rPr>
      <w:rFonts w:hAnsi="Calibri"/>
    </w:rPr>
  </w:style>
  <w:style w:type="paragraph" w:customStyle="1" w:styleId="113">
    <w:name w:val="表格文字B"/>
    <w:basedOn w:val="61"/>
    <w:qFormat/>
    <w:uiPriority w:val="0"/>
    <w:pPr>
      <w:tabs>
        <w:tab w:val="clear" w:pos="277"/>
        <w:tab w:val="clear" w:pos="600"/>
        <w:tab w:val="clear" w:pos="780"/>
        <w:tab w:val="clear" w:pos="2517"/>
      </w:tabs>
      <w:adjustRightInd/>
      <w:spacing w:before="50" w:beforeLines="50" w:beforeAutospacing="1" w:after="50" w:afterLines="50" w:afterAutospacing="1" w:line="240" w:lineRule="auto"/>
      <w:textAlignment w:val="auto"/>
    </w:pPr>
    <w:rPr>
      <w:rFonts w:ascii="宋体" w:hAnsi="宋体" w:eastAsia="仿宋_GB2312"/>
      <w:b/>
      <w:color w:val="FFCC99"/>
      <w:spacing w:val="0"/>
      <w:kern w:val="2"/>
      <w:sz w:val="24"/>
      <w:szCs w:val="24"/>
    </w:rPr>
  </w:style>
  <w:style w:type="paragraph" w:customStyle="1" w:styleId="114">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15">
    <w:name w:val="表格正文"/>
    <w:link w:val="116"/>
    <w:qFormat/>
    <w:uiPriority w:val="0"/>
    <w:pPr>
      <w:widowControl w:val="0"/>
      <w:adjustRightInd w:val="0"/>
      <w:spacing w:before="20" w:after="20"/>
      <w:ind w:left="57" w:right="57"/>
      <w:textAlignment w:val="baseline"/>
    </w:pPr>
    <w:rPr>
      <w:rFonts w:ascii="Times New Roman" w:hAnsi="Times New Roman" w:eastAsia="仿宋_GB2312" w:cs="Times New Roman"/>
      <w:sz w:val="24"/>
      <w:lang w:val="en-GB" w:eastAsia="zh-CN" w:bidi="ar-SA"/>
    </w:rPr>
  </w:style>
  <w:style w:type="character" w:customStyle="1" w:styleId="116">
    <w:name w:val="表格正文 Char Char"/>
    <w:link w:val="115"/>
    <w:qFormat/>
    <w:locked/>
    <w:uiPriority w:val="0"/>
    <w:rPr>
      <w:rFonts w:eastAsia="仿宋_GB2312"/>
      <w:sz w:val="24"/>
      <w:lang w:val="en-GB"/>
    </w:rPr>
  </w:style>
  <w:style w:type="character" w:customStyle="1" w:styleId="117">
    <w:name w:val="标题 1 Char2"/>
    <w:qFormat/>
    <w:uiPriority w:val="0"/>
    <w:rPr>
      <w:b/>
      <w:kern w:val="44"/>
      <w:sz w:val="44"/>
    </w:rPr>
  </w:style>
  <w:style w:type="paragraph" w:customStyle="1" w:styleId="118">
    <w:name w:val="标题1"/>
    <w:basedOn w:val="52"/>
    <w:link w:val="119"/>
    <w:qFormat/>
    <w:uiPriority w:val="0"/>
    <w:rPr>
      <w:color w:val="000000" w:themeColor="text1"/>
      <w14:textFill>
        <w14:solidFill>
          <w14:schemeClr w14:val="tx1"/>
        </w14:solidFill>
      </w14:textFill>
    </w:rPr>
  </w:style>
  <w:style w:type="character" w:customStyle="1" w:styleId="119">
    <w:name w:val="标题1 字符"/>
    <w:basedOn w:val="55"/>
    <w:link w:val="118"/>
    <w:qFormat/>
    <w:uiPriority w:val="0"/>
    <w:rPr>
      <w:rFonts w:ascii="黑体" w:hAnsi="黑体" w:eastAsia="黑体"/>
      <w:snapToGrid w:val="0"/>
      <w:color w:val="000000" w:themeColor="text1"/>
      <w:sz w:val="30"/>
      <w:szCs w:val="30"/>
      <w14:textFill>
        <w14:solidFill>
          <w14:schemeClr w14:val="tx1"/>
        </w14:solidFill>
      </w14:textFill>
    </w:rPr>
  </w:style>
  <w:style w:type="paragraph" w:styleId="120">
    <w:name w:val="No Spacing"/>
    <w:qFormat/>
    <w:uiPriority w:val="1"/>
    <w:pPr>
      <w:widowControl w:val="0"/>
      <w:wordWrap w:val="0"/>
      <w:autoSpaceDN w:val="0"/>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21">
    <w:name w:val="HTML 预设格式 字符"/>
    <w:basedOn w:val="29"/>
    <w:link w:val="21"/>
    <w:semiHidden/>
    <w:qFormat/>
    <w:uiPriority w:val="0"/>
    <w:rPr>
      <w:rFonts w:ascii="Courier New" w:hAnsi="Courier New" w:cs="Courier New"/>
      <w:kern w:val="2"/>
    </w:rPr>
  </w:style>
  <w:style w:type="table" w:customStyle="1" w:styleId="122">
    <w:name w:val="Table Normal"/>
    <w:semiHidden/>
    <w:unhideWhenUsed/>
    <w:qFormat/>
    <w:uiPriority w:val="0"/>
    <w:tblPr>
      <w:tblCellMar>
        <w:top w:w="0" w:type="dxa"/>
        <w:left w:w="0" w:type="dxa"/>
        <w:bottom w:w="0" w:type="dxa"/>
        <w:right w:w="0" w:type="dxa"/>
      </w:tblCellMar>
    </w:tblPr>
  </w:style>
  <w:style w:type="paragraph" w:styleId="123">
    <w:name w:val="List Paragraph"/>
    <w:basedOn w:val="1"/>
    <w:qFormat/>
    <w:uiPriority w:val="0"/>
    <w:pPr>
      <w:widowControl/>
      <w:kinsoku w:val="0"/>
      <w:wordWrap/>
      <w:autoSpaceDE w:val="0"/>
      <w:adjustRightInd w:val="0"/>
      <w:snapToGrid w:val="0"/>
      <w:ind w:firstLine="420"/>
      <w:textAlignment w:val="baseline"/>
    </w:pPr>
    <w:rPr>
      <w:rFonts w:cs="Arial"/>
      <w:snapToGrid w:val="0"/>
      <w:color w:val="000000"/>
      <w:kern w:val="0"/>
      <w:szCs w:val="21"/>
    </w:rPr>
  </w:style>
  <w:style w:type="character" w:styleId="124">
    <w:name w:val="Placeholder Text"/>
    <w:basedOn w:val="29"/>
    <w:semiHidden/>
    <w:qFormat/>
    <w:uiPriority w:val="99"/>
    <w:rPr>
      <w:color w:val="808080"/>
    </w:rPr>
  </w:style>
  <w:style w:type="paragraph" w:customStyle="1" w:styleId="125">
    <w:name w:val="_Style 15"/>
    <w:basedOn w:val="1"/>
    <w:qFormat/>
    <w:uiPriority w:val="0"/>
    <w:pPr>
      <w:wordWrap/>
      <w:autoSpaceDN/>
      <w:spacing w:line="240" w:lineRule="auto"/>
      <w:ind w:firstLine="0" w:firstLineChars="0"/>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C4C44-23B2-46CD-A45A-CEC86AA5615C}">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77</Pages>
  <Words>9420</Words>
  <Characters>53700</Characters>
  <Lines>447</Lines>
  <Paragraphs>125</Paragraphs>
  <TotalTime>0</TotalTime>
  <ScaleCrop>false</ScaleCrop>
  <LinksUpToDate>false</LinksUpToDate>
  <CharactersWithSpaces>62995</CharactersWithSpaces>
  <Application>WPS Office_11.1.0.14235_F1E327BC-269C-435d-A152-05C5408002CA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2021-08-02T02:22:00Z</dcterms:created>
  <dc:creator>lhj</dc:creator>
  <cp:lastModifiedBy>郑若愚</cp:lastModifiedBy>
  <cp:lastPrinted>2024-09-28T03:40:00Z</cp:lastPrinted>
  <dcterms:modified xsi:type="dcterms:W3CDTF">2025-04-07T02:53:27Z</dcterms:modified>
  <dc:title>附件2</dc:title>
  <cp:revision>9166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2052-11.1.0.14235</vt:lpwstr>
  </property>
  <property fmtid="{D5CDD505-2E9C-101B-9397-08002B2CF9AE}" pid="3" name="ICV">
    <vt:lpwstr>700C1B3A898340818AE643D21165E029_12</vt:lpwstr>
  </property>
</Properties>
</file>