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ascii="微软雅黑" w:hAnsi="微软雅黑" w:eastAsia="微软雅黑" w:cs="微软雅黑"/>
          <w:color w:val="6D5887"/>
          <w:sz w:val="27"/>
          <w:szCs w:val="27"/>
        </w:rPr>
      </w:pPr>
      <w:r>
        <w:rPr>
          <w:rFonts w:hint="eastAsia" w:ascii="微软雅黑" w:hAnsi="微软雅黑" w:eastAsia="微软雅黑" w:cs="微软雅黑"/>
          <w:color w:val="6D5887"/>
          <w:sz w:val="27"/>
          <w:szCs w:val="27"/>
          <w:bdr w:val="none" w:color="auto" w:sz="0" w:space="0"/>
        </w:rPr>
        <w:t>财预[2017]50号关于进一步规范地方政府举债融资行为的通知</w:t>
      </w:r>
    </w:p>
    <w:p>
      <w:pPr>
        <w:keepNext w:val="0"/>
        <w:keepLines w:val="0"/>
        <w:widowControl/>
        <w:suppressLineNumbers w:val="0"/>
        <w:pBdr>
          <w:bottom w:val="none" w:color="auto" w:sz="0" w:space="0"/>
        </w:pBdr>
        <w:spacing w:line="300" w:lineRule="atLeast"/>
        <w:jc w:val="left"/>
      </w:pPr>
      <w:r>
        <w:rPr>
          <w:rFonts w:ascii="宋体" w:hAnsi="宋体" w:eastAsia="宋体" w:cs="宋体"/>
          <w:kern w:val="0"/>
          <w:sz w:val="24"/>
          <w:szCs w:val="24"/>
          <w:lang w:val="en-US" w:eastAsia="zh-CN" w:bidi="ar"/>
        </w:rPr>
        <w:t> </w:t>
      </w:r>
      <w:r>
        <w:rPr>
          <w:rFonts w:ascii="Arial" w:hAnsi="Arial" w:eastAsia="宋体" w:cs="Arial"/>
          <w:color w:val="909090"/>
          <w:kern w:val="0"/>
          <w:sz w:val="15"/>
          <w:szCs w:val="15"/>
          <w:lang w:val="en-US" w:eastAsia="zh-CN" w:bidi="ar"/>
        </w:rPr>
        <w:t>(2017-05-03 19:48:45)</w:t>
      </w:r>
    </w:p>
    <w:p>
      <w:pPr>
        <w:keepNext w:val="0"/>
        <w:keepLines w:val="0"/>
        <w:widowControl/>
        <w:suppressLineNumbers w:val="0"/>
        <w:pBdr>
          <w:bottom w:val="none" w:color="auto" w:sz="0" w:space="0"/>
        </w:pBdr>
        <w:spacing w:line="300" w:lineRule="atLeast"/>
        <w:jc w:val="left"/>
      </w:pPr>
      <w:r>
        <w:rPr>
          <w:rFonts w:hint="default" w:ascii="Verdana" w:hAnsi="Verdana" w:eastAsia="宋体" w:cs="Verdana"/>
          <w:i w:val="0"/>
          <w:color w:val="555555"/>
          <w:spacing w:val="75"/>
          <w:sz w:val="18"/>
          <w:szCs w:val="18"/>
          <w:u w:val="none"/>
          <w:bdr w:val="none" w:color="auto" w:sz="0" w:space="0"/>
        </w:rPr>
        <w:fldChar w:fldCharType="begin"/>
      </w:r>
      <w:r>
        <w:rPr>
          <w:rFonts w:hint="default" w:ascii="Verdana" w:hAnsi="Verdana" w:eastAsia="宋体" w:cs="Verdana"/>
          <w:i w:val="0"/>
          <w:color w:val="555555"/>
          <w:spacing w:val="75"/>
          <w:sz w:val="18"/>
          <w:szCs w:val="18"/>
          <w:u w:val="none"/>
          <w:bdr w:val="none" w:color="auto" w:sz="0" w:space="0"/>
        </w:rPr>
        <w:instrText xml:space="preserve">INCLUDEPICTURE \d "http://simg.sinajs.cn/blog7style/images/common/sg_trans.gif" \* MERGEFORMATINET </w:instrText>
      </w:r>
      <w:r>
        <w:rPr>
          <w:rFonts w:hint="default" w:ascii="Verdana" w:hAnsi="Verdana" w:eastAsia="宋体" w:cs="Verdana"/>
          <w:i w:val="0"/>
          <w:color w:val="555555"/>
          <w:spacing w:val="75"/>
          <w:sz w:val="18"/>
          <w:szCs w:val="18"/>
          <w:u w:val="none"/>
          <w:bdr w:val="none" w:color="auto" w:sz="0" w:space="0"/>
        </w:rPr>
        <w:fldChar w:fldCharType="separate"/>
      </w:r>
      <w:r>
        <w:rPr>
          <w:rFonts w:hint="default" w:ascii="Verdana" w:hAnsi="Verdana" w:eastAsia="宋体" w:cs="Verdana"/>
          <w:i w:val="0"/>
          <w:color w:val="555555"/>
          <w:spacing w:val="75"/>
          <w:sz w:val="18"/>
          <w:szCs w:val="18"/>
          <w:u w:val="none"/>
          <w:bdr w:val="none" w:color="auto" w:sz="0" w:space="0"/>
        </w:rPr>
        <w:drawing>
          <wp:inline distT="0" distB="0" distL="114300" distR="114300">
            <wp:extent cx="142875" cy="142875"/>
            <wp:effectExtent l="0" t="0" r="0" b="0"/>
            <wp:docPr id="2" name="图片 2"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142875" cy="142875"/>
                    </a:xfrm>
                    <a:prstGeom prst="rect">
                      <a:avLst/>
                    </a:prstGeom>
                    <a:noFill/>
                    <a:ln w="9525">
                      <a:noFill/>
                    </a:ln>
                  </pic:spPr>
                </pic:pic>
              </a:graphicData>
            </a:graphic>
          </wp:inline>
        </w:drawing>
      </w:r>
      <w:r>
        <w:rPr>
          <w:rFonts w:hint="default" w:ascii="Verdana" w:hAnsi="Verdana" w:eastAsia="宋体" w:cs="Verdana"/>
          <w:i w:val="0"/>
          <w:color w:val="555555"/>
          <w:spacing w:val="75"/>
          <w:sz w:val="18"/>
          <w:szCs w:val="18"/>
          <w:u w:val="none"/>
          <w:bdr w:val="none" w:color="auto" w:sz="0" w:space="0"/>
        </w:rPr>
        <w:fldChar w:fldCharType="end"/>
      </w:r>
      <w:r>
        <w:rPr>
          <w:rFonts w:hint="default" w:ascii="Verdana" w:hAnsi="Verdana" w:eastAsia="宋体" w:cs="Verdana"/>
          <w:i w:val="0"/>
          <w:color w:val="555555"/>
          <w:spacing w:val="75"/>
          <w:sz w:val="18"/>
          <w:szCs w:val="18"/>
          <w:u w:val="none"/>
          <w:bdr w:val="none" w:color="auto" w:sz="0" w:space="0"/>
        </w:rPr>
        <w:t>转载▼</w:t>
      </w:r>
    </w:p>
    <w:tbl>
      <w:tblPr>
        <w:tblW w:w="3636"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201"/>
        <w:gridCol w:w="34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PrEx>
        <w:trPr>
          <w:tblCellSpacing w:w="15" w:type="dxa"/>
        </w:trPr>
        <w:tc>
          <w:tcPr>
            <w:tcW w:w="156" w:type="dxa"/>
            <w:shd w:val="clear"/>
            <w:tcMar>
              <w:right w:w="150" w:type="dxa"/>
            </w:tcMar>
            <w:vAlign w:val="top"/>
          </w:tcPr>
          <w:p>
            <w:pPr>
              <w:rPr>
                <w:rFonts w:hint="eastAsia" w:ascii="宋体" w:hAnsi="宋体" w:eastAsia="宋体" w:cs="宋体"/>
                <w:sz w:val="18"/>
                <w:szCs w:val="18"/>
              </w:rPr>
            </w:pPr>
          </w:p>
        </w:tc>
        <w:tc>
          <w:tcPr>
            <w:tcW w:w="3390" w:type="dxa"/>
            <w:shd w:val="clear"/>
            <w:vAlign w:val="top"/>
          </w:tcPr>
          <w:p>
            <w:pPr>
              <w:keepNext w:val="0"/>
              <w:keepLines w:val="0"/>
              <w:widowControl/>
              <w:suppressLineNumbers w:val="0"/>
              <w:spacing w:before="0" w:beforeAutospacing="0" w:after="0" w:afterAutospacing="0"/>
              <w:ind w:left="0" w:right="0"/>
              <w:jc w:val="left"/>
              <w:textAlignment w:val="top"/>
              <w:rPr>
                <w:rFonts w:hint="eastAsia" w:ascii="宋体" w:hAnsi="宋体" w:eastAsia="宋体" w:cs="宋体"/>
                <w:sz w:val="18"/>
                <w:szCs w:val="18"/>
              </w:rPr>
            </w:pPr>
            <w:r>
              <w:rPr>
                <w:rFonts w:hint="eastAsia" w:ascii="宋体" w:hAnsi="宋体" w:eastAsia="宋体" w:cs="宋体"/>
                <w:color w:val="909090"/>
                <w:kern w:val="0"/>
                <w:sz w:val="18"/>
                <w:szCs w:val="18"/>
                <w:bdr w:val="none" w:color="auto" w:sz="0" w:space="0"/>
                <w:lang w:val="en-US" w:eastAsia="zh-CN" w:bidi="ar"/>
              </w:rPr>
              <w:t>分类：</w:t>
            </w:r>
            <w:r>
              <w:rPr>
                <w:rFonts w:hint="eastAsia" w:ascii="宋体" w:hAnsi="宋体" w:eastAsia="宋体" w:cs="宋体"/>
                <w:kern w:val="0"/>
                <w:sz w:val="18"/>
                <w:szCs w:val="18"/>
                <w:bdr w:val="none" w:color="auto" w:sz="0" w:space="0"/>
                <w:lang w:val="en-US" w:eastAsia="zh-CN" w:bidi="ar"/>
              </w:rPr>
              <w:t> </w:t>
            </w:r>
            <w:r>
              <w:rPr>
                <w:rFonts w:hint="eastAsia" w:ascii="宋体" w:hAnsi="宋体" w:eastAsia="宋体" w:cs="宋体"/>
                <w:color w:val="6D5887"/>
                <w:kern w:val="0"/>
                <w:sz w:val="18"/>
                <w:szCs w:val="18"/>
                <w:u w:val="none"/>
                <w:bdr w:val="none" w:color="auto" w:sz="0" w:space="0"/>
                <w:lang w:val="en-US" w:eastAsia="zh-CN" w:bidi="ar"/>
              </w:rPr>
              <w:fldChar w:fldCharType="begin"/>
            </w:r>
            <w:r>
              <w:rPr>
                <w:rFonts w:hint="eastAsia" w:ascii="宋体" w:hAnsi="宋体" w:eastAsia="宋体" w:cs="宋体"/>
                <w:color w:val="6D5887"/>
                <w:kern w:val="0"/>
                <w:sz w:val="18"/>
                <w:szCs w:val="18"/>
                <w:u w:val="none"/>
                <w:bdr w:val="none" w:color="auto" w:sz="0" w:space="0"/>
                <w:lang w:val="en-US" w:eastAsia="zh-CN" w:bidi="ar"/>
              </w:rPr>
              <w:instrText xml:space="preserve"> HYPERLINK "http://blog.sina.com.cn/s/articlelist_1659675495_3_1.html" \t "http://blog.sina.com.cn/s/_blank" </w:instrText>
            </w:r>
            <w:r>
              <w:rPr>
                <w:rFonts w:hint="eastAsia" w:ascii="宋体" w:hAnsi="宋体" w:eastAsia="宋体" w:cs="宋体"/>
                <w:color w:val="6D5887"/>
                <w:kern w:val="0"/>
                <w:sz w:val="18"/>
                <w:szCs w:val="18"/>
                <w:u w:val="none"/>
                <w:bdr w:val="none" w:color="auto" w:sz="0" w:space="0"/>
                <w:lang w:val="en-US" w:eastAsia="zh-CN" w:bidi="ar"/>
              </w:rPr>
              <w:fldChar w:fldCharType="separate"/>
            </w:r>
            <w:r>
              <w:rPr>
                <w:rStyle w:val="4"/>
                <w:rFonts w:hint="eastAsia" w:ascii="宋体" w:hAnsi="宋体" w:eastAsia="宋体" w:cs="宋体"/>
                <w:color w:val="6D5887"/>
                <w:sz w:val="18"/>
                <w:szCs w:val="18"/>
                <w:u w:val="none"/>
                <w:bdr w:val="none" w:color="auto" w:sz="0" w:space="0"/>
              </w:rPr>
              <w:t>金融</w:t>
            </w:r>
            <w:r>
              <w:rPr>
                <w:rFonts w:hint="eastAsia" w:ascii="宋体" w:hAnsi="宋体" w:eastAsia="宋体" w:cs="宋体"/>
                <w:color w:val="6D5887"/>
                <w:kern w:val="0"/>
                <w:sz w:val="18"/>
                <w:szCs w:val="18"/>
                <w:u w:val="none"/>
                <w:bdr w:val="none" w:color="auto" w:sz="0" w:space="0"/>
                <w:lang w:val="en-US" w:eastAsia="zh-CN" w:bidi="ar"/>
              </w:rPr>
              <w:fldChar w:fldCharType="end"/>
            </w:r>
          </w:p>
        </w:tc>
      </w:tr>
    </w:tbl>
    <w:p>
      <w:pPr>
        <w:rPr>
          <w:vanish/>
          <w:sz w:val="24"/>
          <w:szCs w:val="24"/>
        </w:rPr>
      </w:pPr>
    </w:p>
    <w:tbl>
      <w:tblPr>
        <w:tblW w:w="9060" w:type="dxa"/>
        <w:tblCellSpacing w:w="0" w:type="dxa"/>
        <w:tblInd w:w="0" w:type="dxa"/>
        <w:shd w:val="clear" w:color="auto" w:fill="FFFFFF"/>
        <w:tblLayout w:type="fixed"/>
        <w:tblCellMar>
          <w:top w:w="0" w:type="dxa"/>
          <w:left w:w="0" w:type="dxa"/>
          <w:bottom w:w="0" w:type="dxa"/>
          <w:right w:w="0" w:type="dxa"/>
        </w:tblCellMar>
      </w:tblPr>
      <w:tblGrid>
        <w:gridCol w:w="1345"/>
        <w:gridCol w:w="7715"/>
      </w:tblGrid>
      <w:tr>
        <w:tblPrEx>
          <w:shd w:val="clear" w:color="auto" w:fill="FFFFFF"/>
          <w:tblLayout w:type="fixed"/>
          <w:tblCellMar>
            <w:top w:w="0" w:type="dxa"/>
            <w:left w:w="0" w:type="dxa"/>
            <w:bottom w:w="0" w:type="dxa"/>
            <w:right w:w="0" w:type="dxa"/>
          </w:tblCellMar>
        </w:tblPrEx>
        <w:trPr>
          <w:trHeight w:val="311" w:hRule="atLeast"/>
          <w:tblCellSpacing w:w="0" w:type="dxa"/>
        </w:trPr>
        <w:tc>
          <w:tcPr>
            <w:tcW w:w="1345" w:type="dxa"/>
            <w:shd w:val="clear" w:color="auto" w:fill="FFFFFF"/>
            <w:vAlign w:val="center"/>
          </w:tcPr>
          <w:p>
            <w:pPr>
              <w:keepNext w:val="0"/>
              <w:keepLines w:val="0"/>
              <w:widowControl/>
              <w:suppressLineNumbers w:val="0"/>
              <w:spacing w:before="0" w:beforeAutospacing="0" w:after="0" w:afterAutospacing="0" w:line="270" w:lineRule="atLeast"/>
              <w:ind w:left="0" w:right="0"/>
              <w:jc w:val="left"/>
              <w:rPr>
                <w:rFonts w:hint="eastAsia" w:ascii="微软雅黑" w:hAnsi="微软雅黑" w:eastAsia="微软雅黑" w:cs="微软雅黑"/>
                <w:color w:val="656565"/>
                <w:sz w:val="18"/>
                <w:szCs w:val="18"/>
              </w:rPr>
            </w:pPr>
            <w:r>
              <w:rPr>
                <w:rFonts w:hint="eastAsia" w:ascii="微软雅黑" w:hAnsi="微软雅黑" w:eastAsia="微软雅黑" w:cs="微软雅黑"/>
                <w:color w:val="656565"/>
                <w:kern w:val="0"/>
                <w:sz w:val="18"/>
                <w:szCs w:val="18"/>
                <w:bdr w:val="none" w:color="auto" w:sz="0" w:space="0"/>
                <w:lang w:val="en-US" w:eastAsia="zh-CN" w:bidi="ar"/>
              </w:rPr>
              <w:t>发文标题：</w:t>
            </w:r>
          </w:p>
        </w:tc>
        <w:tc>
          <w:tcPr>
            <w:tcW w:w="7715" w:type="dxa"/>
            <w:shd w:val="clear" w:color="auto" w:fill="FFFFFF"/>
            <w:vAlign w:val="center"/>
          </w:tcPr>
          <w:p>
            <w:pPr>
              <w:keepNext w:val="0"/>
              <w:keepLines w:val="0"/>
              <w:widowControl/>
              <w:suppressLineNumbers w:val="0"/>
              <w:spacing w:before="0" w:beforeAutospacing="0" w:after="0" w:afterAutospacing="0" w:line="270" w:lineRule="atLeast"/>
              <w:ind w:left="0" w:right="0"/>
              <w:jc w:val="left"/>
              <w:rPr>
                <w:rFonts w:hint="eastAsia" w:ascii="微软雅黑" w:hAnsi="微软雅黑" w:eastAsia="微软雅黑" w:cs="微软雅黑"/>
                <w:color w:val="343434"/>
                <w:sz w:val="18"/>
                <w:szCs w:val="18"/>
              </w:rPr>
            </w:pPr>
            <w:r>
              <w:rPr>
                <w:rFonts w:hint="eastAsia" w:ascii="微软雅黑" w:hAnsi="微软雅黑" w:eastAsia="微软雅黑" w:cs="微软雅黑"/>
                <w:b/>
                <w:color w:val="343434"/>
                <w:kern w:val="0"/>
                <w:sz w:val="18"/>
                <w:szCs w:val="18"/>
                <w:bdr w:val="none" w:color="auto" w:sz="0" w:space="0"/>
                <w:lang w:val="en-US" w:eastAsia="zh-CN" w:bidi="ar"/>
              </w:rPr>
              <w:t>关于进一步规范地方政府举债融资行为的通知</w:t>
            </w:r>
          </w:p>
        </w:tc>
      </w:tr>
      <w:tr>
        <w:tblPrEx>
          <w:tblLayout w:type="fixed"/>
          <w:tblCellMar>
            <w:top w:w="0" w:type="dxa"/>
            <w:left w:w="0" w:type="dxa"/>
            <w:bottom w:w="0" w:type="dxa"/>
            <w:right w:w="0" w:type="dxa"/>
          </w:tblCellMar>
        </w:tblPrEx>
        <w:trPr>
          <w:trHeight w:val="311" w:hRule="atLeast"/>
          <w:tblCellSpacing w:w="0" w:type="dxa"/>
        </w:trPr>
        <w:tc>
          <w:tcPr>
            <w:tcW w:w="1345" w:type="dxa"/>
            <w:shd w:val="clear" w:color="auto" w:fill="FFFFFF"/>
            <w:vAlign w:val="center"/>
          </w:tcPr>
          <w:p>
            <w:pPr>
              <w:keepNext w:val="0"/>
              <w:keepLines w:val="0"/>
              <w:widowControl/>
              <w:suppressLineNumbers w:val="0"/>
              <w:spacing w:before="0" w:beforeAutospacing="0" w:after="0" w:afterAutospacing="0" w:line="270" w:lineRule="atLeast"/>
              <w:ind w:left="0" w:right="0"/>
              <w:jc w:val="left"/>
              <w:rPr>
                <w:rFonts w:hint="eastAsia" w:ascii="微软雅黑" w:hAnsi="微软雅黑" w:eastAsia="微软雅黑" w:cs="微软雅黑"/>
                <w:color w:val="656565"/>
                <w:sz w:val="18"/>
                <w:szCs w:val="18"/>
              </w:rPr>
            </w:pPr>
            <w:r>
              <w:rPr>
                <w:rFonts w:hint="eastAsia" w:ascii="微软雅黑" w:hAnsi="微软雅黑" w:eastAsia="微软雅黑" w:cs="微软雅黑"/>
                <w:color w:val="656565"/>
                <w:kern w:val="0"/>
                <w:sz w:val="18"/>
                <w:szCs w:val="18"/>
                <w:bdr w:val="none" w:color="auto" w:sz="0" w:space="0"/>
                <w:lang w:val="en-US" w:eastAsia="zh-CN" w:bidi="ar"/>
              </w:rPr>
              <w:t>发文文号：</w:t>
            </w:r>
          </w:p>
        </w:tc>
        <w:tc>
          <w:tcPr>
            <w:tcW w:w="7715" w:type="dxa"/>
            <w:shd w:val="clear" w:color="auto" w:fill="FFFFFF"/>
            <w:vAlign w:val="center"/>
          </w:tcPr>
          <w:p>
            <w:pPr>
              <w:keepNext w:val="0"/>
              <w:keepLines w:val="0"/>
              <w:widowControl/>
              <w:suppressLineNumbers w:val="0"/>
              <w:spacing w:before="0" w:beforeAutospacing="0" w:after="0" w:afterAutospacing="0" w:line="270" w:lineRule="atLeast"/>
              <w:ind w:left="0" w:right="0"/>
              <w:jc w:val="left"/>
              <w:rPr>
                <w:rFonts w:hint="eastAsia" w:ascii="微软雅黑" w:hAnsi="微软雅黑" w:eastAsia="微软雅黑" w:cs="微软雅黑"/>
                <w:color w:val="343434"/>
                <w:sz w:val="18"/>
                <w:szCs w:val="18"/>
              </w:rPr>
            </w:pPr>
            <w:r>
              <w:rPr>
                <w:rFonts w:hint="eastAsia" w:ascii="微软雅黑" w:hAnsi="微软雅黑" w:eastAsia="微软雅黑" w:cs="微软雅黑"/>
                <w:color w:val="343434"/>
                <w:kern w:val="0"/>
                <w:sz w:val="18"/>
                <w:szCs w:val="18"/>
                <w:bdr w:val="none" w:color="auto" w:sz="0" w:space="0"/>
                <w:lang w:val="en-US" w:eastAsia="zh-CN" w:bidi="ar"/>
              </w:rPr>
              <w:t>财预[2017]50号</w:t>
            </w:r>
          </w:p>
        </w:tc>
      </w:tr>
      <w:tr>
        <w:tblPrEx>
          <w:tblLayout w:type="fixed"/>
          <w:tblCellMar>
            <w:top w:w="0" w:type="dxa"/>
            <w:left w:w="0" w:type="dxa"/>
            <w:bottom w:w="0" w:type="dxa"/>
            <w:right w:w="0" w:type="dxa"/>
          </w:tblCellMar>
        </w:tblPrEx>
        <w:trPr>
          <w:trHeight w:val="621" w:hRule="atLeast"/>
          <w:tblCellSpacing w:w="0" w:type="dxa"/>
        </w:trPr>
        <w:tc>
          <w:tcPr>
            <w:tcW w:w="1345" w:type="dxa"/>
            <w:shd w:val="clear" w:color="auto" w:fill="FFFFFF"/>
            <w:vAlign w:val="center"/>
          </w:tcPr>
          <w:p>
            <w:pPr>
              <w:keepNext w:val="0"/>
              <w:keepLines w:val="0"/>
              <w:widowControl/>
              <w:suppressLineNumbers w:val="0"/>
              <w:spacing w:before="0" w:beforeAutospacing="0" w:after="0" w:afterAutospacing="0" w:line="270" w:lineRule="atLeast"/>
              <w:ind w:left="0" w:right="0"/>
              <w:jc w:val="left"/>
              <w:rPr>
                <w:rFonts w:hint="eastAsia" w:ascii="微软雅黑" w:hAnsi="微软雅黑" w:eastAsia="微软雅黑" w:cs="微软雅黑"/>
                <w:color w:val="656565"/>
                <w:sz w:val="18"/>
                <w:szCs w:val="18"/>
              </w:rPr>
            </w:pPr>
            <w:r>
              <w:rPr>
                <w:rFonts w:hint="eastAsia" w:ascii="微软雅黑" w:hAnsi="微软雅黑" w:eastAsia="微软雅黑" w:cs="微软雅黑"/>
                <w:color w:val="656565"/>
                <w:kern w:val="0"/>
                <w:sz w:val="18"/>
                <w:szCs w:val="18"/>
                <w:bdr w:val="none" w:color="auto" w:sz="0" w:space="0"/>
                <w:lang w:val="en-US" w:eastAsia="zh-CN" w:bidi="ar"/>
              </w:rPr>
              <w:t>发文部门：</w:t>
            </w:r>
          </w:p>
        </w:tc>
        <w:tc>
          <w:tcPr>
            <w:tcW w:w="7715" w:type="dxa"/>
            <w:shd w:val="clear" w:color="auto" w:fill="FFFFFF"/>
            <w:vAlign w:val="center"/>
          </w:tcPr>
          <w:p>
            <w:pPr>
              <w:keepNext w:val="0"/>
              <w:keepLines w:val="0"/>
              <w:widowControl/>
              <w:suppressLineNumbers w:val="0"/>
              <w:spacing w:before="0" w:beforeAutospacing="0" w:after="0" w:afterAutospacing="0" w:line="270" w:lineRule="atLeast"/>
              <w:ind w:left="0" w:right="0"/>
              <w:jc w:val="left"/>
              <w:rPr>
                <w:rFonts w:hint="eastAsia" w:ascii="微软雅黑" w:hAnsi="微软雅黑" w:eastAsia="微软雅黑" w:cs="微软雅黑"/>
                <w:color w:val="343434"/>
                <w:sz w:val="18"/>
                <w:szCs w:val="18"/>
              </w:rPr>
            </w:pPr>
            <w:r>
              <w:rPr>
                <w:rFonts w:hint="eastAsia" w:ascii="微软雅黑" w:hAnsi="微软雅黑" w:eastAsia="微软雅黑" w:cs="微软雅黑"/>
                <w:color w:val="6D5887"/>
                <w:kern w:val="0"/>
                <w:sz w:val="18"/>
                <w:szCs w:val="18"/>
                <w:u w:val="none"/>
                <w:bdr w:val="none" w:color="auto" w:sz="0" w:space="0"/>
                <w:lang w:val="en-US" w:eastAsia="zh-CN" w:bidi="ar"/>
              </w:rPr>
              <w:fldChar w:fldCharType="begin"/>
            </w:r>
            <w:r>
              <w:rPr>
                <w:rFonts w:hint="eastAsia" w:ascii="微软雅黑" w:hAnsi="微软雅黑" w:eastAsia="微软雅黑" w:cs="微软雅黑"/>
                <w:color w:val="6D5887"/>
                <w:kern w:val="0"/>
                <w:sz w:val="18"/>
                <w:szCs w:val="18"/>
                <w:u w:val="none"/>
                <w:bdr w:val="none" w:color="auto" w:sz="0" w:space="0"/>
                <w:lang w:val="en-US" w:eastAsia="zh-CN" w:bidi="ar"/>
              </w:rPr>
              <w:instrText xml:space="preserve"> HYPERLINK "http://law.esnai.com/do.aspx?controller=home&amp;action=search&amp;Department=22" \t "http://blog.sina.com.cn/s/_blank" </w:instrText>
            </w:r>
            <w:r>
              <w:rPr>
                <w:rFonts w:hint="eastAsia" w:ascii="微软雅黑" w:hAnsi="微软雅黑" w:eastAsia="微软雅黑" w:cs="微软雅黑"/>
                <w:color w:val="6D5887"/>
                <w:kern w:val="0"/>
                <w:sz w:val="18"/>
                <w:szCs w:val="18"/>
                <w:u w:val="none"/>
                <w:bdr w:val="none" w:color="auto" w:sz="0" w:space="0"/>
                <w:lang w:val="en-US" w:eastAsia="zh-CN" w:bidi="ar"/>
              </w:rPr>
              <w:fldChar w:fldCharType="separate"/>
            </w:r>
            <w:r>
              <w:rPr>
                <w:rStyle w:val="4"/>
                <w:rFonts w:hint="eastAsia" w:ascii="微软雅黑" w:hAnsi="微软雅黑" w:eastAsia="微软雅黑" w:cs="微软雅黑"/>
                <w:color w:val="6D5887"/>
                <w:sz w:val="18"/>
                <w:szCs w:val="18"/>
                <w:u w:val="none"/>
                <w:bdr w:val="none" w:color="auto" w:sz="0" w:space="0"/>
              </w:rPr>
              <w:t>财政部</w:t>
            </w:r>
            <w:r>
              <w:rPr>
                <w:rFonts w:hint="eastAsia" w:ascii="微软雅黑" w:hAnsi="微软雅黑" w:eastAsia="微软雅黑" w:cs="微软雅黑"/>
                <w:color w:val="6D5887"/>
                <w:kern w:val="0"/>
                <w:sz w:val="18"/>
                <w:szCs w:val="18"/>
                <w:u w:val="none"/>
                <w:bdr w:val="none" w:color="auto" w:sz="0" w:space="0"/>
                <w:lang w:val="en-US" w:eastAsia="zh-CN" w:bidi="ar"/>
              </w:rPr>
              <w:fldChar w:fldCharType="end"/>
            </w:r>
            <w:r>
              <w:rPr>
                <w:rFonts w:hint="eastAsia" w:ascii="微软雅黑" w:hAnsi="微软雅黑" w:eastAsia="微软雅黑" w:cs="微软雅黑"/>
                <w:color w:val="343434"/>
                <w:kern w:val="0"/>
                <w:sz w:val="18"/>
                <w:szCs w:val="18"/>
                <w:bdr w:val="none" w:color="auto" w:sz="0" w:space="0"/>
                <w:lang w:val="en-US" w:eastAsia="zh-CN" w:bidi="ar"/>
              </w:rPr>
              <w:t> </w:t>
            </w:r>
            <w:r>
              <w:rPr>
                <w:rFonts w:hint="eastAsia" w:ascii="微软雅黑" w:hAnsi="微软雅黑" w:eastAsia="微软雅黑" w:cs="微软雅黑"/>
                <w:color w:val="6D5887"/>
                <w:kern w:val="0"/>
                <w:sz w:val="18"/>
                <w:szCs w:val="18"/>
                <w:u w:val="none"/>
                <w:bdr w:val="none" w:color="auto" w:sz="0" w:space="0"/>
                <w:lang w:val="en-US" w:eastAsia="zh-CN" w:bidi="ar"/>
              </w:rPr>
              <w:fldChar w:fldCharType="begin"/>
            </w:r>
            <w:r>
              <w:rPr>
                <w:rFonts w:hint="eastAsia" w:ascii="微软雅黑" w:hAnsi="微软雅黑" w:eastAsia="微软雅黑" w:cs="微软雅黑"/>
                <w:color w:val="6D5887"/>
                <w:kern w:val="0"/>
                <w:sz w:val="18"/>
                <w:szCs w:val="18"/>
                <w:u w:val="none"/>
                <w:bdr w:val="none" w:color="auto" w:sz="0" w:space="0"/>
                <w:lang w:val="en-US" w:eastAsia="zh-CN" w:bidi="ar"/>
              </w:rPr>
              <w:instrText xml:space="preserve"> HYPERLINK "http://law.esnai.com/do.aspx?controller=home&amp;action=search&amp;Department=90" \t "http://blog.sina.com.cn/s/_blank" </w:instrText>
            </w:r>
            <w:r>
              <w:rPr>
                <w:rFonts w:hint="eastAsia" w:ascii="微软雅黑" w:hAnsi="微软雅黑" w:eastAsia="微软雅黑" w:cs="微软雅黑"/>
                <w:color w:val="6D5887"/>
                <w:kern w:val="0"/>
                <w:sz w:val="18"/>
                <w:szCs w:val="18"/>
                <w:u w:val="none"/>
                <w:bdr w:val="none" w:color="auto" w:sz="0" w:space="0"/>
                <w:lang w:val="en-US" w:eastAsia="zh-CN" w:bidi="ar"/>
              </w:rPr>
              <w:fldChar w:fldCharType="separate"/>
            </w:r>
            <w:r>
              <w:rPr>
                <w:rStyle w:val="4"/>
                <w:rFonts w:hint="eastAsia" w:ascii="微软雅黑" w:hAnsi="微软雅黑" w:eastAsia="微软雅黑" w:cs="微软雅黑"/>
                <w:color w:val="6D5887"/>
                <w:sz w:val="18"/>
                <w:szCs w:val="18"/>
                <w:u w:val="none"/>
                <w:bdr w:val="none" w:color="auto" w:sz="0" w:space="0"/>
              </w:rPr>
              <w:t>国家发展和改革委员会</w:t>
            </w:r>
            <w:r>
              <w:rPr>
                <w:rFonts w:hint="eastAsia" w:ascii="微软雅黑" w:hAnsi="微软雅黑" w:eastAsia="微软雅黑" w:cs="微软雅黑"/>
                <w:color w:val="6D5887"/>
                <w:kern w:val="0"/>
                <w:sz w:val="18"/>
                <w:szCs w:val="18"/>
                <w:u w:val="none"/>
                <w:bdr w:val="none" w:color="auto" w:sz="0" w:space="0"/>
                <w:lang w:val="en-US" w:eastAsia="zh-CN" w:bidi="ar"/>
              </w:rPr>
              <w:fldChar w:fldCharType="end"/>
            </w:r>
            <w:r>
              <w:rPr>
                <w:rFonts w:hint="eastAsia" w:ascii="微软雅黑" w:hAnsi="微软雅黑" w:eastAsia="微软雅黑" w:cs="微软雅黑"/>
                <w:color w:val="343434"/>
                <w:kern w:val="0"/>
                <w:sz w:val="18"/>
                <w:szCs w:val="18"/>
                <w:bdr w:val="none" w:color="auto" w:sz="0" w:space="0"/>
                <w:lang w:val="en-US" w:eastAsia="zh-CN" w:bidi="ar"/>
              </w:rPr>
              <w:t> </w:t>
            </w:r>
            <w:r>
              <w:rPr>
                <w:rFonts w:hint="eastAsia" w:ascii="微软雅黑" w:hAnsi="微软雅黑" w:eastAsia="微软雅黑" w:cs="微软雅黑"/>
                <w:color w:val="6D5887"/>
                <w:kern w:val="0"/>
                <w:sz w:val="18"/>
                <w:szCs w:val="18"/>
                <w:u w:val="none"/>
                <w:bdr w:val="none" w:color="auto" w:sz="0" w:space="0"/>
                <w:lang w:val="en-US" w:eastAsia="zh-CN" w:bidi="ar"/>
              </w:rPr>
              <w:fldChar w:fldCharType="begin"/>
            </w:r>
            <w:r>
              <w:rPr>
                <w:rFonts w:hint="eastAsia" w:ascii="微软雅黑" w:hAnsi="微软雅黑" w:eastAsia="微软雅黑" w:cs="微软雅黑"/>
                <w:color w:val="6D5887"/>
                <w:kern w:val="0"/>
                <w:sz w:val="18"/>
                <w:szCs w:val="18"/>
                <w:u w:val="none"/>
                <w:bdr w:val="none" w:color="auto" w:sz="0" w:space="0"/>
                <w:lang w:val="en-US" w:eastAsia="zh-CN" w:bidi="ar"/>
              </w:rPr>
              <w:instrText xml:space="preserve"> HYPERLINK "http://law.esnai.com/do.aspx?controller=home&amp;action=search&amp;Department=315" \t "http://blog.sina.com.cn/s/_blank" </w:instrText>
            </w:r>
            <w:r>
              <w:rPr>
                <w:rFonts w:hint="eastAsia" w:ascii="微软雅黑" w:hAnsi="微软雅黑" w:eastAsia="微软雅黑" w:cs="微软雅黑"/>
                <w:color w:val="6D5887"/>
                <w:kern w:val="0"/>
                <w:sz w:val="18"/>
                <w:szCs w:val="18"/>
                <w:u w:val="none"/>
                <w:bdr w:val="none" w:color="auto" w:sz="0" w:space="0"/>
                <w:lang w:val="en-US" w:eastAsia="zh-CN" w:bidi="ar"/>
              </w:rPr>
              <w:fldChar w:fldCharType="separate"/>
            </w:r>
            <w:r>
              <w:rPr>
                <w:rStyle w:val="4"/>
                <w:rFonts w:hint="eastAsia" w:ascii="微软雅黑" w:hAnsi="微软雅黑" w:eastAsia="微软雅黑" w:cs="微软雅黑"/>
                <w:color w:val="6D5887"/>
                <w:sz w:val="18"/>
                <w:szCs w:val="18"/>
                <w:u w:val="none"/>
                <w:bdr w:val="none" w:color="auto" w:sz="0" w:space="0"/>
              </w:rPr>
              <w:t>司法部</w:t>
            </w:r>
            <w:r>
              <w:rPr>
                <w:rFonts w:hint="eastAsia" w:ascii="微软雅黑" w:hAnsi="微软雅黑" w:eastAsia="微软雅黑" w:cs="微软雅黑"/>
                <w:color w:val="6D5887"/>
                <w:kern w:val="0"/>
                <w:sz w:val="18"/>
                <w:szCs w:val="18"/>
                <w:u w:val="none"/>
                <w:bdr w:val="none" w:color="auto" w:sz="0" w:space="0"/>
                <w:lang w:val="en-US" w:eastAsia="zh-CN" w:bidi="ar"/>
              </w:rPr>
              <w:fldChar w:fldCharType="end"/>
            </w:r>
            <w:r>
              <w:rPr>
                <w:rFonts w:hint="eastAsia" w:ascii="微软雅黑" w:hAnsi="微软雅黑" w:eastAsia="微软雅黑" w:cs="微软雅黑"/>
                <w:color w:val="343434"/>
                <w:kern w:val="0"/>
                <w:sz w:val="18"/>
                <w:szCs w:val="18"/>
                <w:bdr w:val="none" w:color="auto" w:sz="0" w:space="0"/>
                <w:lang w:val="en-US" w:eastAsia="zh-CN" w:bidi="ar"/>
              </w:rPr>
              <w:t> </w:t>
            </w:r>
            <w:r>
              <w:rPr>
                <w:rFonts w:hint="eastAsia" w:ascii="微软雅黑" w:hAnsi="微软雅黑" w:eastAsia="微软雅黑" w:cs="微软雅黑"/>
                <w:color w:val="6D5887"/>
                <w:kern w:val="0"/>
                <w:sz w:val="18"/>
                <w:szCs w:val="18"/>
                <w:u w:val="none"/>
                <w:bdr w:val="none" w:color="auto" w:sz="0" w:space="0"/>
                <w:lang w:val="en-US" w:eastAsia="zh-CN" w:bidi="ar"/>
              </w:rPr>
              <w:fldChar w:fldCharType="begin"/>
            </w:r>
            <w:r>
              <w:rPr>
                <w:rFonts w:hint="eastAsia" w:ascii="微软雅黑" w:hAnsi="微软雅黑" w:eastAsia="微软雅黑" w:cs="微软雅黑"/>
                <w:color w:val="6D5887"/>
                <w:kern w:val="0"/>
                <w:sz w:val="18"/>
                <w:szCs w:val="18"/>
                <w:u w:val="none"/>
                <w:bdr w:val="none" w:color="auto" w:sz="0" w:space="0"/>
                <w:lang w:val="en-US" w:eastAsia="zh-CN" w:bidi="ar"/>
              </w:rPr>
              <w:instrText xml:space="preserve"> HYPERLINK "http://law.esnai.com/do.aspx?controller=home&amp;action=search&amp;Department=391" \t "http://blog.sina.com.cn/s/_blank" </w:instrText>
            </w:r>
            <w:r>
              <w:rPr>
                <w:rFonts w:hint="eastAsia" w:ascii="微软雅黑" w:hAnsi="微软雅黑" w:eastAsia="微软雅黑" w:cs="微软雅黑"/>
                <w:color w:val="6D5887"/>
                <w:kern w:val="0"/>
                <w:sz w:val="18"/>
                <w:szCs w:val="18"/>
                <w:u w:val="none"/>
                <w:bdr w:val="none" w:color="auto" w:sz="0" w:space="0"/>
                <w:lang w:val="en-US" w:eastAsia="zh-CN" w:bidi="ar"/>
              </w:rPr>
              <w:fldChar w:fldCharType="separate"/>
            </w:r>
            <w:r>
              <w:rPr>
                <w:rStyle w:val="4"/>
                <w:rFonts w:hint="eastAsia" w:ascii="微软雅黑" w:hAnsi="微软雅黑" w:eastAsia="微软雅黑" w:cs="微软雅黑"/>
                <w:color w:val="6D5887"/>
                <w:sz w:val="18"/>
                <w:szCs w:val="18"/>
                <w:u w:val="none"/>
                <w:bdr w:val="none" w:color="auto" w:sz="0" w:space="0"/>
              </w:rPr>
              <w:t>中国人民银行</w:t>
            </w:r>
            <w:r>
              <w:rPr>
                <w:rFonts w:hint="eastAsia" w:ascii="微软雅黑" w:hAnsi="微软雅黑" w:eastAsia="微软雅黑" w:cs="微软雅黑"/>
                <w:color w:val="6D5887"/>
                <w:kern w:val="0"/>
                <w:sz w:val="18"/>
                <w:szCs w:val="18"/>
                <w:u w:val="none"/>
                <w:bdr w:val="none" w:color="auto" w:sz="0" w:space="0"/>
                <w:lang w:val="en-US" w:eastAsia="zh-CN" w:bidi="ar"/>
              </w:rPr>
              <w:fldChar w:fldCharType="end"/>
            </w:r>
            <w:r>
              <w:rPr>
                <w:rFonts w:hint="eastAsia" w:ascii="微软雅黑" w:hAnsi="微软雅黑" w:eastAsia="微软雅黑" w:cs="微软雅黑"/>
                <w:color w:val="343434"/>
                <w:kern w:val="0"/>
                <w:sz w:val="18"/>
                <w:szCs w:val="18"/>
                <w:bdr w:val="none" w:color="auto" w:sz="0" w:space="0"/>
                <w:lang w:val="en-US" w:eastAsia="zh-CN" w:bidi="ar"/>
              </w:rPr>
              <w:t> </w:t>
            </w:r>
            <w:r>
              <w:rPr>
                <w:rFonts w:hint="eastAsia" w:ascii="微软雅黑" w:hAnsi="微软雅黑" w:eastAsia="微软雅黑" w:cs="微软雅黑"/>
                <w:color w:val="6D5887"/>
                <w:kern w:val="0"/>
                <w:sz w:val="18"/>
                <w:szCs w:val="18"/>
                <w:u w:val="none"/>
                <w:bdr w:val="none" w:color="auto" w:sz="0" w:space="0"/>
                <w:lang w:val="en-US" w:eastAsia="zh-CN" w:bidi="ar"/>
              </w:rPr>
              <w:fldChar w:fldCharType="begin"/>
            </w:r>
            <w:r>
              <w:rPr>
                <w:rFonts w:hint="eastAsia" w:ascii="微软雅黑" w:hAnsi="微软雅黑" w:eastAsia="微软雅黑" w:cs="微软雅黑"/>
                <w:color w:val="6D5887"/>
                <w:kern w:val="0"/>
                <w:sz w:val="18"/>
                <w:szCs w:val="18"/>
                <w:u w:val="none"/>
                <w:bdr w:val="none" w:color="auto" w:sz="0" w:space="0"/>
                <w:lang w:val="en-US" w:eastAsia="zh-CN" w:bidi="ar"/>
              </w:rPr>
              <w:instrText xml:space="preserve"> HYPERLINK "http://law.esnai.com/do.aspx?controller=home&amp;action=search&amp;Department=400" \t "http://blog.sina.com.cn/s/_blank" </w:instrText>
            </w:r>
            <w:r>
              <w:rPr>
                <w:rFonts w:hint="eastAsia" w:ascii="微软雅黑" w:hAnsi="微软雅黑" w:eastAsia="微软雅黑" w:cs="微软雅黑"/>
                <w:color w:val="6D5887"/>
                <w:kern w:val="0"/>
                <w:sz w:val="18"/>
                <w:szCs w:val="18"/>
                <w:u w:val="none"/>
                <w:bdr w:val="none" w:color="auto" w:sz="0" w:space="0"/>
                <w:lang w:val="en-US" w:eastAsia="zh-CN" w:bidi="ar"/>
              </w:rPr>
              <w:fldChar w:fldCharType="separate"/>
            </w:r>
            <w:r>
              <w:rPr>
                <w:rStyle w:val="4"/>
                <w:rFonts w:hint="eastAsia" w:ascii="微软雅黑" w:hAnsi="微软雅黑" w:eastAsia="微软雅黑" w:cs="微软雅黑"/>
                <w:color w:val="6D5887"/>
                <w:sz w:val="18"/>
                <w:szCs w:val="18"/>
                <w:u w:val="none"/>
                <w:bdr w:val="none" w:color="auto" w:sz="0" w:space="0"/>
              </w:rPr>
              <w:t>中国银行业监督管理委员会</w:t>
            </w:r>
            <w:r>
              <w:rPr>
                <w:rFonts w:hint="eastAsia" w:ascii="微软雅黑" w:hAnsi="微软雅黑" w:eastAsia="微软雅黑" w:cs="微软雅黑"/>
                <w:color w:val="6D5887"/>
                <w:kern w:val="0"/>
                <w:sz w:val="18"/>
                <w:szCs w:val="18"/>
                <w:u w:val="none"/>
                <w:bdr w:val="none" w:color="auto" w:sz="0" w:space="0"/>
                <w:lang w:val="en-US" w:eastAsia="zh-CN" w:bidi="ar"/>
              </w:rPr>
              <w:fldChar w:fldCharType="end"/>
            </w:r>
            <w:r>
              <w:rPr>
                <w:rFonts w:hint="eastAsia" w:ascii="微软雅黑" w:hAnsi="微软雅黑" w:eastAsia="微软雅黑" w:cs="微软雅黑"/>
                <w:color w:val="343434"/>
                <w:kern w:val="0"/>
                <w:sz w:val="18"/>
                <w:szCs w:val="18"/>
                <w:bdr w:val="none" w:color="auto" w:sz="0" w:space="0"/>
                <w:lang w:val="en-US" w:eastAsia="zh-CN" w:bidi="ar"/>
              </w:rPr>
              <w:t> </w:t>
            </w:r>
            <w:r>
              <w:rPr>
                <w:rFonts w:hint="eastAsia" w:ascii="微软雅黑" w:hAnsi="微软雅黑" w:eastAsia="微软雅黑" w:cs="微软雅黑"/>
                <w:color w:val="6D5887"/>
                <w:kern w:val="0"/>
                <w:sz w:val="18"/>
                <w:szCs w:val="18"/>
                <w:u w:val="none"/>
                <w:bdr w:val="none" w:color="auto" w:sz="0" w:space="0"/>
                <w:lang w:val="en-US" w:eastAsia="zh-CN" w:bidi="ar"/>
              </w:rPr>
              <w:fldChar w:fldCharType="begin"/>
            </w:r>
            <w:r>
              <w:rPr>
                <w:rFonts w:hint="eastAsia" w:ascii="微软雅黑" w:hAnsi="微软雅黑" w:eastAsia="微软雅黑" w:cs="微软雅黑"/>
                <w:color w:val="6D5887"/>
                <w:kern w:val="0"/>
                <w:sz w:val="18"/>
                <w:szCs w:val="18"/>
                <w:u w:val="none"/>
                <w:bdr w:val="none" w:color="auto" w:sz="0" w:space="0"/>
                <w:lang w:val="en-US" w:eastAsia="zh-CN" w:bidi="ar"/>
              </w:rPr>
              <w:instrText xml:space="preserve"> HYPERLINK "http://law.esnai.com/do.aspx?controller=home&amp;action=search&amp;Department=402" \t "http://blog.sina.com.cn/s/_blank" </w:instrText>
            </w:r>
            <w:r>
              <w:rPr>
                <w:rFonts w:hint="eastAsia" w:ascii="微软雅黑" w:hAnsi="微软雅黑" w:eastAsia="微软雅黑" w:cs="微软雅黑"/>
                <w:color w:val="6D5887"/>
                <w:kern w:val="0"/>
                <w:sz w:val="18"/>
                <w:szCs w:val="18"/>
                <w:u w:val="none"/>
                <w:bdr w:val="none" w:color="auto" w:sz="0" w:space="0"/>
                <w:lang w:val="en-US" w:eastAsia="zh-CN" w:bidi="ar"/>
              </w:rPr>
              <w:fldChar w:fldCharType="separate"/>
            </w:r>
            <w:r>
              <w:rPr>
                <w:rStyle w:val="4"/>
                <w:rFonts w:hint="eastAsia" w:ascii="微软雅黑" w:hAnsi="微软雅黑" w:eastAsia="微软雅黑" w:cs="微软雅黑"/>
                <w:color w:val="6D5887"/>
                <w:sz w:val="18"/>
                <w:szCs w:val="18"/>
                <w:u w:val="none"/>
                <w:bdr w:val="none" w:color="auto" w:sz="0" w:space="0"/>
              </w:rPr>
              <w:t>中国证券监督管理委员会</w:t>
            </w:r>
            <w:r>
              <w:rPr>
                <w:rFonts w:hint="eastAsia" w:ascii="微软雅黑" w:hAnsi="微软雅黑" w:eastAsia="微软雅黑" w:cs="微软雅黑"/>
                <w:color w:val="6D5887"/>
                <w:kern w:val="0"/>
                <w:sz w:val="18"/>
                <w:szCs w:val="18"/>
                <w:u w:val="none"/>
                <w:bdr w:val="none" w:color="auto" w:sz="0" w:space="0"/>
                <w:lang w:val="en-US" w:eastAsia="zh-CN" w:bidi="ar"/>
              </w:rPr>
              <w:fldChar w:fldCharType="end"/>
            </w:r>
          </w:p>
        </w:tc>
      </w:tr>
      <w:tr>
        <w:tblPrEx>
          <w:shd w:val="clear" w:color="auto" w:fill="FFFFFF"/>
          <w:tblLayout w:type="fixed"/>
          <w:tblCellMar>
            <w:top w:w="0" w:type="dxa"/>
            <w:left w:w="0" w:type="dxa"/>
            <w:bottom w:w="0" w:type="dxa"/>
            <w:right w:w="0" w:type="dxa"/>
          </w:tblCellMar>
        </w:tblPrEx>
        <w:trPr>
          <w:trHeight w:val="311" w:hRule="atLeast"/>
          <w:tblCellSpacing w:w="0" w:type="dxa"/>
        </w:trPr>
        <w:tc>
          <w:tcPr>
            <w:tcW w:w="1345" w:type="dxa"/>
            <w:shd w:val="clear" w:color="auto" w:fill="FFFFFF"/>
            <w:vAlign w:val="center"/>
          </w:tcPr>
          <w:p>
            <w:pPr>
              <w:keepNext w:val="0"/>
              <w:keepLines w:val="0"/>
              <w:widowControl/>
              <w:suppressLineNumbers w:val="0"/>
              <w:spacing w:before="0" w:beforeAutospacing="0" w:after="0" w:afterAutospacing="0" w:line="270" w:lineRule="atLeast"/>
              <w:ind w:left="0" w:right="0"/>
              <w:jc w:val="left"/>
              <w:rPr>
                <w:rFonts w:hint="eastAsia" w:ascii="微软雅黑" w:hAnsi="微软雅黑" w:eastAsia="微软雅黑" w:cs="微软雅黑"/>
                <w:color w:val="656565"/>
                <w:sz w:val="18"/>
                <w:szCs w:val="18"/>
              </w:rPr>
            </w:pPr>
            <w:r>
              <w:rPr>
                <w:rFonts w:hint="eastAsia" w:ascii="微软雅黑" w:hAnsi="微软雅黑" w:eastAsia="微软雅黑" w:cs="微软雅黑"/>
                <w:color w:val="656565"/>
                <w:kern w:val="0"/>
                <w:sz w:val="18"/>
                <w:szCs w:val="18"/>
                <w:bdr w:val="none" w:color="auto" w:sz="0" w:space="0"/>
                <w:lang w:val="en-US" w:eastAsia="zh-CN" w:bidi="ar"/>
              </w:rPr>
              <w:t>发文时间：</w:t>
            </w:r>
          </w:p>
        </w:tc>
        <w:tc>
          <w:tcPr>
            <w:tcW w:w="7715" w:type="dxa"/>
            <w:shd w:val="clear" w:color="auto" w:fill="FFFFFF"/>
            <w:vAlign w:val="center"/>
          </w:tcPr>
          <w:p>
            <w:pPr>
              <w:keepNext w:val="0"/>
              <w:keepLines w:val="0"/>
              <w:widowControl/>
              <w:suppressLineNumbers w:val="0"/>
              <w:spacing w:before="0" w:beforeAutospacing="0" w:after="0" w:afterAutospacing="0" w:line="270" w:lineRule="atLeast"/>
              <w:ind w:left="0" w:right="0"/>
              <w:jc w:val="left"/>
              <w:rPr>
                <w:rFonts w:hint="eastAsia" w:ascii="微软雅黑" w:hAnsi="微软雅黑" w:eastAsia="微软雅黑" w:cs="微软雅黑"/>
                <w:color w:val="343434"/>
                <w:sz w:val="18"/>
                <w:szCs w:val="18"/>
              </w:rPr>
            </w:pPr>
            <w:r>
              <w:rPr>
                <w:rFonts w:hint="eastAsia" w:ascii="微软雅黑" w:hAnsi="微软雅黑" w:eastAsia="微软雅黑" w:cs="微软雅黑"/>
                <w:color w:val="343434"/>
                <w:kern w:val="0"/>
                <w:sz w:val="18"/>
                <w:szCs w:val="18"/>
                <w:bdr w:val="none" w:color="auto" w:sz="0" w:space="0"/>
                <w:lang w:val="en-US" w:eastAsia="zh-CN" w:bidi="ar"/>
              </w:rPr>
              <w:t>2017-4-26</w:t>
            </w:r>
          </w:p>
        </w:tc>
      </w:tr>
      <w:tr>
        <w:tblPrEx>
          <w:tblLayout w:type="fixed"/>
          <w:tblCellMar>
            <w:top w:w="0" w:type="dxa"/>
            <w:left w:w="0" w:type="dxa"/>
            <w:bottom w:w="0" w:type="dxa"/>
            <w:right w:w="0" w:type="dxa"/>
          </w:tblCellMar>
        </w:tblPrEx>
        <w:trPr>
          <w:trHeight w:val="311" w:hRule="atLeast"/>
          <w:tblCellSpacing w:w="0" w:type="dxa"/>
        </w:trPr>
        <w:tc>
          <w:tcPr>
            <w:tcW w:w="1345" w:type="dxa"/>
            <w:shd w:val="clear" w:color="auto" w:fill="FFFFFF"/>
            <w:vAlign w:val="center"/>
          </w:tcPr>
          <w:p>
            <w:pPr>
              <w:keepNext w:val="0"/>
              <w:keepLines w:val="0"/>
              <w:widowControl/>
              <w:suppressLineNumbers w:val="0"/>
              <w:spacing w:before="0" w:beforeAutospacing="0" w:after="0" w:afterAutospacing="0" w:line="270" w:lineRule="atLeast"/>
              <w:ind w:left="0" w:right="0"/>
              <w:jc w:val="left"/>
              <w:rPr>
                <w:rFonts w:hint="eastAsia" w:ascii="微软雅黑" w:hAnsi="微软雅黑" w:eastAsia="微软雅黑" w:cs="微软雅黑"/>
                <w:color w:val="656565"/>
                <w:sz w:val="18"/>
                <w:szCs w:val="18"/>
              </w:rPr>
            </w:pPr>
            <w:r>
              <w:rPr>
                <w:rFonts w:hint="eastAsia" w:ascii="微软雅黑" w:hAnsi="微软雅黑" w:eastAsia="微软雅黑" w:cs="微软雅黑"/>
                <w:color w:val="656565"/>
                <w:kern w:val="0"/>
                <w:sz w:val="18"/>
                <w:szCs w:val="18"/>
                <w:bdr w:val="none" w:color="auto" w:sz="0" w:space="0"/>
                <w:lang w:val="en-US" w:eastAsia="zh-CN" w:bidi="ar"/>
              </w:rPr>
              <w:t>实施时间：</w:t>
            </w:r>
          </w:p>
        </w:tc>
        <w:tc>
          <w:tcPr>
            <w:tcW w:w="7715" w:type="dxa"/>
            <w:shd w:val="clear" w:color="auto" w:fill="FFFFFF"/>
            <w:vAlign w:val="center"/>
          </w:tcPr>
          <w:p>
            <w:pPr>
              <w:keepNext w:val="0"/>
              <w:keepLines w:val="0"/>
              <w:widowControl/>
              <w:suppressLineNumbers w:val="0"/>
              <w:spacing w:before="0" w:beforeAutospacing="0" w:after="0" w:afterAutospacing="0" w:line="270" w:lineRule="atLeast"/>
              <w:ind w:left="0" w:right="0"/>
              <w:jc w:val="left"/>
              <w:rPr>
                <w:rFonts w:hint="eastAsia" w:ascii="微软雅黑" w:hAnsi="微软雅黑" w:eastAsia="微软雅黑" w:cs="微软雅黑"/>
                <w:color w:val="343434"/>
                <w:sz w:val="18"/>
                <w:szCs w:val="18"/>
              </w:rPr>
            </w:pPr>
            <w:r>
              <w:rPr>
                <w:rFonts w:hint="eastAsia" w:ascii="微软雅黑" w:hAnsi="微软雅黑" w:eastAsia="微软雅黑" w:cs="微软雅黑"/>
                <w:color w:val="343434"/>
                <w:kern w:val="0"/>
                <w:sz w:val="18"/>
                <w:szCs w:val="18"/>
                <w:bdr w:val="none" w:color="auto" w:sz="0" w:space="0"/>
                <w:lang w:val="en-US" w:eastAsia="zh-CN" w:bidi="ar"/>
              </w:rPr>
              <w:t>2017-4-26</w:t>
            </w:r>
          </w:p>
        </w:tc>
      </w:tr>
      <w:tr>
        <w:tblPrEx>
          <w:tblLayout w:type="fixed"/>
          <w:tblCellMar>
            <w:top w:w="0" w:type="dxa"/>
            <w:left w:w="0" w:type="dxa"/>
            <w:bottom w:w="0" w:type="dxa"/>
            <w:right w:w="0" w:type="dxa"/>
          </w:tblCellMar>
        </w:tblPrEx>
        <w:trPr>
          <w:trHeight w:val="90" w:hRule="atLeast"/>
          <w:tblCellSpacing w:w="0" w:type="dxa"/>
        </w:trPr>
        <w:tc>
          <w:tcPr>
            <w:tcW w:w="1345" w:type="dxa"/>
            <w:shd w:val="clear" w:color="auto" w:fill="FFFFFF"/>
            <w:vAlign w:val="center"/>
          </w:tcPr>
          <w:p>
            <w:pPr>
              <w:keepNext w:val="0"/>
              <w:keepLines w:val="0"/>
              <w:widowControl/>
              <w:suppressLineNumbers w:val="0"/>
              <w:spacing w:before="0" w:beforeAutospacing="0" w:after="0" w:afterAutospacing="0" w:line="270" w:lineRule="atLeast"/>
              <w:ind w:left="0" w:right="0" w:firstLine="0"/>
              <w:jc w:val="left"/>
              <w:rPr>
                <w:rFonts w:hint="eastAsia" w:ascii="微软雅黑" w:hAnsi="微软雅黑" w:eastAsia="微软雅黑" w:cs="微软雅黑"/>
                <w:b w:val="0"/>
                <w:i w:val="0"/>
                <w:caps w:val="0"/>
                <w:color w:val="656565"/>
                <w:spacing w:val="0"/>
                <w:sz w:val="18"/>
                <w:szCs w:val="18"/>
              </w:rPr>
            </w:pPr>
          </w:p>
        </w:tc>
        <w:tc>
          <w:tcPr>
            <w:tcW w:w="7715" w:type="dxa"/>
            <w:shd w:val="clear" w:color="auto" w:fill="FFFFFF"/>
            <w:vAlign w:val="center"/>
          </w:tcPr>
          <w:p>
            <w:pPr>
              <w:rPr>
                <w:rFonts w:hint="eastAsia" w:ascii="微软雅黑" w:hAnsi="微软雅黑" w:eastAsia="微软雅黑" w:cs="微软雅黑"/>
                <w:color w:val="343434"/>
                <w:sz w:val="19"/>
                <w:szCs w:val="19"/>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kern w:val="0"/>
          <w:sz w:val="21"/>
          <w:szCs w:val="21"/>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各省、自治区、直辖市、计划单列市财政厅(局)、发展改革委、司法厅(局)，中国人民银行上海总部、各分行、营业管理部、省会(首府)城市中心支行、副省级城市中心支行，各银监局、证监局：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2014年修订的预算法和《国务院关于加强地方政府性债务管理的意见》(国发〔2014〕43号)实施以来，地方各级政府加快建立规范的举债融资机制，积极发挥政府规范举债对经济社会发展的支持作用，防范化解财政金融风险，取得了阶段性成效。但个别地区违法违规举债担保时有发生，局部风险不容忽视。为贯彻落实党中央、国务院决策部署，牢牢守住不发生区域性系统性风险的底线，现就进一步规范地方政府举债融资行为有关事项通知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一、全面组织开展地方政府融资担保清理整改工作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各省级政府要认真落实国务院办公厅印发的《地方政府性债务风险应急处置预案》(国办函〔2016〕88号)要求，抓紧设立政府性债务管理领导小组，指导督促本级各部门和市县政府进一步完善风险防范机制，结合2016年开展的融资平台公司债务等统计情况，尽快组织一次地方政府及其部门融资担保行为摸底排查，督促相关部门、市县政府加强与社会资本方的平等协商，依法完善合同条款，分类妥善处置，全面改正地方政府不规范的融资担保行为。上述工作应当于2017年7月31日前清理整改到位，对逾期不改正或改正不到位的相关部门、市县政府，省级政府性债务管理领导小组应当提请省级政府依法依规追究相关责任人的责任。财政部驻各地财政监察专员办事处要密切跟踪地方工作进展，发现问题及时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二、切实加强融资平台公司融资管理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加快政府职能转变，处理好政府和市场的关系，进一步规范融资平台公司融资行为管理，推动融资平台公司尽快转型为市场化运营的国有企业、依法合规开展市场化融资，地方政府及其所属部门不得干预融资平台公司日常运营和市场化融资。地方政府不得将公益性资产、储备土地注入融资平台公司，不得承诺将储备土地预期出让收入作为融资平台公司偿债资金来源，不得利用政府性资源干预金融机构正常经营行为。金融机构应当依法合规支持融资平台公司市场化融资，服务实体经济发展。进一步健全信息披露机制，融资平台公司在境内外举债融资时，应当向债权人主动书面声明不承担政府融资职能，并明确自2015年1月1日起其新增债务依法不属于地方政府债务。金融机构应当严格规范融资管理，切实加强风险识别和防范，落实企业举债准入条件，按商业化原则履行相关程序，审慎评估举债人财务能力和还款来源。金融机构为融资平台公司等企业提供融资时，不得要求或接受地方政府及其所属部门以担保函、承诺函、安慰函等任何</w:t>
      </w:r>
      <w:bookmarkStart w:id="0" w:name="_GoBack"/>
      <w:bookmarkEnd w:id="0"/>
      <w:r>
        <w:rPr>
          <w:rFonts w:hint="eastAsia" w:ascii="微软雅黑" w:hAnsi="微软雅黑" w:eastAsia="微软雅黑" w:cs="微软雅黑"/>
          <w:color w:val="343434"/>
          <w:kern w:val="0"/>
          <w:sz w:val="21"/>
          <w:szCs w:val="21"/>
          <w:lang w:val="en-US" w:eastAsia="zh-CN" w:bidi="ar"/>
        </w:rPr>
        <w:t>形式提供担保。对地方政府违法违规举债担保形成的债务，按照《国务院办公厅关于印发地方政府性债务风险应急处置预案的通知》(国办函〔2016〕88号)、《财政部关于印发〈地方政府性债务风险分类处置指南〉的通知》(财预〔2016〕152号)依法妥善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三、规范政府与社会资本方的合作行为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地方政府应当规范政府和社会资本合作(PPP)。允许地方政府以单独出资或与社会资本共同出资方式设立各类投资基金，依法实行规范的市场化运作，按照利益共享、风险共担的原则，引导社会资本投资经济社会发展的重点领域和薄弱环节，政府可适当让利。地方政府不得以借贷资金出资设立各类投资基金，严禁地方政府利用PPP、政府出资的各类投资基金等方式违法违规变相举债，除国务院另有规定外，地方政府及其所属部门参与PPP项目、设立政府出资的各类投资基金时，不得以任何方式承诺回购社会资本方的投资本金，不得以任何方式承担社会资本方的投资本金损失，不得以任何方式向社会资本方承诺最低收益，不得对有限合伙制基金等任何股权投资方式额外附加条款变相举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四、进一步健全规范的地方政府举债融资机制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全面贯彻落实依法治国战略，严格执行预算法和国发〔2014〕43号文件规定，健全规范的地方政府举债融资机制，地方政府举债一律采取在国务院批准的限额内发行地方政府债券方式，除此以外地方政府及其所属部门不得以任何方式举借债务。地方政府及其所属部门不得以文件、会议纪要、领导批示等任何形式，要求或决定企业为政府举债或变相为政府举债。允许地方政府结合财力可能设立或参股担保公司(含各类融资担保基金公司)，构建市场化运作的融资担保体系，鼓励政府出资的担保公司依法依规提供融资担保服务，地方政府依法在出资范围内对担保公司承担责任。除外国政府和国际经济组织贷款转贷外，地方政府及其所属部门不得为任何单位和个人的债务以任何方式提供担保，不得承诺为其他任何单位和个人的融资承担偿债责任。地方政府应当科学制定债券发行计划，根据实际需求合理控制节奏和规模，提高债券透明度和资金使用效益，建立信息共享机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五、建立跨部门联合监测和防控机制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完善统计监测机制，由财政部门会同发展改革、人民银行、银监、证监等部门建设大数据监测平台，统计监测政府中长期支出事项以及融资平台公司举借或发行的银行贷款、资产管理产品、企业债券、公司债券、非金融企业债务融资工具等情况，加强部门信息共享和数据校验，定期通报监测结果。开展跨部门联合监管，建立财政、发展改革、司法行政机关、人民银行、银监、证监等部门以及注册会计师协会、资产评估协会、律师协会等行业自律组织参加的监管机制，对地方政府及其所属部门、融资平台公司、金融机构、中介机构、法律服务机构等的违法违规行为加强跨部门联合惩戒，形成监管合力。对地方政府及其所属部门违法违规举债或担保的，依法依规追究负有直接责任的主管人员和其他直接责任人员的责任；对融资平台公司从事或参与违法违规融资活动的，依法依规追究企业及其相关负责人责任；对金融机构违法违规向地方政府提供融资、要求或接受地方政府提供担保承诺的，依法依规追究金融机构及其相关负责人和授信审批人员责任；对中介机构、法律服务机构违法违规为融资平台公司出具审计报告、资产评估报告、信用评级报告、法律意见书等的，依法依规追究中介机构、法律服务机构及相关从业人员的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六、大力推进信息公开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地方各级政府要贯彻落实中共中央办公厅、国务院办公厅《关于全面推进政务公开工作的意见》等规定和要求，全面推进地方政府及其所属部门举债融资行为的决策、执行、管理、结果等公开，严格公开责任追究，回应社会关切，主动接受社会监督。继续完善地方政府债务信息公开制度，县级以上地方各级政府应当重点公开本地区政府债务限额和余额,以及本级政府债务的规模、种类、利率、期限、还本付息、用途等内容。省级财政部门应当参考国债发行做法，提前公布地方政府债务发行计划。推进政府购买服务公开，地方政府及其所属部门应当重点公开政府购买服务决策主体、购买主体、承接主体、服务内容、合同资金规模、分年财政资金安排、合同期限、绩效评价等内容。推进政府和社会资本合作(PPP)项目信息公开，地方政府及其所属部门应当重点公开政府和社会资本合作(PPP)项目决策主体、政府方和社会资本方信息、合作项目内容和财政承受能力论证、社会资本方采购信息、项目回报机制、合同期限、绩效评价等内容。推进融资平台公司名录公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各地区要充分认识规范地方政府举债融资行为的重要性，把防范风险放在更加重要的位置，省级政府性债务管理领导小组要切实担负起地方政府债务管理责任，进一步健全制度和机制，自觉维护总体国家安全，牢牢守住不发生区域性系统性风险的底线。各省(自治区、直辖市、计划单列市)政府性债务管理领导小组办公室应当汇总本地区举债融资行为清理整改工作情况，报省级政府同意后，于2017年8月31日前反馈财政部，抄送发展改革委、人民银行、银监会、证监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rPr>
          <w:rFonts w:hint="eastAsia" w:ascii="微软雅黑" w:hAnsi="微软雅黑" w:eastAsia="微软雅黑" w:cs="微软雅黑"/>
          <w:color w:val="343434"/>
          <w:sz w:val="21"/>
          <w:szCs w:val="21"/>
        </w:rPr>
      </w:pPr>
      <w:r>
        <w:rPr>
          <w:rFonts w:hint="eastAsia" w:ascii="微软雅黑" w:hAnsi="微软雅黑" w:eastAsia="微软雅黑" w:cs="微软雅黑"/>
          <w:color w:val="343434"/>
          <w:kern w:val="0"/>
          <w:sz w:val="21"/>
          <w:szCs w:val="21"/>
          <w:lang w:val="en-US" w:eastAsia="zh-CN" w:bidi="ar"/>
        </w:rPr>
        <w:t>　　特此通知。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left"/>
      </w:pPr>
      <w:r>
        <w:rPr>
          <w:rFonts w:hint="eastAsia" w:ascii="微软雅黑" w:hAnsi="微软雅黑" w:eastAsia="微软雅黑" w:cs="微软雅黑"/>
          <w:color w:val="343434"/>
          <w:kern w:val="0"/>
          <w:sz w:val="21"/>
          <w:szCs w:val="21"/>
          <w:lang w:val="en-US" w:eastAsia="zh-CN" w:bidi="ar"/>
        </w:rPr>
        <w:t>　　财政部  发展改革委  司法部  人民银行  银监会  证监会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AE4E30"/>
    <w:rsid w:val="55AE4E3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GIF"/><Relationship Id="rId4" Type="http://schemas.openxmlformats.org/officeDocument/2006/relationships/hyperlink" Target="http://blog.sina.com.cn/s/javascript:;"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2017-06-07T07:18:00Z</dcterms:created>
  <dc:creator>阮东平</dc:creator>
  <cp:lastModifiedBy>阮东平</cp:lastModifiedBy>
  <cp:lastPrinted>2017-06-07T07:28:59Z</cp:lastPrinted>
  <dcterms:modified xsi:type="dcterms:W3CDTF">2017-06-07T07:30:28Z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