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建设工程规划许可（县级权限）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【000115133005】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建设工程、临时建设工程规划许可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00011513300Y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建设工程规划许可（县级权限）【000115133005】</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（1）建设工程规划许可办理(00011513300501)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（2）建设工程规划许可变更(00011513300502)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（3）建设工程规划许可延期(00011513300503)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（4）建设工程规划许可注销(00011513300504)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w:t>
      </w:r>
      <w:r>
        <w:rPr>
          <w:rFonts w:hint="eastAsia" w:ascii="仿宋_GB2312" w:hAnsi="仿宋_GB2312" w:eastAsia="仿宋_GB2312" w:cs="仿宋_GB2312"/>
          <w:strike w:val="0"/>
          <w:dstrike w:val="0"/>
          <w:sz w:val="32"/>
          <w:szCs w:val="32"/>
          <w:lang w:val="en-US" w:eastAsia="zh-CN"/>
        </w:rPr>
        <w:t>中华人民共和国</w:t>
      </w:r>
      <w:r>
        <w:rPr>
          <w:rFonts w:hint="eastAsia" w:ascii="仿宋_GB2312" w:hAnsi="仿宋_GB2312" w:eastAsia="仿宋_GB2312" w:cs="仿宋_GB2312"/>
          <w:b w:val="0"/>
          <w:bCs w:val="0"/>
          <w:strike w:val="0"/>
          <w:dstrike w:val="0"/>
          <w:color w:val="auto"/>
          <w:sz w:val="32"/>
          <w:szCs w:val="32"/>
          <w:lang w:val="en-US" w:eastAsia="zh-CN"/>
        </w:rPr>
        <w:t>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sz w:val="32"/>
          <w:szCs w:val="32"/>
          <w:lang w:val="en-US" w:eastAsia="zh-CN"/>
        </w:rPr>
        <w:t>中华人民共和国</w:t>
      </w:r>
      <w:r>
        <w:rPr>
          <w:rFonts w:hint="eastAsia" w:ascii="仿宋_GB2312" w:hAnsi="仿宋_GB2312" w:eastAsia="仿宋_GB2312" w:cs="仿宋_GB2312"/>
          <w:b w:val="0"/>
          <w:bCs w:val="0"/>
          <w:strike w:val="0"/>
          <w:dstrike w:val="0"/>
          <w:color w:val="auto"/>
          <w:sz w:val="32"/>
          <w:szCs w:val="32"/>
          <w:lang w:val="en-US" w:eastAsia="zh-CN"/>
        </w:rPr>
        <w:t>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（3）《中华人民共和国城乡规划法》第六十四条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师宗县自然资源局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无对应政务服务事项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城市、县人民政府城乡规划主管部门或者省、自治区、直辖市人民政府确定的镇人民政府应当依法将经审定的修建性详细规划、建设工程设计方案的总平面图予以公布。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城市、县人民政府城乡规划主管部门或者省、自治区、直辖市人民政府确定的镇人民政府应当依法将经审定的修建性详细规划、建设工程设计方案的总平面图予以公布。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（3）审批机构审查。涉及需进行现场勘验、专家评审、听证、委托服务机构开展技术性服务的，按有关规定组织实施；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建设工程规划许可证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1年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default" w:ascii="仿宋_GB2312" w:hAnsi="仿宋_GB2312" w:eastAsia="仿宋_GB2312" w:cs="仿宋_GB2312"/>
          <w:b/>
          <w:bCs/>
          <w:strike w:val="0"/>
          <w:dstrike w:val="0"/>
          <w:color w:val="auto"/>
          <w:sz w:val="32"/>
          <w:szCs w:val="32"/>
          <w:lang w:val="en" w:eastAsia="zh-CN"/>
        </w:rPr>
        <w:t>:</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师宗县自然资源局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bookmarkStart w:id="0" w:name="_GoBack"/>
      <w:bookmarkEnd w:id="0"/>
      <w:r>
        <w:rPr>
          <w:rFonts w:hint="eastAsia" w:ascii="黑体" w:hAnsi="黑体" w:eastAsia="黑体" w:cs="黑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1.地方自然资源主管部门自行制定完善规划核实、放线验线等管理规程。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支持地方在已有探索成果基础上，巩固深化用地审批与规划许可融合管理成果。深化“带方案出让”土地制度，合理确定适用项目类型，在取得土地使用权后，可直接核发建设工程规划许可证；对于符合条件的建设项目，可“一次申请、合并办理”建设用地规划许可证和建设工程规划许可证；推行告知承诺制，通过“事前承诺、事后监管”，进一步提升审批效率；可结合地方管理实际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2A43210"/>
    <w:rsid w:val="22A538B2"/>
    <w:rsid w:val="2A690FE4"/>
    <w:rsid w:val="45381F81"/>
    <w:rsid w:val="4A1947CF"/>
    <w:rsid w:val="52090D8E"/>
    <w:rsid w:val="5AE30C76"/>
    <w:rsid w:val="76601F15"/>
    <w:rsid w:val="B7FFA415"/>
    <w:rsid w:val="EE477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lenovo</cp:lastModifiedBy>
  <dcterms:modified xsi:type="dcterms:W3CDTF">2023-12-14T01:20:19Z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