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560"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师宗县保留由申请人委托中介服务机构开展的</w:t>
      </w:r>
    </w:p>
    <w:p>
      <w:pPr>
        <w:spacing w:line="560"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行政审批中介服务事项目录（2021年版）</w:t>
      </w:r>
    </w:p>
    <w:p>
      <w:pPr>
        <w:spacing w:line="560" w:lineRule="exact"/>
        <w:jc w:val="center"/>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（共27项）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7"/>
        <w:gridCol w:w="1206"/>
        <w:gridCol w:w="1587"/>
        <w:gridCol w:w="1083"/>
        <w:gridCol w:w="1404"/>
        <w:gridCol w:w="732"/>
        <w:gridCol w:w="2589"/>
        <w:gridCol w:w="990"/>
        <w:gridCol w:w="975"/>
        <w:gridCol w:w="975"/>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tblHeader/>
          <w:jc w:val="center"/>
        </w:trPr>
        <w:tc>
          <w:tcPr>
            <w:tcW w:w="617" w:type="dxa"/>
            <w:vMerge w:val="restart"/>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序号</w:t>
            </w:r>
          </w:p>
        </w:tc>
        <w:tc>
          <w:tcPr>
            <w:tcW w:w="1206" w:type="dxa"/>
            <w:vMerge w:val="restart"/>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行政审批中介服务事项名称</w:t>
            </w:r>
          </w:p>
        </w:tc>
        <w:tc>
          <w:tcPr>
            <w:tcW w:w="4806" w:type="dxa"/>
            <w:gridSpan w:val="4"/>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涉及行政许可事项</w:t>
            </w:r>
          </w:p>
        </w:tc>
        <w:tc>
          <w:tcPr>
            <w:tcW w:w="2589" w:type="dxa"/>
            <w:vMerge w:val="restart"/>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中介服务设定依据</w:t>
            </w:r>
          </w:p>
        </w:tc>
        <w:tc>
          <w:tcPr>
            <w:tcW w:w="990" w:type="dxa"/>
            <w:vMerge w:val="restart"/>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中介服务机构</w:t>
            </w:r>
          </w:p>
        </w:tc>
        <w:tc>
          <w:tcPr>
            <w:tcW w:w="975" w:type="dxa"/>
            <w:vMerge w:val="restart"/>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收费性质</w:t>
            </w:r>
          </w:p>
        </w:tc>
        <w:tc>
          <w:tcPr>
            <w:tcW w:w="975" w:type="dxa"/>
            <w:vMerge w:val="restart"/>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中介服务结果要件</w:t>
            </w:r>
          </w:p>
        </w:tc>
        <w:tc>
          <w:tcPr>
            <w:tcW w:w="1759" w:type="dxa"/>
            <w:vMerge w:val="restart"/>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tblHeader/>
          <w:jc w:val="center"/>
        </w:trPr>
        <w:tc>
          <w:tcPr>
            <w:tcW w:w="617" w:type="dxa"/>
            <w:vMerge w:val="continue"/>
            <w:noWrap w:val="0"/>
            <w:vAlign w:val="center"/>
          </w:tcPr>
          <w:p>
            <w:pPr>
              <w:widowControl/>
              <w:spacing w:line="300" w:lineRule="exact"/>
              <w:jc w:val="center"/>
              <w:rPr>
                <w:rFonts w:hint="default" w:ascii="Times New Roman" w:hAnsi="Times New Roman" w:eastAsia="方正黑体_GBK" w:cs="Times New Roman"/>
                <w:kern w:val="0"/>
                <w:szCs w:val="21"/>
              </w:rPr>
            </w:pPr>
          </w:p>
        </w:tc>
        <w:tc>
          <w:tcPr>
            <w:tcW w:w="1206" w:type="dxa"/>
            <w:vMerge w:val="continue"/>
            <w:noWrap w:val="0"/>
            <w:vAlign w:val="center"/>
          </w:tcPr>
          <w:p>
            <w:pPr>
              <w:widowControl/>
              <w:spacing w:line="300" w:lineRule="exact"/>
              <w:jc w:val="center"/>
              <w:rPr>
                <w:rFonts w:hint="default" w:ascii="Times New Roman" w:hAnsi="Times New Roman" w:eastAsia="方正黑体_GBK" w:cs="Times New Roman"/>
                <w:kern w:val="0"/>
                <w:szCs w:val="21"/>
              </w:rPr>
            </w:pPr>
          </w:p>
        </w:tc>
        <w:tc>
          <w:tcPr>
            <w:tcW w:w="1587" w:type="dxa"/>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主项名称</w:t>
            </w:r>
          </w:p>
        </w:tc>
        <w:tc>
          <w:tcPr>
            <w:tcW w:w="1083" w:type="dxa"/>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子项名称</w:t>
            </w:r>
          </w:p>
        </w:tc>
        <w:tc>
          <w:tcPr>
            <w:tcW w:w="1404" w:type="dxa"/>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业务指导（实施）部门</w:t>
            </w:r>
          </w:p>
        </w:tc>
        <w:tc>
          <w:tcPr>
            <w:tcW w:w="732" w:type="dxa"/>
            <w:noWrap w:val="0"/>
            <w:vAlign w:val="center"/>
          </w:tcPr>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行使</w:t>
            </w:r>
          </w:p>
          <w:p>
            <w:pPr>
              <w:widowControl/>
              <w:spacing w:line="300" w:lineRule="exact"/>
              <w:jc w:val="center"/>
              <w:rPr>
                <w:rFonts w:hint="default" w:ascii="Times New Roman" w:hAnsi="Times New Roman" w:eastAsia="方正黑体_GBK" w:cs="Times New Roman"/>
                <w:kern w:val="0"/>
                <w:szCs w:val="21"/>
              </w:rPr>
            </w:pPr>
            <w:r>
              <w:rPr>
                <w:rFonts w:hint="default" w:ascii="Times New Roman" w:hAnsi="Times New Roman" w:eastAsia="方正黑体_GBK" w:cs="Times New Roman"/>
                <w:kern w:val="0"/>
                <w:szCs w:val="21"/>
              </w:rPr>
              <w:t>层级</w:t>
            </w:r>
          </w:p>
        </w:tc>
        <w:tc>
          <w:tcPr>
            <w:tcW w:w="2589" w:type="dxa"/>
            <w:vMerge w:val="continue"/>
            <w:noWrap w:val="0"/>
            <w:vAlign w:val="center"/>
          </w:tcPr>
          <w:p>
            <w:pPr>
              <w:widowControl/>
              <w:spacing w:line="300" w:lineRule="exact"/>
              <w:rPr>
                <w:rFonts w:hint="default" w:ascii="Times New Roman" w:hAnsi="Times New Roman" w:eastAsia="方正黑体_GBK" w:cs="Times New Roman"/>
                <w:kern w:val="0"/>
                <w:szCs w:val="21"/>
              </w:rPr>
            </w:pPr>
          </w:p>
        </w:tc>
        <w:tc>
          <w:tcPr>
            <w:tcW w:w="990" w:type="dxa"/>
            <w:vMerge w:val="continue"/>
            <w:noWrap w:val="0"/>
            <w:vAlign w:val="center"/>
          </w:tcPr>
          <w:p>
            <w:pPr>
              <w:widowControl/>
              <w:spacing w:line="300" w:lineRule="exact"/>
              <w:rPr>
                <w:rFonts w:hint="default" w:ascii="Times New Roman" w:hAnsi="Times New Roman" w:eastAsia="方正黑体_GBK" w:cs="Times New Roman"/>
                <w:kern w:val="0"/>
                <w:szCs w:val="21"/>
              </w:rPr>
            </w:pPr>
          </w:p>
        </w:tc>
        <w:tc>
          <w:tcPr>
            <w:tcW w:w="975" w:type="dxa"/>
            <w:vMerge w:val="continue"/>
            <w:noWrap w:val="0"/>
            <w:vAlign w:val="center"/>
          </w:tcPr>
          <w:p>
            <w:pPr>
              <w:widowControl/>
              <w:spacing w:line="300" w:lineRule="exact"/>
              <w:rPr>
                <w:rFonts w:hint="default" w:ascii="Times New Roman" w:hAnsi="Times New Roman" w:eastAsia="方正黑体_GBK" w:cs="Times New Roman"/>
                <w:kern w:val="0"/>
                <w:szCs w:val="21"/>
              </w:rPr>
            </w:pPr>
          </w:p>
        </w:tc>
        <w:tc>
          <w:tcPr>
            <w:tcW w:w="975" w:type="dxa"/>
            <w:vMerge w:val="continue"/>
            <w:noWrap w:val="0"/>
            <w:vAlign w:val="center"/>
          </w:tcPr>
          <w:p>
            <w:pPr>
              <w:widowControl/>
              <w:spacing w:line="300" w:lineRule="exact"/>
              <w:rPr>
                <w:rFonts w:hint="default" w:ascii="Times New Roman" w:hAnsi="Times New Roman" w:eastAsia="方正黑体_GBK" w:cs="Times New Roman"/>
                <w:kern w:val="0"/>
                <w:szCs w:val="21"/>
              </w:rPr>
            </w:pPr>
          </w:p>
        </w:tc>
        <w:tc>
          <w:tcPr>
            <w:tcW w:w="1759" w:type="dxa"/>
            <w:vMerge w:val="continue"/>
            <w:noWrap w:val="0"/>
            <w:vAlign w:val="center"/>
          </w:tcPr>
          <w:p>
            <w:pPr>
              <w:widowControl/>
              <w:spacing w:line="300" w:lineRule="exact"/>
              <w:rPr>
                <w:rFonts w:hint="default" w:ascii="Times New Roman" w:hAnsi="Times New Roman" w:eastAsia="方正黑体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30" w:hRule="atLeast"/>
          <w:jc w:val="center"/>
        </w:trPr>
        <w:tc>
          <w:tcPr>
            <w:tcW w:w="617" w:type="dxa"/>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w:t>
            </w:r>
          </w:p>
        </w:tc>
        <w:tc>
          <w:tcPr>
            <w:tcW w:w="1206" w:type="dxa"/>
            <w:tcBorders>
              <w:top w:val="single" w:color="auto" w:sz="4" w:space="0"/>
              <w:left w:val="single" w:color="auto" w:sz="4" w:space="0"/>
              <w:right w:val="single" w:color="auto" w:sz="4" w:space="0"/>
            </w:tcBorders>
            <w:noWrap w:val="0"/>
            <w:vAlign w:val="center"/>
          </w:tcPr>
          <w:p>
            <w:pPr>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举办民办学校验资</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实施中等及中等以下学历教育、学前教育、自学考试助学及其他文化教育的学校设立、变更和终止审批</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县教体局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《中华人民共和国中外合作办学条例》</w:t>
            </w:r>
          </w:p>
          <w:p>
            <w:pPr>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《中华人民共和国民办教育促进法实施条例》</w:t>
            </w:r>
          </w:p>
        </w:tc>
        <w:tc>
          <w:tcPr>
            <w:tcW w:w="990" w:type="dxa"/>
            <w:tcBorders>
              <w:top w:val="single" w:color="auto" w:sz="4" w:space="0"/>
              <w:left w:val="single" w:color="auto" w:sz="4" w:space="0"/>
              <w:right w:val="single" w:color="auto" w:sz="4" w:space="0"/>
            </w:tcBorders>
            <w:noWrap w:val="0"/>
            <w:vAlign w:val="center"/>
          </w:tcPr>
          <w:p>
            <w:pPr>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法定验资机构</w:t>
            </w:r>
          </w:p>
        </w:tc>
        <w:tc>
          <w:tcPr>
            <w:tcW w:w="975" w:type="dxa"/>
            <w:tcBorders>
              <w:top w:val="single" w:color="auto" w:sz="4" w:space="0"/>
              <w:left w:val="single" w:color="auto" w:sz="4" w:space="0"/>
              <w:right w:val="single" w:color="auto" w:sz="4" w:space="0"/>
            </w:tcBorders>
            <w:noWrap w:val="0"/>
            <w:vAlign w:val="center"/>
          </w:tcPr>
          <w:p>
            <w:pPr>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right w:val="single" w:color="auto" w:sz="4" w:space="0"/>
            </w:tcBorders>
            <w:noWrap w:val="0"/>
            <w:vAlign w:val="center"/>
          </w:tcPr>
          <w:p>
            <w:pPr>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验资报告</w:t>
            </w:r>
          </w:p>
        </w:tc>
        <w:tc>
          <w:tcPr>
            <w:tcW w:w="1759"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62"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教师资格认定身体条件检查</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教师资格认定</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县教体局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《教师资格条例》</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《〈教师资格条例〉实施办法》（教育部令第10号）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具备健康体检资格的医疗机构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政府指导价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体格检查证明</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定价依据：《云南省发展和改革委员会 云南省卫生厅关于规范和调整非营利性医疗服务价格的通知》（云发改收费〔2005〕556号）等相关医疗服务价格文件。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64" w:hRule="atLeast"/>
          <w:jc w:val="center"/>
        </w:trPr>
        <w:tc>
          <w:tcPr>
            <w:tcW w:w="617"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3</w:t>
            </w:r>
          </w:p>
        </w:tc>
        <w:tc>
          <w:tcPr>
            <w:tcW w:w="1206"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机动车安全技术检验</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机动车登记</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县公安局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《中华人民共和国道路交通安全法实施条例》</w:t>
            </w:r>
          </w:p>
        </w:tc>
        <w:tc>
          <w:tcPr>
            <w:tcW w:w="990"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机动车安全技术检验机构</w:t>
            </w:r>
          </w:p>
        </w:tc>
        <w:tc>
          <w:tcPr>
            <w:tcW w:w="975"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机动车安全技术检验合格证明</w:t>
            </w:r>
          </w:p>
        </w:tc>
        <w:tc>
          <w:tcPr>
            <w:tcW w:w="1759" w:type="dxa"/>
            <w:vMerge w:val="restart"/>
            <w:tcBorders>
              <w:top w:val="single" w:color="auto" w:sz="4" w:space="0"/>
              <w:left w:val="single" w:color="auto" w:sz="4" w:space="0"/>
              <w:right w:val="single" w:color="auto" w:sz="4" w:space="0"/>
            </w:tcBorders>
            <w:noWrap w:val="0"/>
            <w:vAlign w:val="center"/>
          </w:tcPr>
          <w:p>
            <w:pPr>
              <w:widowControl/>
              <w:spacing w:line="26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与交通运输部门的行政审批中介服务事项“营运车辆技术等级评定”合并实施，不得重复收费。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64" w:hRule="atLeast"/>
          <w:jc w:val="center"/>
        </w:trPr>
        <w:tc>
          <w:tcPr>
            <w:tcW w:w="617"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p>
        </w:tc>
        <w:tc>
          <w:tcPr>
            <w:tcW w:w="1206"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机动车检验合格标志核发</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县公安局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《中华人民共和国道路交通安全法》</w:t>
            </w:r>
          </w:p>
        </w:tc>
        <w:tc>
          <w:tcPr>
            <w:tcW w:w="990"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759"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11"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4</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机动车驾驶人身体条件检查</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机动车驾驶证核发、审验</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县公安局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《中华人民共和国道路交通安全法实施条例》</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《机动车驾驶证申领和使用规定》（公安部令第123号发布，公安部令第139号修正）</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具备健康体检资格的医疗机构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政府指导价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身体条件证明</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定价依据：《云南省发展和改革委员会 云南省卫生厅关于规范和调整非营利性医疗服务价格的通知》（云发改收费〔2005〕556号）等相关医疗服务价格文件。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63" w:hRule="atLeast"/>
          <w:jc w:val="center"/>
        </w:trPr>
        <w:tc>
          <w:tcPr>
            <w:tcW w:w="617" w:type="dxa"/>
            <w:vMerge w:val="restart"/>
            <w:tcBorders>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5</w:t>
            </w:r>
          </w:p>
        </w:tc>
        <w:tc>
          <w:tcPr>
            <w:tcW w:w="1206" w:type="dxa"/>
            <w:vMerge w:val="restart"/>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非营利法人登记验资</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社会团体成立、变更、注销登记</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《社会团体登记管理条例》</w:t>
            </w:r>
          </w:p>
        </w:tc>
        <w:tc>
          <w:tcPr>
            <w:tcW w:w="990" w:type="dxa"/>
            <w:vMerge w:val="restart"/>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法定验资机构</w:t>
            </w:r>
          </w:p>
        </w:tc>
        <w:tc>
          <w:tcPr>
            <w:tcW w:w="975" w:type="dxa"/>
            <w:vMerge w:val="restart"/>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vMerge w:val="restart"/>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资产评估报告</w:t>
            </w:r>
          </w:p>
        </w:tc>
        <w:tc>
          <w:tcPr>
            <w:tcW w:w="1759" w:type="dxa"/>
            <w:vMerge w:val="restart"/>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85" w:hRule="atLeast"/>
          <w:jc w:val="center"/>
        </w:trPr>
        <w:tc>
          <w:tcPr>
            <w:tcW w:w="617"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p>
        </w:tc>
        <w:tc>
          <w:tcPr>
            <w:tcW w:w="1206"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民办非企业单位成立、变更、注销登记</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《民办非企业单位登记管理暂行条例》</w:t>
            </w:r>
          </w:p>
        </w:tc>
        <w:tc>
          <w:tcPr>
            <w:tcW w:w="990"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759"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68"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6</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慈善组织申请公开募捐财务审计</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公开募捐资格审核</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《中华人民共和国慈善法》</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《慈善组织公开募捐管理办法》（民政部令第59号）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具备相应资质的审计机构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财务审计报告</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98" w:hRule="atLeast"/>
          <w:jc w:val="center"/>
        </w:trPr>
        <w:tc>
          <w:tcPr>
            <w:tcW w:w="617" w:type="dxa"/>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7</w:t>
            </w:r>
          </w:p>
        </w:tc>
        <w:tc>
          <w:tcPr>
            <w:tcW w:w="1206"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民办职业技能培训学校举办验资</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民办职业培训学校设立、分立、合并、变更及终止审批</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《中华人民共和国民办教育促进法》</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《中华人民共和国民办教育促进法实施条例》</w:t>
            </w:r>
          </w:p>
        </w:tc>
        <w:tc>
          <w:tcPr>
            <w:tcW w:w="990"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法定验资机构</w:t>
            </w:r>
          </w:p>
        </w:tc>
        <w:tc>
          <w:tcPr>
            <w:tcW w:w="975"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验资报告</w:t>
            </w:r>
          </w:p>
        </w:tc>
        <w:tc>
          <w:tcPr>
            <w:tcW w:w="1759"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58"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8</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劳务派遣公司验资或者财务审计</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劳务派遣经营许可</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《中华人民共和国劳动合同法》</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《劳务派遣行政许可实施办法》（人力资源和社会保障部令第19号）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法定验资机构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验资报告或财务审计报告</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17"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9</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地质灾害易发区建设项目地质灾害危险性评估</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建设项目用地预审与选址意见书核发</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县自然资源局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《地质灾害防治条例》</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《建设项目用地预审管理办法》（国土资源部令第42号发布，国土资源部令第68号修正）</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具备相应资质的地质灾害危险性评估单位</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建设项目地质灾害危险性评估报告</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申请人在办理用地预审与选址意见书核发手续后，应当在用地报批阶段提供建设项目地质灾害危险性评估报告。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11" w:hRule="atLeast"/>
          <w:jc w:val="center"/>
        </w:trPr>
        <w:tc>
          <w:tcPr>
            <w:tcW w:w="617"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10</w:t>
            </w:r>
          </w:p>
        </w:tc>
        <w:tc>
          <w:tcPr>
            <w:tcW w:w="1206"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施工图设计文件（含勘察文件）联合审查</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建筑工程施工许可证核发</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《中华人民共和国消防法》</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《建设工程勘察设计管理条例》</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《建设工程质量管理条例》</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《房屋建筑和市政基础设施工程施工图设计文件审查管理办法》（住房和城乡建设部令第13号发布，住房和城乡建设部令第46号修正）</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《建设工程消防设计审查验收管理暂行规定》（住房和城乡建设部令第51号）</w:t>
            </w:r>
          </w:p>
        </w:tc>
        <w:tc>
          <w:tcPr>
            <w:tcW w:w="990"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施工图审查机构</w:t>
            </w:r>
          </w:p>
        </w:tc>
        <w:tc>
          <w:tcPr>
            <w:tcW w:w="975"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施工图设计文件（含勘察文件）审查合格书</w:t>
            </w:r>
          </w:p>
        </w:tc>
        <w:tc>
          <w:tcPr>
            <w:tcW w:w="1759"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61" w:hRule="atLeast"/>
          <w:jc w:val="center"/>
        </w:trPr>
        <w:tc>
          <w:tcPr>
            <w:tcW w:w="617"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p>
        </w:tc>
        <w:tc>
          <w:tcPr>
            <w:tcW w:w="1206"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建设工程消防设计审查及验收</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建设工程消防设计审查</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县住建局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90"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759"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45"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11</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建设工程消防设施检测</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建设工程消防设计审查及验收</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建设工程消防验收</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县住建局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《中华人民共和国消防法》</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《建设工程消防设计审查验收管理暂行规定》（住房和城乡建设部令第51号）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具备相应资质的检测单位</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消防设施检测报告</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p>
            <w:pPr>
              <w:widowControl/>
              <w:spacing w:line="300" w:lineRule="exact"/>
              <w:rPr>
                <w:rFonts w:hint="default" w:ascii="Times New Roman" w:hAnsi="Times New Roman" w:eastAsia="方正仿宋_GBK" w:cs="Times New Roman"/>
                <w:kern w:val="0"/>
                <w:szCs w:val="21"/>
              </w:rPr>
            </w:pPr>
          </w:p>
          <w:p>
            <w:pPr>
              <w:widowControl/>
              <w:spacing w:line="300" w:lineRule="exact"/>
              <w:rPr>
                <w:rFonts w:hint="default" w:ascii="Times New Roman" w:hAnsi="Times New Roman" w:eastAsia="方正仿宋_GBK" w:cs="Times New Roman"/>
                <w:kern w:val="0"/>
                <w:szCs w:val="21"/>
              </w:rPr>
            </w:pPr>
          </w:p>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0"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12</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燃气设施安全评价</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燃气经营许可证核发</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《中华人民共和国安全生产法》</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《城镇燃气管理条例》</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具备相应资质的安全评价机构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燃气设施安全评价报告</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p>
            <w:pPr>
              <w:widowControl/>
              <w:spacing w:line="300" w:lineRule="exact"/>
              <w:rPr>
                <w:rFonts w:hint="default" w:ascii="Times New Roman" w:hAnsi="Times New Roman" w:eastAsia="方正仿宋_GBK" w:cs="Times New Roman"/>
                <w:kern w:val="0"/>
                <w:szCs w:val="21"/>
              </w:rPr>
            </w:pPr>
          </w:p>
          <w:p>
            <w:pPr>
              <w:widowControl/>
              <w:spacing w:line="300" w:lineRule="exact"/>
              <w:rPr>
                <w:rFonts w:hint="default" w:ascii="Times New Roman" w:hAnsi="Times New Roman" w:eastAsia="方正仿宋_GBK" w:cs="Times New Roman"/>
                <w:kern w:val="0"/>
                <w:szCs w:val="21"/>
              </w:rPr>
            </w:pPr>
          </w:p>
          <w:p>
            <w:pPr>
              <w:widowControl/>
              <w:spacing w:line="300" w:lineRule="exact"/>
              <w:rPr>
                <w:rFonts w:hint="default" w:ascii="Times New Roman" w:hAnsi="Times New Roman" w:eastAsia="方正仿宋_GBK" w:cs="Times New Roman"/>
                <w:kern w:val="0"/>
                <w:szCs w:val="21"/>
              </w:rPr>
            </w:pPr>
          </w:p>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91" w:hRule="atLeast"/>
          <w:jc w:val="center"/>
        </w:trPr>
        <w:tc>
          <w:tcPr>
            <w:tcW w:w="617"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13</w:t>
            </w:r>
          </w:p>
        </w:tc>
        <w:tc>
          <w:tcPr>
            <w:tcW w:w="1206"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营运车辆技术等级评定</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道路旅客运输及客运站经营许可</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道路旅客运输经营许可</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县交通运输局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《中华人民共和国道路运输条例》</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《道路运输车辆技术管理规定》（交通运输部令2016年第1号发布，交通运输部令2019年第19号修正）</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《云南省道路运输条例》</w:t>
            </w:r>
          </w:p>
        </w:tc>
        <w:tc>
          <w:tcPr>
            <w:tcW w:w="990"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机动车综合性能检测机构</w:t>
            </w:r>
          </w:p>
        </w:tc>
        <w:tc>
          <w:tcPr>
            <w:tcW w:w="975"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签注了车辆技术等级的机动车安全技术检验报告</w:t>
            </w:r>
          </w:p>
        </w:tc>
        <w:tc>
          <w:tcPr>
            <w:tcW w:w="1759"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与公安部门的行政审批中介服务事项“机动车安全技术检验”合并实施，不得重复收费。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86" w:hRule="atLeast"/>
          <w:jc w:val="center"/>
        </w:trPr>
        <w:tc>
          <w:tcPr>
            <w:tcW w:w="617" w:type="dxa"/>
            <w:vMerge w:val="continue"/>
            <w:tcBorders>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p>
        </w:tc>
        <w:tc>
          <w:tcPr>
            <w:tcW w:w="1206"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587"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道路货物运输许可</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道路货运经营许可</w:t>
            </w:r>
          </w:p>
        </w:tc>
        <w:tc>
          <w:tcPr>
            <w:tcW w:w="1404" w:type="dxa"/>
            <w:tcBorders>
              <w:top w:val="single" w:color="auto" w:sz="4" w:space="0"/>
              <w:left w:val="single" w:color="auto" w:sz="4" w:space="0"/>
              <w:right w:val="single" w:color="auto" w:sz="4" w:space="0"/>
            </w:tcBorders>
            <w:noWrap w:val="0"/>
            <w:vAlign w:val="top"/>
          </w:tcPr>
          <w:p>
            <w:pPr>
              <w:rPr>
                <w:rFonts w:hint="default" w:ascii="Times New Roman" w:hAnsi="Times New Roman" w:eastAsia="方正仿宋_GBK" w:cs="Times New Roman"/>
                <w:kern w:val="0"/>
                <w:szCs w:val="21"/>
              </w:rPr>
            </w:pPr>
          </w:p>
          <w:p>
            <w:pPr>
              <w:rPr>
                <w:rFonts w:hint="default" w:ascii="Times New Roman" w:hAnsi="Times New Roman" w:cs="Times New Roman"/>
              </w:rPr>
            </w:pPr>
            <w:r>
              <w:rPr>
                <w:rFonts w:hint="default" w:ascii="Times New Roman" w:hAnsi="Times New Roman" w:eastAsia="方正仿宋_GBK" w:cs="Times New Roman"/>
                <w:kern w:val="0"/>
                <w:szCs w:val="21"/>
              </w:rPr>
              <w:t>县交通运输局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90"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759"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49" w:hRule="atLeast"/>
          <w:jc w:val="center"/>
        </w:trPr>
        <w:tc>
          <w:tcPr>
            <w:tcW w:w="617" w:type="dxa"/>
            <w:vMerge w:val="continue"/>
            <w:tcBorders>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p>
        </w:tc>
        <w:tc>
          <w:tcPr>
            <w:tcW w:w="1206"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587"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网络货运经营许可</w:t>
            </w:r>
          </w:p>
        </w:tc>
        <w:tc>
          <w:tcPr>
            <w:tcW w:w="1404" w:type="dxa"/>
            <w:tcBorders>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kern w:val="0"/>
                <w:szCs w:val="21"/>
              </w:rPr>
            </w:pPr>
          </w:p>
          <w:p>
            <w:pPr>
              <w:rPr>
                <w:rFonts w:hint="default" w:ascii="Times New Roman" w:hAnsi="Times New Roman" w:cs="Times New Roman"/>
              </w:rPr>
            </w:pPr>
            <w:r>
              <w:rPr>
                <w:rFonts w:hint="default" w:ascii="Times New Roman" w:hAnsi="Times New Roman" w:eastAsia="方正仿宋_GBK" w:cs="Times New Roman"/>
                <w:kern w:val="0"/>
                <w:szCs w:val="21"/>
              </w:rPr>
              <w:t>县交通运输局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90"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759"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2" w:hRule="atLeast"/>
          <w:jc w:val="center"/>
        </w:trPr>
        <w:tc>
          <w:tcPr>
            <w:tcW w:w="617"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p>
        </w:tc>
        <w:tc>
          <w:tcPr>
            <w:tcW w:w="1206"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机动车驾驶员培训许可</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方正仿宋_GBK" w:cs="Times New Roman"/>
                <w:kern w:val="0"/>
                <w:szCs w:val="21"/>
              </w:rPr>
            </w:pPr>
          </w:p>
          <w:p>
            <w:pPr>
              <w:rPr>
                <w:rFonts w:hint="default" w:ascii="Times New Roman" w:hAnsi="Times New Roman" w:cs="Times New Roman"/>
              </w:rPr>
            </w:pPr>
            <w:r>
              <w:rPr>
                <w:rFonts w:hint="default" w:ascii="Times New Roman" w:hAnsi="Times New Roman" w:eastAsia="方正仿宋_GBK" w:cs="Times New Roman"/>
                <w:kern w:val="0"/>
                <w:szCs w:val="21"/>
              </w:rPr>
              <w:t>县交通运输局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90"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759"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14</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公路建设项目竣工质量检测</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公路、水运、铁路、城市轨道交通建设工程竣工验收</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公路建设项目竣工验收</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《中华人民共和国公路法》</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《公路水运工程质量监督管理规定》（交通运输部令2017年第28号）</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《公路工程竣（交）工验收办法》（交通部令2004年第3号）</w:t>
            </w:r>
          </w:p>
          <w:p>
            <w:pPr>
              <w:widowControl/>
              <w:spacing w:line="300" w:lineRule="exact"/>
              <w:rPr>
                <w:rFonts w:hint="default" w:ascii="Times New Roman" w:hAnsi="Times New Roman" w:eastAsia="方正仿宋_GBK" w:cs="Times New Roman"/>
                <w:kern w:val="0"/>
                <w:szCs w:val="21"/>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交通运输主管部门委托的建设工程质量监督机构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工程质量鉴定报告</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31"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15</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水利基建项目初步设计文件编制</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水利基建项目初步设计文件审批</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《国务院对确需保留的行政审批项目设定行政许可的决定》</w:t>
            </w:r>
          </w:p>
          <w:p>
            <w:pPr>
              <w:widowControl/>
              <w:spacing w:line="26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《水利工程建设程序管理暂行规定》（水利部水建〔1998〕16号发布，水利部令第46号第一次修正，水利部令第48号第二次修正，水利部令第49号第三次修正，水利部令第50号第四次修正）</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具备相应资质的设计单位</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水利基建项目初步设计文件</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16</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建设工程文物考古调查、勘探</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建设工程文物保护和考古许可</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《中华人民共和国文物保护法》</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《云南省建设工程文物保护规定》（云南省人民政府令第139号）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具有相应资质的文物考古发掘单位</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建设工程文物考古调查、勘探报告</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23"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17</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放射诊疗建设项目职业病危害放射防护预评价</w:t>
            </w:r>
          </w:p>
        </w:tc>
        <w:tc>
          <w:tcPr>
            <w:tcW w:w="1587"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放射诊疗许可</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医疗机构放射性职业病危害建设项目预评价报告审核</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《中华人民共和国职业病防治法》</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《放射诊疗管理规定》（卫生部令第46号发布，国家卫生和计划生育委员会令第8号修正）</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《卫生部关于印发〈放射卫生技术服务机构管理办法〉等文件的通知》（卫监督发〔2012〕25号）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具备相应资质的放射卫生技术服务机构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建设项目职业病危害放射防护预评价报告书（表）</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613"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18</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放射诊疗建设项目职业病危害控制效果放射防护评价</w:t>
            </w:r>
          </w:p>
        </w:tc>
        <w:tc>
          <w:tcPr>
            <w:tcW w:w="1587"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083"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医疗机构放射性职业病危害建设项目竣工验收</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《中华人民共和国职业病防治法》</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《放射诊疗管理规定》（卫生部令第46号发布，国家卫生和计划生育委员会令第8号修正）</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《卫生部关于印发〈放射卫生技术服务机构管理办法〉等文件的通知》（卫监督发〔2012〕25号）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具备相应资质的放射卫生技术服务机构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建设项目职业病危害控制效果评价报告书（表）</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38"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19</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立体定向放射治疗、质子治疗、重离子治疗、带回旋加速器的正电子发射断层扫描诊断等放射诊疗建设项目竣工验收前设备性能检测</w:t>
            </w:r>
          </w:p>
        </w:tc>
        <w:tc>
          <w:tcPr>
            <w:tcW w:w="1587" w:type="dxa"/>
            <w:vMerge w:val="restart"/>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放射诊疗许可</w:t>
            </w:r>
          </w:p>
        </w:tc>
        <w:tc>
          <w:tcPr>
            <w:tcW w:w="1083" w:type="dxa"/>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医疗机构放射性职业病危害建设项目竣工验收</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具备相应资质的放射卫生技术服务机构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设备性能检测报告</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526"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20</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放射诊疗设备性能与辐射工作场所检测</w:t>
            </w:r>
          </w:p>
        </w:tc>
        <w:tc>
          <w:tcPr>
            <w:tcW w:w="1587"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放射源诊疗技术和医用辐射机构许可</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县行政审批局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《放射性同位素与射线装置安全和防护条例》</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《放射诊疗管理规定》（卫生部令第46号发布，国家卫生和计划生育委员会令第8号修正）</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具备相应资质的放射卫生技术服务机构</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工作场所检测报告</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83"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21</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医师执业逾期注册或重新注册培训考核</w:t>
            </w:r>
          </w:p>
        </w:tc>
        <w:tc>
          <w:tcPr>
            <w:tcW w:w="1587"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医师执业注册（含外籍医师、港澳台医师短期执业许可）</w:t>
            </w:r>
          </w:p>
        </w:tc>
        <w:tc>
          <w:tcPr>
            <w:tcW w:w="1083"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医师执业注册</w:t>
            </w:r>
          </w:p>
        </w:tc>
        <w:tc>
          <w:tcPr>
            <w:tcW w:w="1404"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县卫健局</w:t>
            </w:r>
          </w:p>
        </w:tc>
        <w:tc>
          <w:tcPr>
            <w:tcW w:w="732"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《中华人民共和国执业医师法》</w:t>
            </w:r>
          </w:p>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《医师执业注册管理办法》（国家卫生和计划生育委员会令第13号）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县级以上卫生健康行政部门委托的机构或组织</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培训考核合格证明</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891"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22</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医师执业变更注册培训考核</w:t>
            </w:r>
          </w:p>
        </w:tc>
        <w:tc>
          <w:tcPr>
            <w:tcW w:w="1587"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083" w:type="dxa"/>
            <w:vMerge w:val="continue"/>
            <w:tcBorders>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p>
        </w:tc>
        <w:tc>
          <w:tcPr>
            <w:tcW w:w="732"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《中华人民共和国执业医师法》</w:t>
            </w:r>
          </w:p>
          <w:p>
            <w:pPr>
              <w:widowControl/>
              <w:spacing w:line="28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《医师执业注册管理办法》（国家卫生和计划生育委员会令</w:t>
            </w:r>
            <w:r>
              <w:rPr>
                <w:rFonts w:hint="eastAsia" w:ascii="Times New Roman" w:hAnsi="Times New Roman" w:eastAsia="方正仿宋_GBK" w:cs="Times New Roman"/>
                <w:kern w:val="0"/>
                <w:szCs w:val="21"/>
                <w:lang w:val="en-US" w:eastAsia="zh-CN"/>
              </w:rPr>
              <w:t>第</w:t>
            </w:r>
            <w:bookmarkStart w:id="0" w:name="_GoBack"/>
            <w:bookmarkEnd w:id="0"/>
            <w:r>
              <w:rPr>
                <w:rFonts w:hint="default" w:ascii="Times New Roman" w:hAnsi="Times New Roman" w:eastAsia="方正仿宋_GBK" w:cs="Times New Roman"/>
                <w:kern w:val="0"/>
                <w:szCs w:val="21"/>
              </w:rPr>
              <w:t>13号）</w:t>
            </w:r>
          </w:p>
          <w:p>
            <w:pPr>
              <w:widowControl/>
              <w:spacing w:line="28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《卫生部 中医药局关于下发〈关于医师执业注册中执业范围的暂行规定〉的通知》（卫医发〔2001〕169号）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县级以上卫生健康行政部门委托的机构或组织</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培训考核合格证明</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99" w:hRule="atLeast"/>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23</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护士执业逾期注册培训考核</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护士执业注册</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color w:val="000000"/>
                <w:kern w:val="0"/>
                <w:szCs w:val="21"/>
              </w:rPr>
            </w:pPr>
            <w:r>
              <w:rPr>
                <w:rFonts w:hint="default" w:ascii="Times New Roman" w:hAnsi="Times New Roman" w:eastAsia="方正仿宋_GBK" w:cs="Times New Roman"/>
                <w:color w:val="000000"/>
                <w:kern w:val="0"/>
                <w:szCs w:val="21"/>
              </w:rPr>
              <w:t>县卫健局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《护士条例》</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default" w:ascii="Times New Roman" w:hAnsi="Times New Roman" w:eastAsia="方正仿宋_GBK" w:cs="Times New Roman"/>
                <w:kern w:val="0"/>
                <w:szCs w:val="21"/>
              </w:rPr>
            </w:pPr>
          </w:p>
          <w:p>
            <w:pPr>
              <w:widowControl/>
              <w:spacing w:line="26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符合国务院卫生主管部门规定条件的医疗卫生机构</w:t>
            </w:r>
          </w:p>
          <w:p>
            <w:pPr>
              <w:widowControl/>
              <w:spacing w:line="260" w:lineRule="exact"/>
              <w:rPr>
                <w:rFonts w:hint="default" w:ascii="Times New Roman" w:hAnsi="Times New Roman" w:eastAsia="方正仿宋_GBK" w:cs="Times New Roman"/>
                <w:kern w:val="0"/>
                <w:szCs w:val="21"/>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培训考核合格证明</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85" w:hRule="atLeast"/>
          <w:jc w:val="center"/>
        </w:trPr>
        <w:tc>
          <w:tcPr>
            <w:tcW w:w="617" w:type="dxa"/>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24</w:t>
            </w:r>
          </w:p>
        </w:tc>
        <w:tc>
          <w:tcPr>
            <w:tcW w:w="1206"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非煤矿山建设项目，危险化学品、烟花爆竹生产、存储建设项目安全预评价</w:t>
            </w:r>
          </w:p>
        </w:tc>
        <w:tc>
          <w:tcPr>
            <w:tcW w:w="1587"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矿山、金属冶炼建设项目和用于生产、储存危险物品的建设项目的安全设施设计审查</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其他非煤矿山建设项目安全设施设计审查</w:t>
            </w:r>
          </w:p>
        </w:tc>
        <w:tc>
          <w:tcPr>
            <w:tcW w:w="1404" w:type="dxa"/>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县应急管理局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right w:val="single" w:color="auto" w:sz="4" w:space="0"/>
            </w:tcBorders>
            <w:noWrap w:val="0"/>
            <w:vAlign w:val="center"/>
          </w:tcPr>
          <w:p>
            <w:pPr>
              <w:widowControl/>
              <w:spacing w:line="26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《中华人民共和国安全生产法》</w:t>
            </w:r>
          </w:p>
          <w:p>
            <w:pPr>
              <w:widowControl/>
              <w:spacing w:line="26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《危险化学品安全管理条例》</w:t>
            </w:r>
          </w:p>
          <w:p>
            <w:pPr>
              <w:widowControl/>
              <w:spacing w:line="260"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《建设项目安全设施“三同时”监督管理办法》（国家安全生产监督管理总局令第36号发布，国家安全生产监督管理总局令第77号修正）</w:t>
            </w:r>
          </w:p>
          <w:p>
            <w:pPr>
              <w:widowControl/>
              <w:spacing w:line="26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18"/>
                <w:szCs w:val="18"/>
              </w:rPr>
              <w:t>《危险化学品建设项目安全监督管理办法》（国家安全生产监督管理总局令第45号发布，国家安全生产监督管理总局令第79号修正）</w:t>
            </w:r>
          </w:p>
        </w:tc>
        <w:tc>
          <w:tcPr>
            <w:tcW w:w="990"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具备相应资质的安全评价机构</w:t>
            </w:r>
          </w:p>
        </w:tc>
        <w:tc>
          <w:tcPr>
            <w:tcW w:w="975"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安全预评价报告</w:t>
            </w:r>
          </w:p>
        </w:tc>
        <w:tc>
          <w:tcPr>
            <w:tcW w:w="1759"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47" w:hRule="atLeast"/>
          <w:jc w:val="center"/>
        </w:trPr>
        <w:tc>
          <w:tcPr>
            <w:tcW w:w="617"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25</w:t>
            </w:r>
          </w:p>
        </w:tc>
        <w:tc>
          <w:tcPr>
            <w:tcW w:w="1206"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非煤矿山、金属冶炼建设项目，危险化学品、烟花爆竹生产、存储建设项目安全设施设计</w:t>
            </w:r>
          </w:p>
        </w:tc>
        <w:tc>
          <w:tcPr>
            <w:tcW w:w="1587"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矿山、金属冶炼建设项目和用于生产、储存危险物品的建设项目的安全设施设计审查</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spacing w:val="-11"/>
                <w:kern w:val="0"/>
                <w:szCs w:val="21"/>
              </w:rPr>
            </w:pPr>
          </w:p>
          <w:p>
            <w:pPr>
              <w:widowControl/>
              <w:spacing w:line="300" w:lineRule="exact"/>
              <w:rPr>
                <w:rFonts w:hint="default" w:ascii="Times New Roman" w:hAnsi="Times New Roman" w:eastAsia="方正仿宋_GBK" w:cs="Times New Roman"/>
                <w:spacing w:val="-11"/>
                <w:kern w:val="0"/>
                <w:szCs w:val="21"/>
              </w:rPr>
            </w:pPr>
          </w:p>
          <w:p>
            <w:pPr>
              <w:widowControl/>
              <w:spacing w:line="300" w:lineRule="exact"/>
              <w:rPr>
                <w:rFonts w:hint="default" w:ascii="Times New Roman" w:hAnsi="Times New Roman" w:eastAsia="方正仿宋_GBK" w:cs="Times New Roman"/>
                <w:spacing w:val="-11"/>
                <w:kern w:val="0"/>
                <w:szCs w:val="21"/>
              </w:rPr>
            </w:pPr>
            <w:r>
              <w:rPr>
                <w:rFonts w:hint="default" w:ascii="Times New Roman" w:hAnsi="Times New Roman" w:eastAsia="方正仿宋_GBK" w:cs="Times New Roman"/>
                <w:spacing w:val="-11"/>
                <w:kern w:val="0"/>
                <w:szCs w:val="21"/>
              </w:rPr>
              <w:t>其他非煤矿山建设项目安全设施设计审查</w:t>
            </w:r>
          </w:p>
          <w:p>
            <w:pPr>
              <w:widowControl/>
              <w:spacing w:line="300" w:lineRule="exact"/>
              <w:rPr>
                <w:rFonts w:hint="default" w:ascii="Times New Roman" w:hAnsi="Times New Roman" w:eastAsia="方正仿宋_GBK" w:cs="Times New Roman"/>
                <w:spacing w:val="-11"/>
                <w:kern w:val="0"/>
                <w:szCs w:val="21"/>
              </w:rPr>
            </w:pPr>
          </w:p>
          <w:p>
            <w:pPr>
              <w:widowControl/>
              <w:spacing w:line="300" w:lineRule="exact"/>
              <w:rPr>
                <w:rFonts w:hint="default" w:ascii="Times New Roman" w:hAnsi="Times New Roman" w:eastAsia="方正仿宋_GBK" w:cs="Times New Roman"/>
                <w:spacing w:val="-11"/>
                <w:kern w:val="0"/>
                <w:szCs w:val="21"/>
              </w:rPr>
            </w:pPr>
          </w:p>
        </w:tc>
        <w:tc>
          <w:tcPr>
            <w:tcW w:w="1404" w:type="dxa"/>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县应急管理局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vMerge w:val="restart"/>
            <w:tcBorders>
              <w:top w:val="single" w:color="auto" w:sz="4" w:space="0"/>
              <w:left w:val="single" w:color="auto" w:sz="4" w:space="0"/>
              <w:right w:val="single" w:color="auto" w:sz="4" w:space="0"/>
            </w:tcBorders>
            <w:noWrap w:val="0"/>
            <w:vAlign w:val="center"/>
          </w:tcPr>
          <w:p>
            <w:pPr>
              <w:widowControl/>
              <w:spacing w:line="300" w:lineRule="exact"/>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《中华人民共和国安全生产法》</w:t>
            </w:r>
          </w:p>
          <w:p>
            <w:pPr>
              <w:widowControl/>
              <w:spacing w:line="300" w:lineRule="exact"/>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《建设项目安全设施“三同时”监督管理办法》（国家安全生产监督管理总局令第36号发布，国家安全生产监督管理总局令第77号修正）</w:t>
            </w:r>
          </w:p>
          <w:p>
            <w:pPr>
              <w:widowControl/>
              <w:spacing w:line="300" w:lineRule="exact"/>
              <w:jc w:val="both"/>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18"/>
                <w:szCs w:val="18"/>
              </w:rPr>
              <w:t>《危险化学品建设项目安全监督管理办法》（国家安全生产监督管理总局令第45号发布，国家安全生产监督管理总局令第79号修正）</w:t>
            </w:r>
          </w:p>
        </w:tc>
        <w:tc>
          <w:tcPr>
            <w:tcW w:w="990"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具备相应资质的设计单位</w:t>
            </w:r>
          </w:p>
        </w:tc>
        <w:tc>
          <w:tcPr>
            <w:tcW w:w="975"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安全设施设计专篇</w:t>
            </w:r>
          </w:p>
        </w:tc>
        <w:tc>
          <w:tcPr>
            <w:tcW w:w="1759" w:type="dxa"/>
            <w:vMerge w:val="restart"/>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47" w:hRule="atLeast"/>
          <w:jc w:val="center"/>
        </w:trPr>
        <w:tc>
          <w:tcPr>
            <w:tcW w:w="617" w:type="dxa"/>
            <w:vMerge w:val="continue"/>
            <w:tcBorders>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p>
        </w:tc>
        <w:tc>
          <w:tcPr>
            <w:tcW w:w="1206"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587"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spacing w:val="-11"/>
                <w:kern w:val="0"/>
                <w:szCs w:val="21"/>
              </w:rPr>
            </w:pPr>
            <w:r>
              <w:rPr>
                <w:rFonts w:hint="default" w:ascii="Times New Roman" w:hAnsi="Times New Roman" w:eastAsia="方正仿宋_GBK" w:cs="Times New Roman"/>
                <w:spacing w:val="-11"/>
                <w:kern w:val="0"/>
                <w:szCs w:val="21"/>
              </w:rPr>
              <w:t>其他金属冶炼建设项目安全设施设计审查</w:t>
            </w:r>
          </w:p>
        </w:tc>
        <w:tc>
          <w:tcPr>
            <w:tcW w:w="1404" w:type="dxa"/>
            <w:tcBorders>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县应急管理局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90"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975"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759" w:type="dxa"/>
            <w:vMerge w:val="continue"/>
            <w:tcBorders>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479" w:hRule="atLeast"/>
          <w:jc w:val="center"/>
        </w:trPr>
        <w:tc>
          <w:tcPr>
            <w:tcW w:w="617" w:type="dxa"/>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26</w:t>
            </w:r>
          </w:p>
        </w:tc>
        <w:tc>
          <w:tcPr>
            <w:tcW w:w="1206"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非煤矿山建设项目，危险化学品、烟花爆竹生产、存储建设项目安全设施验收评价</w:t>
            </w:r>
          </w:p>
        </w:tc>
        <w:tc>
          <w:tcPr>
            <w:tcW w:w="1587"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危险化学品经营许可</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县应急管理局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right w:val="single" w:color="auto" w:sz="4" w:space="0"/>
            </w:tcBorders>
            <w:noWrap w:val="0"/>
            <w:vAlign w:val="center"/>
          </w:tcPr>
          <w:p>
            <w:pPr>
              <w:widowControl/>
              <w:spacing w:line="212" w:lineRule="exac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《中华人民共和国安全生产法》</w:t>
            </w:r>
          </w:p>
          <w:p>
            <w:pPr>
              <w:widowControl/>
              <w:spacing w:line="212" w:lineRule="exac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《安全生产许可证条例》</w:t>
            </w:r>
          </w:p>
          <w:p>
            <w:pPr>
              <w:widowControl/>
              <w:spacing w:line="212" w:lineRule="exac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《危险化学品安全管理条例》</w:t>
            </w:r>
          </w:p>
          <w:p>
            <w:pPr>
              <w:widowControl/>
              <w:spacing w:line="212" w:lineRule="exac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《建设项目安全设施“三同时”监督管理办法》（国家安全生产监督管理总局令第36号发布，国家安全生产监督管理总局令第77号修正）</w:t>
            </w:r>
          </w:p>
          <w:p>
            <w:pPr>
              <w:widowControl/>
              <w:spacing w:line="212" w:lineRule="exac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《危险化学品建设项目安全监督管理办法》（国家安全生产监督管理总局令第45号发布，国家安全生产监督管理总局令第79号修正）</w:t>
            </w:r>
          </w:p>
          <w:p>
            <w:pPr>
              <w:widowControl/>
              <w:spacing w:line="212" w:lineRule="exac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《非煤矿矿山企业安全生产许可证实施办法》（国家安全生产监督管理总局令第20号发布，国家安全生产监督管理总局令第78号修正）</w:t>
            </w:r>
          </w:p>
          <w:p>
            <w:pPr>
              <w:widowControl/>
              <w:spacing w:line="212" w:lineRule="exac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《危险化学品生产企业安全生产许可证实施办法》（国家安全生产监督管理总局令第41号发布，国家安全生产监督管理总局令第79号第一次修正，国家安全生产监督管理总局令第89号第二次修正）</w:t>
            </w:r>
          </w:p>
          <w:p>
            <w:pPr>
              <w:widowControl/>
              <w:spacing w:line="212" w:lineRule="exac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rPr>
              <w:t>《危险化学品经营许可证管理办法》（国家安全生产监督管理总局令第55号发布，国家安全生产监督管理总局令第79号修正）</w:t>
            </w:r>
          </w:p>
          <w:p>
            <w:pPr>
              <w:widowControl/>
              <w:spacing w:line="212" w:lineRule="exac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6"/>
                <w:szCs w:val="16"/>
              </w:rPr>
              <w:t>《危险化学品安全使用许可证实施办法》（国家安全生产监督管理总局令第57号发布，国家安全生产监督管理总局令第79号第一次修正，国家安全生产监督管理总局令第89号第二次</w:t>
            </w:r>
            <w:r>
              <w:rPr>
                <w:rFonts w:hint="default" w:ascii="Times New Roman" w:hAnsi="Times New Roman" w:eastAsia="方正仿宋_GBK" w:cs="Times New Roman"/>
                <w:kern w:val="0"/>
                <w:sz w:val="18"/>
                <w:szCs w:val="18"/>
              </w:rPr>
              <w:t>修正）</w:t>
            </w:r>
          </w:p>
        </w:tc>
        <w:tc>
          <w:tcPr>
            <w:tcW w:w="990"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具备相应资质的安全评价机构</w:t>
            </w:r>
          </w:p>
        </w:tc>
        <w:tc>
          <w:tcPr>
            <w:tcW w:w="975"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安全设施验收评价报告</w:t>
            </w:r>
          </w:p>
        </w:tc>
        <w:tc>
          <w:tcPr>
            <w:tcW w:w="1759"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48" w:hRule="atLeast"/>
          <w:jc w:val="center"/>
        </w:trPr>
        <w:tc>
          <w:tcPr>
            <w:tcW w:w="617" w:type="dxa"/>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27</w:t>
            </w:r>
          </w:p>
        </w:tc>
        <w:tc>
          <w:tcPr>
            <w:tcW w:w="1206"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非煤矿山建设项目，危险化学品、烟花爆竹生产、存储建设项目安全现状评价</w:t>
            </w:r>
          </w:p>
        </w:tc>
        <w:tc>
          <w:tcPr>
            <w:tcW w:w="1587"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危险化学品经营许可</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县应急管理局</w:t>
            </w:r>
          </w:p>
        </w:tc>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县</w:t>
            </w:r>
          </w:p>
        </w:tc>
        <w:tc>
          <w:tcPr>
            <w:tcW w:w="25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《中华人民共和国安全生产法》</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《危险化学品安全管理条例》</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《非煤矿矿山企业安全生产许可证实施办法》（国家安全生产监督管理总局令第20号发布，国家安全生产监督管理总局令第78号修正）</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《危险化学品生产企业安全生产许可证实施办法》（国家安全生产监督管理总局令第41号发布，国家安全生产监督管理总局令第79号第一次修正，国家安全生产监督管理总局令第89号第二次修正）</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《危险化学品经营许可证管理办法》（国家安全生产监督管理总局令第55号发布，国家安全生产监督管理总局令第79号修正）</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20"/>
                <w:szCs w:val="20"/>
              </w:rPr>
              <w:t>《危险化学品安全使用许可证实施办法》（国家安全生产监督管理总局令第57号发布，国家安全生产监督管理总局令第79号第一次修正，国家安全生产监督管理总局令第89号第二次修正）</w:t>
            </w:r>
          </w:p>
        </w:tc>
        <w:tc>
          <w:tcPr>
            <w:tcW w:w="990"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具备相应资质的安全评价机构</w:t>
            </w:r>
          </w:p>
        </w:tc>
        <w:tc>
          <w:tcPr>
            <w:tcW w:w="975"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市场调节价</w:t>
            </w:r>
          </w:p>
        </w:tc>
        <w:tc>
          <w:tcPr>
            <w:tcW w:w="975"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Cs w:val="21"/>
              </w:rPr>
              <w:t>安全现状评价报告</w:t>
            </w:r>
          </w:p>
        </w:tc>
        <w:tc>
          <w:tcPr>
            <w:tcW w:w="1759" w:type="dxa"/>
            <w:tcBorders>
              <w:top w:val="single" w:color="auto" w:sz="4" w:space="0"/>
              <w:left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Times New Roman"/>
                <w:kern w:val="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 w:name="KSO_WPS_MARK_KEY" w:val="7616f83a-186b-4307-ba43-7315ec1e2b65"/>
  </w:docVars>
  <w:rsids>
    <w:rsidRoot w:val="1AB674F6"/>
    <w:rsid w:val="0F7161B9"/>
    <w:rsid w:val="1AB67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212" w:hanging="3"/>
      <w:outlineLvl w:val="0"/>
    </w:pPr>
    <w:rPr>
      <w:rFonts w:ascii="PMingLiU" w:hAnsi="PMingLiU" w:eastAsia="PMingLiU" w:cs="PMingLiU"/>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2021-10-25T01:20:00Z</dcterms:created>
  <dc:creator>Shiyi</dc:creator>
  <cp:lastModifiedBy>郑若愚</cp:lastModifiedBy>
  <dcterms:modified xsi:type="dcterms:W3CDTF">2024-01-30T01:58:49Z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D163F4CD6DE24128AD1A2E8FBA1E6356</vt:lpwstr>
  </property>
</Properties>
</file>