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rPr>
          <w:rFonts w:ascii="仿宋" w:hAnsi="仿宋" w:eastAsia="仿宋"/>
          <w:b/>
          <w:bCs/>
          <w:spacing w:val="5"/>
          <w:sz w:val="28"/>
          <w:szCs w:val="28"/>
        </w:rPr>
      </w:pPr>
      <w:bookmarkStart w:id="3" w:name="_GoBack"/>
      <w:bookmarkEnd w:id="3"/>
      <w:r>
        <w:rPr>
          <w:rFonts w:hint="eastAsia" w:ascii="仿宋" w:hAnsi="仿宋" w:eastAsia="仿宋"/>
          <w:b/>
          <w:bCs/>
          <w:spacing w:val="5"/>
          <w:sz w:val="28"/>
          <w:szCs w:val="28"/>
        </w:rPr>
        <w:t>建设范围</w:t>
      </w:r>
    </w:p>
    <w:p>
      <w:pPr>
        <w:spacing w:line="360" w:lineRule="auto"/>
        <w:ind w:firstLine="500" w:firstLineChars="200"/>
        <w:rPr>
          <w:rFonts w:ascii="仿宋" w:hAnsi="仿宋" w:eastAsia="仿宋" w:cs="Times New Roman"/>
          <w:spacing w:val="5"/>
          <w:sz w:val="24"/>
        </w:rPr>
      </w:pPr>
      <w:r>
        <w:rPr>
          <w:rFonts w:hint="eastAsia" w:ascii="仿宋" w:hAnsi="仿宋" w:eastAsia="仿宋" w:cs="Times New Roman"/>
          <w:spacing w:val="5"/>
          <w:sz w:val="24"/>
        </w:rPr>
        <w:t>师宗县2022年城镇标定地价体系建设工作建设范围为：</w:t>
      </w:r>
    </w:p>
    <w:p>
      <w:pPr>
        <w:widowControl/>
        <w:spacing w:line="360" w:lineRule="auto"/>
        <w:ind w:firstLine="500" w:firstLineChars="200"/>
        <w:jc w:val="left"/>
        <w:rPr>
          <w:rFonts w:ascii="仿宋" w:hAnsi="仿宋" w:eastAsia="仿宋"/>
          <w:spacing w:val="5"/>
          <w:sz w:val="24"/>
        </w:rPr>
      </w:pPr>
      <w:r>
        <w:rPr>
          <w:rFonts w:hint="eastAsia" w:ascii="仿宋" w:hAnsi="仿宋" w:eastAsia="仿宋"/>
          <w:spacing w:val="5"/>
          <w:sz w:val="24"/>
        </w:rPr>
        <w:t>西北至鑫源汽修；北至妇幼保健院；东北至涌泉路；东沿凤凰大道；东南至同盛佳苑；南沿丹凤路；西至漾月路；西北沿北门街。面积为1471.7164公顷。</w:t>
      </w:r>
    </w:p>
    <w:p>
      <w:pPr>
        <w:pStyle w:val="5"/>
        <w:numPr>
          <w:ilvl w:val="0"/>
          <w:numId w:val="1"/>
        </w:numPr>
        <w:rPr>
          <w:rFonts w:ascii="仿宋" w:hAnsi="仿宋" w:eastAsia="仿宋" w:cs="Times New Roman"/>
          <w:b/>
          <w:bCs/>
          <w:spacing w:val="5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pacing w:val="5"/>
          <w:sz w:val="28"/>
          <w:szCs w:val="28"/>
        </w:rPr>
        <w:t>标定区域的结果</w:t>
      </w:r>
    </w:p>
    <w:p>
      <w:pPr>
        <w:widowControl/>
        <w:spacing w:line="360" w:lineRule="auto"/>
        <w:ind w:firstLine="500" w:firstLineChars="200"/>
        <w:jc w:val="left"/>
        <w:rPr>
          <w:rFonts w:ascii="仿宋" w:hAnsi="仿宋" w:eastAsia="仿宋" w:cs="Times New Roman"/>
          <w:spacing w:val="5"/>
          <w:sz w:val="24"/>
        </w:rPr>
      </w:pPr>
      <w:r>
        <w:rPr>
          <w:rFonts w:hint="eastAsia" w:ascii="仿宋" w:hAnsi="仿宋" w:eastAsia="仿宋" w:cs="Times New Roman"/>
          <w:spacing w:val="5"/>
          <w:sz w:val="24"/>
        </w:rPr>
        <w:t>师宗县2022年城镇标定地价体系建设工作，商服用地共划分3个标定区域，覆盖面积为12.73公顷；工矿仓储用地共划分7个标定区域，覆盖面积为199.37公顷；住宅用地共划分10个标定区域，覆盖面积为41.50公顷；商住混合用地共划分6个标定区域，覆盖面积34.61公顷；公共管理与公共服务用地共划分10个标定区域，覆盖面积为37.00公顷。</w:t>
      </w:r>
    </w:p>
    <w:p>
      <w:pPr>
        <w:pStyle w:val="5"/>
        <w:numPr>
          <w:ilvl w:val="0"/>
          <w:numId w:val="1"/>
        </w:numPr>
        <w:rPr>
          <w:rFonts w:ascii="仿宋" w:hAnsi="仿宋" w:eastAsia="仿宋" w:cs="Times New Roman"/>
          <w:b/>
          <w:bCs/>
          <w:spacing w:val="5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pacing w:val="5"/>
          <w:sz w:val="28"/>
          <w:szCs w:val="28"/>
        </w:rPr>
        <w:t>标准宗地布设的结果</w:t>
      </w:r>
    </w:p>
    <w:p>
      <w:pPr>
        <w:spacing w:line="360" w:lineRule="auto"/>
        <w:ind w:firstLine="500" w:firstLineChars="200"/>
        <w:rPr>
          <w:rFonts w:ascii="仿宋" w:hAnsi="仿宋" w:eastAsia="仿宋"/>
          <w:spacing w:val="5"/>
          <w:sz w:val="24"/>
        </w:rPr>
      </w:pPr>
      <w:r>
        <w:rPr>
          <w:rFonts w:hint="eastAsia" w:ascii="仿宋" w:hAnsi="仿宋" w:eastAsia="仿宋"/>
          <w:spacing w:val="5"/>
          <w:sz w:val="24"/>
        </w:rPr>
        <w:t>师宗县2022年城镇标定地价体系建设工作共设立标准宗地36宗，具体情况如下：</w:t>
      </w:r>
    </w:p>
    <w:p>
      <w:pPr>
        <w:widowControl/>
        <w:spacing w:line="360" w:lineRule="auto"/>
        <w:ind w:firstLine="500" w:firstLineChars="200"/>
        <w:jc w:val="left"/>
        <w:rPr>
          <w:rFonts w:ascii="仿宋" w:hAnsi="仿宋" w:eastAsia="仿宋"/>
          <w:spacing w:val="5"/>
          <w:sz w:val="24"/>
        </w:rPr>
      </w:pPr>
      <w:r>
        <w:rPr>
          <w:rFonts w:hint="eastAsia" w:ascii="仿宋" w:hAnsi="仿宋" w:eastAsia="仿宋"/>
          <w:spacing w:val="5"/>
          <w:sz w:val="24"/>
        </w:rPr>
        <w:t>1.商服用地共3宗，其中零售商业用地1宗，旅馆用地1宗，商务金融用地1宗。</w:t>
      </w:r>
    </w:p>
    <w:p>
      <w:pPr>
        <w:widowControl/>
        <w:spacing w:line="360" w:lineRule="auto"/>
        <w:ind w:firstLine="500" w:firstLineChars="200"/>
        <w:jc w:val="left"/>
        <w:rPr>
          <w:rFonts w:ascii="仿宋" w:hAnsi="仿宋" w:eastAsia="仿宋"/>
          <w:spacing w:val="5"/>
          <w:sz w:val="24"/>
        </w:rPr>
      </w:pPr>
      <w:r>
        <w:rPr>
          <w:rFonts w:hint="eastAsia" w:ascii="仿宋" w:hAnsi="仿宋" w:eastAsia="仿宋"/>
          <w:spacing w:val="5"/>
          <w:sz w:val="24"/>
        </w:rPr>
        <w:t>2.住宅用地共10宗，其中城镇住宅用地8宗，公共租赁住房用地1宗，经济适用住房用地1宗。</w:t>
      </w:r>
    </w:p>
    <w:p>
      <w:pPr>
        <w:widowControl/>
        <w:spacing w:line="360" w:lineRule="auto"/>
        <w:ind w:firstLine="500" w:firstLineChars="200"/>
        <w:jc w:val="left"/>
        <w:rPr>
          <w:rFonts w:ascii="仿宋" w:hAnsi="仿宋" w:eastAsia="仿宋"/>
          <w:spacing w:val="5"/>
          <w:sz w:val="24"/>
        </w:rPr>
      </w:pPr>
      <w:r>
        <w:rPr>
          <w:rFonts w:hint="eastAsia" w:ascii="仿宋" w:hAnsi="仿宋" w:eastAsia="仿宋"/>
          <w:spacing w:val="5"/>
          <w:sz w:val="24"/>
        </w:rPr>
        <w:t>3.商住混合用地共6宗。</w:t>
      </w:r>
    </w:p>
    <w:p>
      <w:pPr>
        <w:widowControl/>
        <w:spacing w:line="360" w:lineRule="auto"/>
        <w:ind w:firstLine="500" w:firstLineChars="200"/>
        <w:jc w:val="left"/>
        <w:rPr>
          <w:rFonts w:ascii="仿宋" w:hAnsi="仿宋" w:eastAsia="仿宋"/>
          <w:spacing w:val="5"/>
          <w:sz w:val="24"/>
        </w:rPr>
      </w:pPr>
      <w:r>
        <w:rPr>
          <w:rFonts w:hint="eastAsia" w:ascii="仿宋" w:hAnsi="仿宋" w:eastAsia="仿宋"/>
          <w:spacing w:val="5"/>
          <w:sz w:val="24"/>
        </w:rPr>
        <w:t>4.工矿仓储用地共7宗，其中工业用地5宗，仓储用地2宗。</w:t>
      </w:r>
    </w:p>
    <w:p>
      <w:pPr>
        <w:widowControl/>
        <w:spacing w:line="360" w:lineRule="auto"/>
        <w:ind w:firstLine="500" w:firstLineChars="200"/>
        <w:jc w:val="left"/>
        <w:rPr>
          <w:rFonts w:ascii="仿宋" w:hAnsi="仿宋" w:eastAsia="仿宋" w:cs="Times New Roman"/>
          <w:spacing w:val="5"/>
          <w:sz w:val="28"/>
          <w:szCs w:val="28"/>
        </w:rPr>
      </w:pPr>
      <w:r>
        <w:rPr>
          <w:rFonts w:hint="eastAsia" w:ascii="仿宋" w:hAnsi="仿宋" w:eastAsia="仿宋"/>
          <w:spacing w:val="5"/>
          <w:sz w:val="24"/>
        </w:rPr>
        <w:t>5.公共管理与公共服务用地共10宗，其中机关团体用地1宗，教育用地2宗，医疗卫生用地4宗，文化设施用地1宗，公用设施用地1宗，公园与绿地1宗</w:t>
      </w:r>
      <w:r>
        <w:rPr>
          <w:rFonts w:hint="eastAsia" w:ascii="仿宋" w:hAnsi="仿宋" w:eastAsia="仿宋" w:cs="Times New Roman"/>
          <w:spacing w:val="5"/>
          <w:sz w:val="24"/>
        </w:rPr>
        <w:t>。</w:t>
      </w:r>
    </w:p>
    <w:p>
      <w:pPr>
        <w:pStyle w:val="5"/>
        <w:numPr>
          <w:ilvl w:val="0"/>
          <w:numId w:val="1"/>
        </w:numPr>
        <w:rPr>
          <w:rFonts w:ascii="仿宋" w:hAnsi="仿宋" w:eastAsia="仿宋" w:cs="Times New Roman"/>
          <w:b/>
          <w:bCs/>
          <w:spacing w:val="5"/>
          <w:sz w:val="28"/>
          <w:szCs w:val="28"/>
        </w:rPr>
      </w:pPr>
      <w:bookmarkStart w:id="0" w:name="_Toc13870"/>
      <w:bookmarkStart w:id="1" w:name="_Toc528243301"/>
      <w:bookmarkStart w:id="2" w:name="_Toc529196348"/>
      <w:r>
        <w:rPr>
          <w:rFonts w:hint="eastAsia" w:ascii="仿宋" w:hAnsi="仿宋" w:eastAsia="仿宋" w:cs="Times New Roman"/>
          <w:b/>
          <w:bCs/>
          <w:spacing w:val="5"/>
          <w:sz w:val="28"/>
          <w:szCs w:val="28"/>
        </w:rPr>
        <w:t>标准宗地测算结果表</w:t>
      </w:r>
    </w:p>
    <w:p>
      <w:pPr>
        <w:rPr>
          <w:rFonts w:ascii="仿宋" w:hAnsi="仿宋" w:eastAsia="仿宋" w:cs="Times New Roman"/>
          <w:spacing w:val="5"/>
          <w:sz w:val="28"/>
          <w:szCs w:val="28"/>
        </w:rPr>
      </w:pPr>
    </w:p>
    <w:p>
      <w:pPr>
        <w:pStyle w:val="5"/>
        <w:numPr>
          <w:ilvl w:val="0"/>
          <w:numId w:val="1"/>
        </w:numPr>
        <w:rPr>
          <w:rFonts w:ascii="仿宋" w:hAnsi="仿宋" w:eastAsia="仿宋" w:cs="Times New Roman"/>
          <w:spacing w:val="5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bookmarkEnd w:id="0"/>
    <w:bookmarkEnd w:id="1"/>
    <w:bookmarkEnd w:id="2"/>
    <w:p>
      <w:pPr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表1 师宗县2022年城镇标定地价标准宗地测算结果表</w:t>
      </w:r>
    </w:p>
    <w:tbl>
      <w:tblPr>
        <w:tblStyle w:val="10"/>
        <w:tblW w:w="14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669"/>
        <w:gridCol w:w="1846"/>
        <w:gridCol w:w="2378"/>
        <w:gridCol w:w="1050"/>
        <w:gridCol w:w="645"/>
        <w:gridCol w:w="1073"/>
        <w:gridCol w:w="658"/>
        <w:gridCol w:w="1208"/>
        <w:gridCol w:w="1118"/>
        <w:gridCol w:w="805"/>
        <w:gridCol w:w="804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标准宗地编码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标准宗地名称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位置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用途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权利类型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面积</w:t>
            </w:r>
          </w:p>
        </w:tc>
        <w:tc>
          <w:tcPr>
            <w:tcW w:w="65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容积率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开发程度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设定使用年期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标定地价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37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地面地价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楼面地价</w:t>
            </w:r>
          </w:p>
        </w:tc>
        <w:tc>
          <w:tcPr>
            <w:tcW w:w="7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5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(1)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(2)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(3)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(4)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(5)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(6)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(7)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(8)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(9)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(10)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(11)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530323S50100101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云南华凌房地产开发有限公司师宗分公司（凤凰商都）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师宗县丹凤街道青年路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零售商业用地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3174.43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2.8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2663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951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530323S50400201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云南子午农业科技有限公司（云南子午温泉酒店）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师宗县丹凤街道古城村委会小河口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旅馆用地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34320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1633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817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530323S50500301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朱建乔（云南兴江建设有限公司）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师宗县丹凤街道丹青路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商务金融用地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1000.6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2513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838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530323Z70100101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师宗泰宇房地产开发有限公司（碧水佳园）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师宗县丹凤街道丹凤路与同乐路交叉口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3188.1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3.95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1886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478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530323Z70100201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师宗县绿海房地产开发有限公司（蓝盾小区）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师宗县丹凤街道东华路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2856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1586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793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530323Z70100301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赵诚用地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丹凤街道文笔大道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300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1.5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1488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992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530323Z70100401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曲靖市金博房地产开发有限公司（能源小区）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师宗县丹凤街道丹溪大道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33919.34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2.5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1385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554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530323Z70100501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师宗县宏华房地产开发有限责任公司（锦绣豪庭）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师宗县丹凤街道文华村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27096.18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2.5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1550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620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530323Z70100601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师宗县宏华房地产开发有限责任公司（荣海·滨河艺墅）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师宗县荣海新区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29829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1302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434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530323Z70100901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云南师宗云师轴瓦有限责任公司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师宗县建新路1号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13113.56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1.5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605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403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530323Z70101001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马龙县云华房地产开发有限公司(同盛佳苑)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师宗县丹凤街道凤凰大道与振华路交叉口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城镇住宅用地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39687.5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810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405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530323H70100101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师宗县胜坚置业有限公司（凤城时代）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师宗县漾月街道农贸市场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商住混合用地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13610.46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4.36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商服：40，住宅：70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2177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499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530323H70100201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师宗县城市建设投资开发有限责任公司(凯莱财富中心)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师宗县丹凤街道丹溪大道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商住混合用地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37361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商服：40，住宅：70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2094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698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530323H70100301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师宗汇泰房地产开发有限公司（汇泰·御龍公馆）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师宗县凤凰大道（帝豪大酒店对面）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商住混合用地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42487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四通一平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商服：40，住宅：70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1531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766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15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530323H70100401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李海山（滨河书院）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师宗县丹凤街道办事处荣海新区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商住混合用地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17763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2.8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商服：40，住宅：70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1404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530323H70100501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师宗融裕地产开发有限公司（宏华·青云府）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师宗县荣海新区（档案局旁）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商住混合用地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28586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1.8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四通一平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商服：40，住宅：70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1459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811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17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530323H70100601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师宗宏华地产集团有限公司（宏华·湖山漾月）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师宗县丹凤路（县医院斜对面）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商住混合用地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35118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3.2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四通一平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商服：40，住宅：70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2106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658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530323G60100101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云南司珈尔木业股份有限公司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师宗县丹凤街道大同村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68468.2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0.7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四通一平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282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--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530323G60100201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师宗县天源投资开发有限责任公司(师宗中创建材家居城)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师宗县丹凤街道大同工业园区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40534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1.5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310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207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530323G60100301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云南天高镍业有限公司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师宗县丹凤街道大同工业园区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320804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285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285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21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530323G60100401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师宗县雄壁蝇蛆微生态养殖基地（师宗云雄实业有限公司）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师宗县丹凤街道大同工业园区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16742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1.2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290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242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530323G60100501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师宗凤凰谷食品厂(云南师宗凤凰谷食品有限责任公司)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师宗县丹凤街道大同集镇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工业用地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18940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286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286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23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530323G60400601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师宗焦化有限公司责任公司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师宗县丹凤街道小河口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仓储用地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65239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1.6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315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197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3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530323G60400701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云南丰泰物流有限公司</w:t>
            </w:r>
          </w:p>
        </w:tc>
        <w:tc>
          <w:tcPr>
            <w:tcW w:w="237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师宗县大同街道大同生物加工园区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仓储用地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出让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65531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五通一平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50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300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300</w:t>
            </w:r>
          </w:p>
        </w:tc>
        <w:tc>
          <w:tcPr>
            <w:tcW w:w="7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4544" w:type="dxa"/>
            <w:gridSpan w:val="1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表中填写单位分别为：面积，平方米；</w:t>
            </w:r>
            <w:r>
              <w:rPr>
                <w:rFonts w:ascii="仿宋" w:hAnsi="仿宋" w:eastAsia="仿宋" w:cs="Times New Roman"/>
                <w:sz w:val="18"/>
                <w:szCs w:val="18"/>
              </w:rPr>
              <w:t>设定使用年期</w:t>
            </w: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，年；标定地价：元/平方米。</w:t>
            </w:r>
          </w:p>
        </w:tc>
      </w:tr>
    </w:tbl>
    <w:p>
      <w:pPr>
        <w:pStyle w:val="2"/>
        <w:ind w:firstLine="0" w:firstLineChars="0"/>
        <w:rPr>
          <w:rFonts w:ascii="仿宋" w:hAnsi="仿宋" w:eastAsia="仿宋"/>
        </w:rPr>
      </w:pPr>
    </w:p>
    <w:p>
      <w:pPr>
        <w:pStyle w:val="2"/>
        <w:ind w:firstLine="0" w:firstLineChars="0"/>
        <w:rPr>
          <w:rFonts w:ascii="仿宋" w:hAnsi="仿宋" w:eastAsia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B52F63"/>
    <w:multiLevelType w:val="singleLevel"/>
    <w:tmpl w:val="10B52F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29B32193"/>
    <w:rsid w:val="05A11650"/>
    <w:rsid w:val="0A115B62"/>
    <w:rsid w:val="29B32193"/>
    <w:rsid w:val="64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3"/>
    <w:qFormat/>
    <w:uiPriority w:val="0"/>
    <w:pPr>
      <w:ind w:firstLine="566" w:firstLineChars="202"/>
    </w:pPr>
    <w:rPr>
      <w:rFonts w:ascii="等线" w:hAnsi="等线" w:eastAsia="等线"/>
      <w:kern w:val="2"/>
      <w:szCs w:val="28"/>
    </w:rPr>
  </w:style>
  <w:style w:type="paragraph" w:customStyle="1" w:styleId="3">
    <w:name w:val="正文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Body Text Indent 2"/>
    <w:basedOn w:val="1"/>
    <w:next w:val="7"/>
    <w:uiPriority w:val="0"/>
    <w:pPr>
      <w:spacing w:line="600" w:lineRule="exact"/>
      <w:ind w:left="0" w:leftChars="0"/>
    </w:pPr>
  </w:style>
  <w:style w:type="paragraph" w:styleId="7">
    <w:name w:val="Body Text First Indent"/>
    <w:basedOn w:val="5"/>
    <w:uiPriority w:val="0"/>
    <w:pPr>
      <w:ind w:firstLine="420" w:firstLineChars="1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2023-04-26T09:49:00Z</dcterms:created>
  <dc:creator>kikiiiam</dc:creator>
  <cp:lastModifiedBy>kikiiiam</cp:lastModifiedBy>
  <dcterms:modified xsi:type="dcterms:W3CDTF">2023-04-26T09:50:02Z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CA96874836A84E7290E7DDBFB44ECDA4_11</vt:lpwstr>
  </property>
</Properties>
</file>