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Lines="0"/>
        <w:jc w:val="left"/>
        <w:rPr>
          <w:rFonts w:ascii="仿宋" w:hAnsi="仿宋" w:eastAsia="仿宋" w:cs="仿宋"/>
          <w:sz w:val="30"/>
          <w:szCs w:val="30"/>
        </w:rPr>
      </w:pPr>
      <w:bookmarkStart w:id="0" w:name="_GoBack"/>
      <w:bookmarkEnd w:id="0"/>
      <w:r>
        <w:rPr>
          <w:rFonts w:hint="eastAsia" w:ascii="仿宋" w:hAnsi="仿宋" w:eastAsia="仿宋" w:cs="仿宋"/>
          <w:sz w:val="30"/>
          <w:szCs w:val="30"/>
        </w:rPr>
        <w:t>一、地价内涵的确定</w:t>
      </w:r>
    </w:p>
    <w:p>
      <w:pPr>
        <w:pStyle w:val="9"/>
        <w:widowControl/>
        <w:spacing w:beforeLines="50" w:line="360" w:lineRule="auto"/>
        <w:jc w:val="center"/>
        <w:rPr>
          <w:rFonts w:ascii="仿宋" w:hAnsi="仿宋" w:eastAsia="仿宋"/>
          <w:b/>
        </w:rPr>
      </w:pPr>
      <w:r>
        <w:rPr>
          <w:rFonts w:hint="eastAsia" w:ascii="仿宋" w:hAnsi="仿宋" w:eastAsia="仿宋"/>
          <w:b/>
        </w:rPr>
        <w:t>表1 师宗县集体建设用地基准地价价格内涵表</w:t>
      </w:r>
    </w:p>
    <w:tbl>
      <w:tblPr>
        <w:tblStyle w:val="10"/>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1"/>
        <w:gridCol w:w="1398"/>
        <w:gridCol w:w="1275"/>
        <w:gridCol w:w="2642"/>
        <w:gridCol w:w="695"/>
        <w:gridCol w:w="706"/>
        <w:gridCol w:w="96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6"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估价期日</w:t>
            </w:r>
          </w:p>
        </w:tc>
        <w:tc>
          <w:tcPr>
            <w:tcW w:w="567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2022年1月1日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1" w:hRule="atLeast"/>
          <w:jc w:val="center"/>
        </w:trPr>
        <w:tc>
          <w:tcPr>
            <w:tcW w:w="3544" w:type="dxa"/>
            <w:gridSpan w:val="3"/>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内涵</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集体非经营性建设用地</w:t>
            </w:r>
          </w:p>
        </w:tc>
        <w:tc>
          <w:tcPr>
            <w:tcW w:w="3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集体经营性建设用地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jc w:val="center"/>
        </w:trPr>
        <w:tc>
          <w:tcPr>
            <w:tcW w:w="354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kern w:val="0"/>
                <w:szCs w:val="21"/>
              </w:rPr>
              <w:t>宅基地</w:t>
            </w:r>
          </w:p>
          <w:p>
            <w:pPr>
              <w:widowControl/>
              <w:spacing w:line="360" w:lineRule="auto"/>
              <w:jc w:val="center"/>
              <w:rPr>
                <w:rFonts w:ascii="仿宋" w:hAnsi="仿宋" w:eastAsia="仿宋"/>
                <w:kern w:val="0"/>
                <w:szCs w:val="21"/>
              </w:rPr>
            </w:pPr>
            <w:r>
              <w:rPr>
                <w:rFonts w:hint="eastAsia" w:ascii="仿宋" w:hAnsi="仿宋" w:eastAsia="仿宋"/>
                <w:kern w:val="0"/>
                <w:szCs w:val="21"/>
              </w:rPr>
              <w:t>（可用于建设租赁住房）</w:t>
            </w:r>
          </w:p>
        </w:tc>
        <w:tc>
          <w:tcPr>
            <w:tcW w:w="14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商服用地</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8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szCs w:val="21"/>
              </w:rPr>
              <w:t>设定容积率</w:t>
            </w:r>
          </w:p>
        </w:tc>
        <w:tc>
          <w:tcPr>
            <w:tcW w:w="139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szCs w:val="21"/>
              </w:rPr>
              <w:t>师宗县丹凤街道、漾月街道、大同街道</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Ⅰ级</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1.2</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Ⅰ</w:t>
            </w:r>
            <w:r>
              <w:rPr>
                <w:rFonts w:hint="eastAsia" w:ascii="仿宋" w:hAnsi="仿宋" w:eastAsia="仿宋"/>
                <w:szCs w:val="21"/>
              </w:rPr>
              <w:t>级</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1.4</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Ⅰ</w:t>
            </w:r>
            <w:r>
              <w:rPr>
                <w:rFonts w:hint="eastAsia" w:ascii="仿宋" w:hAnsi="仿宋" w:eastAsia="仿宋"/>
                <w:szCs w:val="21"/>
              </w:rPr>
              <w:t>级</w:t>
            </w:r>
          </w:p>
        </w:tc>
        <w:tc>
          <w:tcPr>
            <w:tcW w:w="6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13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Ⅱ级</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1.2</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Ⅱ</w:t>
            </w:r>
            <w:r>
              <w:rPr>
                <w:rFonts w:hint="eastAsia" w:ascii="仿宋" w:hAnsi="仿宋" w:eastAsia="仿宋"/>
                <w:szCs w:val="21"/>
              </w:rPr>
              <w:t>级</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1.2</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Ⅱ</w:t>
            </w:r>
            <w:r>
              <w:rPr>
                <w:rFonts w:hint="eastAsia" w:ascii="仿宋" w:hAnsi="仿宋" w:eastAsia="仿宋"/>
                <w:szCs w:val="21"/>
              </w:rPr>
              <w:t>级</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13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Ⅲ级</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1.0</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Ⅲ</w:t>
            </w:r>
            <w:r>
              <w:rPr>
                <w:rFonts w:hint="eastAsia" w:ascii="仿宋" w:hAnsi="仿宋" w:eastAsia="仿宋"/>
                <w:szCs w:val="21"/>
              </w:rPr>
              <w:t>级</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1.0</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Ⅲ</w:t>
            </w:r>
            <w:r>
              <w:rPr>
                <w:rFonts w:hint="eastAsia" w:ascii="仿宋" w:hAnsi="仿宋" w:eastAsia="仿宋"/>
                <w:szCs w:val="21"/>
              </w:rPr>
              <w:t>级</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土地使用年限</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无年期限制</w:t>
            </w:r>
          </w:p>
        </w:tc>
        <w:tc>
          <w:tcPr>
            <w:tcW w:w="14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40年</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市场类型</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szCs w:val="21"/>
              </w:rPr>
              <w:t>特定市场：符合政策的集体组织内部就地流转形成的市场</w:t>
            </w:r>
          </w:p>
        </w:tc>
        <w:tc>
          <w:tcPr>
            <w:tcW w:w="3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正常入市流转的出让土地使用权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价格类型</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szCs w:val="21"/>
              </w:rPr>
              <w:t>宅基地、其他用地使用权价格，同时考虑满足农村</w:t>
            </w:r>
            <w:r>
              <w:rPr>
                <w:rFonts w:hint="eastAsia" w:ascii="仿宋" w:hAnsi="仿宋" w:eastAsia="仿宋"/>
                <w:szCs w:val="21"/>
                <w:lang w:eastAsia="zh-CN"/>
              </w:rPr>
              <w:t>一、二、三产业</w:t>
            </w:r>
            <w:r>
              <w:rPr>
                <w:rFonts w:hint="eastAsia" w:ascii="仿宋" w:hAnsi="仿宋" w:eastAsia="仿宋"/>
                <w:szCs w:val="21"/>
              </w:rPr>
              <w:t>融合发展用地价格类型</w:t>
            </w:r>
          </w:p>
        </w:tc>
        <w:tc>
          <w:tcPr>
            <w:tcW w:w="303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出让土地使用权价格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价格类型</w:t>
            </w:r>
          </w:p>
        </w:tc>
        <w:tc>
          <w:tcPr>
            <w:tcW w:w="567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平均地面地价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设定产权状况</w:t>
            </w:r>
          </w:p>
        </w:tc>
        <w:tc>
          <w:tcPr>
            <w:tcW w:w="567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1"/>
              </w:rPr>
            </w:pPr>
            <w:r>
              <w:rPr>
                <w:rFonts w:hint="eastAsia" w:ascii="仿宋" w:hAnsi="仿宋" w:eastAsia="仿宋"/>
                <w:szCs w:val="21"/>
              </w:rPr>
              <w:t>1.本次测算对象为土地产权清晰且符合规划和用途管制前提下、可入市流转的集体所有权属的建设用地；</w:t>
            </w:r>
          </w:p>
          <w:p>
            <w:pPr>
              <w:widowControl/>
              <w:jc w:val="left"/>
              <w:rPr>
                <w:rFonts w:ascii="仿宋" w:hAnsi="仿宋" w:eastAsia="仿宋"/>
                <w:szCs w:val="21"/>
              </w:rPr>
            </w:pPr>
            <w:r>
              <w:rPr>
                <w:rFonts w:hint="eastAsia" w:ascii="仿宋" w:hAnsi="仿宋" w:eastAsia="仿宋"/>
                <w:szCs w:val="21"/>
              </w:rPr>
              <w:t>2.本次基准地价权利状况设定为集体出让土地使用权，无他项权利限制、不存在特殊的权利权能限制或拓展性条件下的土地权利（需符合相关法律法规）；</w:t>
            </w:r>
          </w:p>
          <w:p>
            <w:pPr>
              <w:widowControl/>
              <w:jc w:val="left"/>
              <w:rPr>
                <w:rFonts w:ascii="仿宋" w:hAnsi="仿宋" w:eastAsia="仿宋"/>
                <w:szCs w:val="21"/>
              </w:rPr>
            </w:pPr>
            <w:r>
              <w:rPr>
                <w:rFonts w:hint="eastAsia" w:ascii="仿宋" w:hAnsi="仿宋" w:eastAsia="仿宋"/>
                <w:szCs w:val="21"/>
              </w:rPr>
              <w:t>3.商服用地、工业用地价格为无他项权利限制下的入市土地使用权价格，且同时考虑满足农村</w:t>
            </w:r>
            <w:r>
              <w:rPr>
                <w:rFonts w:hint="eastAsia" w:ascii="仿宋" w:hAnsi="仿宋" w:eastAsia="仿宋"/>
                <w:szCs w:val="21"/>
                <w:lang w:eastAsia="zh-CN"/>
              </w:rPr>
              <w:t>一、二、三产业</w:t>
            </w:r>
            <w:r>
              <w:rPr>
                <w:rFonts w:hint="eastAsia" w:ascii="仿宋" w:hAnsi="仿宋" w:eastAsia="仿宋"/>
                <w:szCs w:val="21"/>
              </w:rPr>
              <w:t>融合发展用地相关政策、符合国土空间规划的前提下，农村建设用地进行复合利用的土地使用权交易流转的价格；</w:t>
            </w:r>
          </w:p>
          <w:p>
            <w:pPr>
              <w:widowControl/>
              <w:jc w:val="left"/>
              <w:rPr>
                <w:rFonts w:ascii="仿宋" w:hAnsi="仿宋" w:eastAsia="仿宋"/>
                <w:szCs w:val="21"/>
              </w:rPr>
            </w:pPr>
            <w:r>
              <w:rPr>
                <w:rFonts w:hint="eastAsia" w:ascii="仿宋" w:hAnsi="仿宋" w:eastAsia="仿宋"/>
                <w:szCs w:val="21"/>
              </w:rPr>
              <w:t>4.宅基地在集体经济组织内部考虑机会成本的内部交易价格，且同时考虑满足农村</w:t>
            </w:r>
            <w:r>
              <w:rPr>
                <w:rFonts w:hint="eastAsia" w:ascii="仿宋" w:hAnsi="仿宋" w:eastAsia="仿宋"/>
                <w:szCs w:val="21"/>
                <w:lang w:eastAsia="zh-CN"/>
              </w:rPr>
              <w:t>一、二、三产业</w:t>
            </w:r>
            <w:r>
              <w:rPr>
                <w:rFonts w:hint="eastAsia" w:ascii="仿宋" w:hAnsi="仿宋" w:eastAsia="仿宋"/>
                <w:szCs w:val="21"/>
              </w:rPr>
              <w:t>融合发展用地相关政策、符合国土空间规划的前提下，农村建设用地进行复合利用（如潜在可能的农家乐、民宿、乡村旅游）的土地使用权交易流转的价格。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土地开发程度</w:t>
            </w:r>
          </w:p>
        </w:tc>
        <w:tc>
          <w:tcPr>
            <w:tcW w:w="567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szCs w:val="21"/>
              </w:rPr>
            </w:pPr>
            <w:r>
              <w:rPr>
                <w:rFonts w:hint="eastAsia" w:ascii="仿宋" w:hAnsi="仿宋" w:eastAsia="仿宋"/>
                <w:b/>
                <w:bCs/>
                <w:szCs w:val="21"/>
              </w:rPr>
              <w:t>商服、宅基地、工业用地：</w:t>
            </w:r>
          </w:p>
          <w:p>
            <w:pPr>
              <w:widowControl/>
              <w:jc w:val="left"/>
              <w:rPr>
                <w:rFonts w:ascii="仿宋" w:hAnsi="仿宋" w:eastAsia="仿宋"/>
                <w:szCs w:val="21"/>
              </w:rPr>
            </w:pPr>
            <w:r>
              <w:rPr>
                <w:rFonts w:hint="eastAsia" w:ascii="仿宋" w:hAnsi="仿宋" w:eastAsia="仿宋"/>
                <w:szCs w:val="21"/>
              </w:rPr>
              <w:t>Ⅰ、Ⅱ级区域：“三通”（通路、通电、通讯）；</w:t>
            </w:r>
          </w:p>
          <w:p>
            <w:pPr>
              <w:widowControl/>
              <w:spacing w:line="360" w:lineRule="auto"/>
              <w:jc w:val="left"/>
              <w:rPr>
                <w:rFonts w:ascii="仿宋" w:hAnsi="仿宋" w:eastAsia="仿宋"/>
                <w:szCs w:val="21"/>
              </w:rPr>
            </w:pPr>
            <w:r>
              <w:rPr>
                <w:rFonts w:hint="eastAsia" w:ascii="仿宋" w:hAnsi="仿宋" w:eastAsia="仿宋"/>
                <w:szCs w:val="21"/>
              </w:rPr>
              <w:t>Ⅲ级区域：“两通”（通电、通讯）。</w:t>
            </w:r>
          </w:p>
        </w:tc>
      </w:tr>
    </w:tbl>
    <w:p>
      <w:pPr>
        <w:pStyle w:val="9"/>
        <w:widowControl/>
        <w:spacing w:line="360" w:lineRule="auto"/>
        <w:jc w:val="center"/>
        <w:rPr>
          <w:rFonts w:ascii="仿宋" w:hAnsi="仿宋" w:eastAsia="仿宋" w:cs="仿宋"/>
          <w:b/>
          <w:highlight w:val="yellow"/>
        </w:rPr>
      </w:pPr>
    </w:p>
    <w:p>
      <w:pPr>
        <w:pStyle w:val="5"/>
        <w:spacing w:before="0" w:afterLines="0"/>
        <w:jc w:val="left"/>
        <w:rPr>
          <w:rFonts w:ascii="仿宋" w:hAnsi="仿宋" w:eastAsia="仿宋" w:cs="仿宋"/>
          <w:sz w:val="30"/>
          <w:szCs w:val="30"/>
        </w:rPr>
      </w:pPr>
      <w:r>
        <w:rPr>
          <w:rFonts w:hint="eastAsia" w:ascii="仿宋" w:hAnsi="仿宋" w:eastAsia="仿宋" w:cs="仿宋"/>
          <w:sz w:val="30"/>
          <w:szCs w:val="30"/>
        </w:rPr>
        <w:t>二、级别分布</w:t>
      </w:r>
    </w:p>
    <w:p>
      <w:pPr>
        <w:pStyle w:val="9"/>
        <w:widowControl/>
        <w:spacing w:beforeLines="50" w:line="360" w:lineRule="auto"/>
        <w:jc w:val="center"/>
        <w:rPr>
          <w:rFonts w:ascii="仿宋" w:hAnsi="仿宋" w:eastAsia="仿宋"/>
          <w:b/>
        </w:rPr>
      </w:pPr>
      <w:r>
        <w:rPr>
          <w:rFonts w:hint="eastAsia" w:ascii="仿宋" w:hAnsi="仿宋" w:eastAsia="仿宋"/>
          <w:b/>
        </w:rPr>
        <w:t>表2 师宗县丹凤街道、漾月街道、大同街道集体建设用地（商服、工业用地、宅基地）图斑面积及级别分布范围表</w:t>
      </w:r>
    </w:p>
    <w:p>
      <w:pPr>
        <w:jc w:val="right"/>
        <w:rPr>
          <w:rFonts w:ascii="仿宋" w:hAnsi="仿宋" w:eastAsia="仿宋" w:cs="仿宋"/>
          <w:sz w:val="18"/>
          <w:szCs w:val="16"/>
        </w:rPr>
      </w:pPr>
      <w:r>
        <w:rPr>
          <w:rFonts w:hint="eastAsia" w:ascii="仿宋" w:hAnsi="仿宋" w:eastAsia="仿宋" w:cs="仿宋"/>
          <w:sz w:val="18"/>
          <w:szCs w:val="16"/>
        </w:rPr>
        <w:t>单位：公顷</w:t>
      </w:r>
    </w:p>
    <w:tbl>
      <w:tblPr>
        <w:tblStyle w:val="10"/>
        <w:tblW w:w="9860"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134"/>
        <w:gridCol w:w="1134"/>
        <w:gridCol w:w="1136"/>
        <w:gridCol w:w="990"/>
        <w:gridCol w:w="4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b/>
                <w:bCs/>
                <w:kern w:val="0"/>
                <w:szCs w:val="21"/>
              </w:rPr>
              <w:t>土地级别</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
                <w:bCs/>
                <w:kern w:val="0"/>
                <w:szCs w:val="21"/>
              </w:rPr>
            </w:pPr>
            <w:r>
              <w:rPr>
                <w:rFonts w:hint="eastAsia" w:ascii="仿宋" w:hAnsi="仿宋" w:eastAsia="仿宋"/>
                <w:b/>
                <w:bCs/>
                <w:kern w:val="0"/>
                <w:szCs w:val="21"/>
              </w:rPr>
              <w:t>级别面积</w:t>
            </w:r>
          </w:p>
        </w:tc>
        <w:tc>
          <w:tcPr>
            <w:tcW w:w="32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
                <w:bCs/>
                <w:kern w:val="0"/>
                <w:szCs w:val="21"/>
              </w:rPr>
            </w:pPr>
            <w:r>
              <w:rPr>
                <w:rFonts w:hint="eastAsia" w:ascii="仿宋" w:hAnsi="仿宋" w:eastAsia="仿宋"/>
                <w:b/>
                <w:bCs/>
                <w:kern w:val="0"/>
                <w:szCs w:val="21"/>
              </w:rPr>
              <w:t>图斑面积</w:t>
            </w:r>
          </w:p>
        </w:tc>
        <w:tc>
          <w:tcPr>
            <w:tcW w:w="44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主要分布范围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spacing w:val="5"/>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
                <w:bCs/>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
                <w:bCs/>
                <w:kern w:val="0"/>
                <w:szCs w:val="21"/>
              </w:rPr>
            </w:pPr>
            <w:r>
              <w:rPr>
                <w:rFonts w:hint="eastAsia" w:ascii="仿宋" w:hAnsi="仿宋" w:eastAsia="仿宋"/>
                <w:b/>
                <w:bCs/>
                <w:kern w:val="0"/>
                <w:szCs w:val="21"/>
              </w:rPr>
              <w:t>商服用地</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
                <w:bCs/>
                <w:kern w:val="0"/>
                <w:szCs w:val="21"/>
              </w:rPr>
            </w:pPr>
            <w:r>
              <w:rPr>
                <w:rFonts w:hint="eastAsia" w:ascii="仿宋" w:hAnsi="仿宋" w:eastAsia="仿宋"/>
                <w:b/>
                <w:bCs/>
                <w:kern w:val="0"/>
                <w:szCs w:val="21"/>
              </w:rPr>
              <w:t>工业用地</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b/>
                <w:bCs/>
                <w:kern w:val="0"/>
                <w:szCs w:val="21"/>
              </w:rPr>
            </w:pPr>
            <w:r>
              <w:rPr>
                <w:rFonts w:hint="eastAsia" w:ascii="仿宋" w:hAnsi="仿宋" w:eastAsia="仿宋"/>
                <w:b/>
                <w:bCs/>
                <w:kern w:val="0"/>
                <w:szCs w:val="21"/>
              </w:rPr>
              <w:t>宅基地</w:t>
            </w:r>
          </w:p>
        </w:tc>
        <w:tc>
          <w:tcPr>
            <w:tcW w:w="447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spacing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9144.97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5.17</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2.86</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262.39</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普朝、大堵村、马路桥、海宴村、龙家山、文明村、法块村、碧宗小学、火草坡、落龙、新村、路新社区居民委员会、法块社区居民委员会、新村社区居民委员会、大堵社区居民委员会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Ⅱ</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20820.97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14.48</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90.06</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1048.93</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小村、杨家大坡、法雨村、淑足村民委员会、法雨社区居民委员会、淑足村民委员会、光坡、淑足村、矣腊社区、山龙村民委员会、山龙村、下阿令、上阿令、白泥坡、官庄村民委员会、石碑社区居民委员会、小石桥、溜子田水库、米车村民委员会、新安村民委员会、小同水库、小芦柴冲村民小组、长桥村民委员会、色从村民委员会、色从水库、色从大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Ⅲ</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14236.99</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0.46</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36.17</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spacing w:val="5"/>
                <w:szCs w:val="21"/>
              </w:rPr>
            </w:pPr>
            <w:r>
              <w:rPr>
                <w:rFonts w:hint="eastAsia" w:ascii="仿宋" w:hAnsi="仿宋" w:eastAsia="仿宋"/>
                <w:spacing w:val="5"/>
                <w:szCs w:val="21"/>
              </w:rPr>
              <w:t>430.39</w:t>
            </w:r>
          </w:p>
        </w:tc>
        <w:tc>
          <w:tcPr>
            <w:tcW w:w="4473" w:type="dxa"/>
            <w:tcBorders>
              <w:top w:val="single" w:color="000000" w:sz="4" w:space="0"/>
              <w:left w:val="single" w:color="000000" w:sz="4" w:space="0"/>
              <w:bottom w:val="single" w:color="000000" w:sz="4" w:space="0"/>
              <w:right w:val="single" w:color="000000" w:sz="4" w:space="0"/>
            </w:tcBorders>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牛宿村民委员会、阿梅者村民委员会、水井头、下阿甸、大起丫、小厂、方家、糯白村民委员会、黑那村民委员会、长桥村民委员会、小石山、启发村、法杂村民委员会、兴发村</w:t>
            </w:r>
          </w:p>
        </w:tc>
      </w:tr>
    </w:tbl>
    <w:p>
      <w:pPr>
        <w:pStyle w:val="5"/>
        <w:spacing w:before="0" w:afterLines="0"/>
        <w:jc w:val="left"/>
        <w:rPr>
          <w:rFonts w:ascii="仿宋" w:hAnsi="仿宋" w:eastAsia="仿宋" w:cs="仿宋"/>
          <w:sz w:val="30"/>
          <w:szCs w:val="30"/>
        </w:rPr>
      </w:pPr>
      <w:r>
        <w:rPr>
          <w:rFonts w:hint="eastAsia" w:ascii="仿宋" w:hAnsi="仿宋" w:eastAsia="仿宋" w:cs="仿宋"/>
          <w:sz w:val="30"/>
          <w:szCs w:val="30"/>
        </w:rPr>
        <w:t>三、基准地价结果公示</w:t>
      </w:r>
    </w:p>
    <w:p>
      <w:pPr>
        <w:pStyle w:val="9"/>
        <w:widowControl/>
        <w:spacing w:beforeLines="50" w:line="360" w:lineRule="auto"/>
        <w:jc w:val="center"/>
        <w:rPr>
          <w:rFonts w:ascii="仿宋" w:hAnsi="仿宋" w:eastAsia="仿宋"/>
          <w:b/>
        </w:rPr>
      </w:pPr>
      <w:r>
        <w:rPr>
          <w:rFonts w:hint="eastAsia" w:ascii="仿宋" w:hAnsi="仿宋" w:eastAsia="仿宋"/>
          <w:b/>
        </w:rPr>
        <w:t>表3 师宗县集体建设用地（商服用地）土地定级与基准地价测算结果汇总表</w:t>
      </w:r>
    </w:p>
    <w:tbl>
      <w:tblPr>
        <w:tblStyle w:val="10"/>
        <w:tblW w:w="56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2637"/>
        <w:gridCol w:w="2627"/>
        <w:gridCol w:w="162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7" w:type="pct"/>
            <w:vMerge w:val="restar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名称</w:t>
            </w:r>
          </w:p>
        </w:tc>
        <w:tc>
          <w:tcPr>
            <w:tcW w:w="1371" w:type="pct"/>
            <w:vMerge w:val="restar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区域</w:t>
            </w:r>
          </w:p>
        </w:tc>
        <w:tc>
          <w:tcPr>
            <w:tcW w:w="1366" w:type="pct"/>
            <w:vMerge w:val="restar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定级类型</w:t>
            </w:r>
          </w:p>
        </w:tc>
        <w:tc>
          <w:tcPr>
            <w:tcW w:w="1695" w:type="pct"/>
            <w:gridSpan w:val="2"/>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土地类型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7"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71"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66"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695" w:type="pct"/>
            <w:gridSpan w:val="2"/>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商服用地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7"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71"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66"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土地级别</w:t>
            </w:r>
          </w:p>
        </w:tc>
        <w:tc>
          <w:tcPr>
            <w:tcW w:w="844"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元/㎡</w:t>
            </w:r>
          </w:p>
        </w:tc>
        <w:tc>
          <w:tcPr>
            <w:tcW w:w="851"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567" w:type="pct"/>
            <w:vMerge w:val="restar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师宗县</w:t>
            </w:r>
          </w:p>
        </w:tc>
        <w:tc>
          <w:tcPr>
            <w:tcW w:w="1371" w:type="pct"/>
            <w:vMerge w:val="restar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城镇基准地价未覆盖区域</w:t>
            </w:r>
          </w:p>
        </w:tc>
        <w:tc>
          <w:tcPr>
            <w:tcW w:w="1366"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Ⅰ级</w:t>
            </w:r>
          </w:p>
        </w:tc>
        <w:tc>
          <w:tcPr>
            <w:tcW w:w="844"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534</w:t>
            </w:r>
          </w:p>
        </w:tc>
        <w:tc>
          <w:tcPr>
            <w:tcW w:w="851"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7"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71"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66"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Ⅱ级</w:t>
            </w:r>
          </w:p>
        </w:tc>
        <w:tc>
          <w:tcPr>
            <w:tcW w:w="844"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431</w:t>
            </w:r>
          </w:p>
        </w:tc>
        <w:tc>
          <w:tcPr>
            <w:tcW w:w="851"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 xml:space="preserve">28.73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7"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71"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66"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Ⅲ级</w:t>
            </w:r>
          </w:p>
        </w:tc>
        <w:tc>
          <w:tcPr>
            <w:tcW w:w="844"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358</w:t>
            </w:r>
          </w:p>
        </w:tc>
        <w:tc>
          <w:tcPr>
            <w:tcW w:w="851"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 xml:space="preserve">23.87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67"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71" w:type="pct"/>
            <w:vMerge w:val="continue"/>
            <w:noWrap/>
            <w:vAlign w:val="center"/>
          </w:tcPr>
          <w:p>
            <w:pPr>
              <w:widowControl/>
              <w:autoSpaceDE w:val="0"/>
              <w:adjustRightInd w:val="0"/>
              <w:snapToGrid w:val="0"/>
              <w:spacing w:line="288" w:lineRule="auto"/>
              <w:jc w:val="center"/>
              <w:rPr>
                <w:rFonts w:ascii="仿宋" w:hAnsi="仿宋" w:eastAsia="仿宋"/>
                <w:spacing w:val="5"/>
                <w:szCs w:val="21"/>
              </w:rPr>
            </w:pPr>
          </w:p>
        </w:tc>
        <w:tc>
          <w:tcPr>
            <w:tcW w:w="1366"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Ⅳ级</w:t>
            </w:r>
          </w:p>
        </w:tc>
        <w:tc>
          <w:tcPr>
            <w:tcW w:w="844"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286</w:t>
            </w:r>
          </w:p>
        </w:tc>
        <w:tc>
          <w:tcPr>
            <w:tcW w:w="851" w:type="pct"/>
            <w:noWrap/>
            <w:vAlign w:val="center"/>
          </w:tcPr>
          <w:p>
            <w:pPr>
              <w:widowControl/>
              <w:autoSpaceDE w:val="0"/>
              <w:adjustRightInd w:val="0"/>
              <w:snapToGrid w:val="0"/>
              <w:spacing w:line="288" w:lineRule="auto"/>
              <w:jc w:val="center"/>
              <w:rPr>
                <w:rFonts w:ascii="仿宋" w:hAnsi="仿宋" w:eastAsia="仿宋"/>
                <w:spacing w:val="5"/>
                <w:szCs w:val="21"/>
              </w:rPr>
            </w:pPr>
            <w:r>
              <w:rPr>
                <w:rFonts w:hint="eastAsia" w:ascii="仿宋" w:hAnsi="仿宋" w:eastAsia="仿宋"/>
                <w:spacing w:val="5"/>
                <w:szCs w:val="21"/>
              </w:rPr>
              <w:t xml:space="preserve">19.07 </w:t>
            </w:r>
          </w:p>
        </w:tc>
      </w:tr>
    </w:tbl>
    <w:p>
      <w:pPr>
        <w:ind w:firstLine="380"/>
        <w:rPr>
          <w:rFonts w:ascii="仿宋" w:hAnsi="仿宋" w:eastAsia="仿宋" w:cs="仿宋"/>
          <w:spacing w:val="5"/>
          <w:kern w:val="0"/>
          <w:sz w:val="18"/>
          <w:szCs w:val="18"/>
        </w:rPr>
      </w:pPr>
      <w:r>
        <w:rPr>
          <w:rFonts w:hint="eastAsia" w:ascii="仿宋" w:hAnsi="仿宋" w:eastAsia="仿宋" w:cs="仿宋"/>
          <w:spacing w:val="5"/>
          <w:kern w:val="0"/>
          <w:sz w:val="18"/>
          <w:szCs w:val="18"/>
        </w:rPr>
        <w:t>备注：本次主要针对城镇基准地价覆盖区域外的农村集体建设用地制定其基准地价，城镇基准地价覆盖区域，建议参照国有建设用地基准地价体系成果执行。</w:t>
      </w:r>
    </w:p>
    <w:p>
      <w:pPr>
        <w:pStyle w:val="9"/>
        <w:widowControl/>
        <w:spacing w:beforeLines="50" w:line="360" w:lineRule="auto"/>
        <w:jc w:val="center"/>
        <w:rPr>
          <w:rFonts w:ascii="仿宋" w:hAnsi="仿宋" w:eastAsia="仿宋"/>
          <w:b/>
        </w:rPr>
      </w:pPr>
      <w:r>
        <w:rPr>
          <w:rFonts w:hint="eastAsia" w:ascii="仿宋" w:hAnsi="仿宋" w:eastAsia="仿宋"/>
          <w:b/>
        </w:rPr>
        <w:t>表4 师宗县丹凤街道、漾月街道、大同街道集体建设用地（商服、工业、宅基地）土地定级与基准地价测算结果汇总表</w:t>
      </w:r>
    </w:p>
    <w:tbl>
      <w:tblPr>
        <w:tblStyle w:val="10"/>
        <w:tblW w:w="46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959"/>
        <w:gridCol w:w="1219"/>
        <w:gridCol w:w="959"/>
        <w:gridCol w:w="1219"/>
        <w:gridCol w:w="9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定级类型</w:t>
            </w:r>
          </w:p>
        </w:tc>
        <w:tc>
          <w:tcPr>
            <w:tcW w:w="4148"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土地类型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18"/>
                <w:szCs w:val="18"/>
              </w:rPr>
            </w:pPr>
          </w:p>
        </w:tc>
        <w:tc>
          <w:tcPr>
            <w:tcW w:w="138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商服用地</w:t>
            </w:r>
          </w:p>
        </w:tc>
        <w:tc>
          <w:tcPr>
            <w:tcW w:w="138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宅基地</w:t>
            </w:r>
          </w:p>
        </w:tc>
        <w:tc>
          <w:tcPr>
            <w:tcW w:w="138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土地级别</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元/㎡</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万元/亩</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元/㎡</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万元/亩</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元/㎡</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8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Ⅰ级</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495</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33.00</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427</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28.47</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198</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Ⅱ级</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401</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26.73</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348</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23.20</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169</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Ⅲ级</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348</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23.20</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285</w:t>
            </w:r>
          </w:p>
        </w:tc>
        <w:tc>
          <w:tcPr>
            <w:tcW w:w="7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19.00</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129</w:t>
            </w:r>
          </w:p>
        </w:tc>
        <w:tc>
          <w:tcPr>
            <w:tcW w:w="7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18"/>
                <w:szCs w:val="18"/>
              </w:rPr>
            </w:pPr>
            <w:r>
              <w:rPr>
                <w:rFonts w:hint="eastAsia" w:ascii="仿宋" w:hAnsi="仿宋" w:eastAsia="仿宋"/>
                <w:sz w:val="18"/>
                <w:szCs w:val="18"/>
              </w:rPr>
              <w:t>8.60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3F8D344D"/>
    <w:rsid w:val="05A11650"/>
    <w:rsid w:val="0A115B62"/>
    <w:rsid w:val="3F8D344D"/>
    <w:rsid w:val="64E57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qFormat/>
    <w:uiPriority w:val="99"/>
    <w:pPr>
      <w:keepNext/>
      <w:keepLines/>
      <w:spacing w:before="100" w:afterLines="100" w:line="360" w:lineRule="auto"/>
      <w:jc w:val="center"/>
      <w:outlineLvl w:val="2"/>
    </w:pPr>
    <w:rPr>
      <w:rFonts w:ascii="Calibri" w:hAnsi="Calibri" w:eastAsia="黑体" w:cs="Calibri"/>
      <w:b/>
      <w:bCs/>
      <w:kern w:val="0"/>
      <w:sz w:val="32"/>
      <w:szCs w:val="32"/>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实施方案正文"/>
    <w:basedOn w:val="3"/>
    <w:qFormat/>
    <w:uiPriority w:val="0"/>
    <w:pPr>
      <w:ind w:firstLine="566" w:firstLineChars="202"/>
    </w:pPr>
    <w:rPr>
      <w:rFonts w:ascii="等线" w:hAnsi="等线" w:eastAsia="等线"/>
      <w:kern w:val="2"/>
      <w:szCs w:val="28"/>
    </w:rPr>
  </w:style>
  <w:style w:type="paragraph" w:customStyle="1" w:styleId="3">
    <w:name w:val="正文 New"/>
    <w:next w:val="2"/>
    <w:qFormat/>
    <w:uiPriority w:val="0"/>
    <w:pPr>
      <w:widowControl w:val="0"/>
      <w:jc w:val="both"/>
    </w:pPr>
    <w:rPr>
      <w:rFonts w:ascii="Times New Roman" w:hAnsi="Times New Roman" w:eastAsia="宋体" w:cs="Times New Roman"/>
      <w:sz w:val="21"/>
      <w:szCs w:val="24"/>
      <w:lang w:val="en-US" w:eastAsia="zh-CN" w:bidi="ar-SA"/>
    </w:rPr>
  </w:style>
  <w:style w:type="paragraph" w:styleId="6">
    <w:name w:val="Body Text"/>
    <w:basedOn w:val="1"/>
    <w:qFormat/>
    <w:uiPriority w:val="0"/>
    <w:pPr>
      <w:spacing w:after="120" w:afterLines="0" w:afterAutospacing="0"/>
    </w:pPr>
  </w:style>
  <w:style w:type="paragraph" w:styleId="7">
    <w:name w:val="Body Text Indent 2"/>
    <w:basedOn w:val="1"/>
    <w:next w:val="8"/>
    <w:qFormat/>
    <w:uiPriority w:val="0"/>
    <w:pPr>
      <w:spacing w:line="600" w:lineRule="exact"/>
      <w:ind w:left="0" w:leftChars="0"/>
    </w:pPr>
  </w:style>
  <w:style w:type="paragraph" w:styleId="8">
    <w:name w:val="Body Text First Indent"/>
    <w:basedOn w:val="6"/>
    <w:uiPriority w:val="0"/>
    <w:pPr>
      <w:ind w:firstLine="420" w:firstLineChars="100"/>
    </w:pPr>
  </w:style>
  <w:style w:type="paragraph" w:styleId="9">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2023-04-26T09:49:00Z</dcterms:created>
  <dc:creator>kikiiiam</dc:creator>
  <cp:lastModifiedBy>kikiiiam</cp:lastModifiedBy>
  <dcterms:modified xsi:type="dcterms:W3CDTF">2023-04-26T09:49:32Z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99838424598745FBABD2D3D8A4B5573B_11</vt:lpwstr>
  </property>
</Properties>
</file>