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附件1</w:t>
      </w:r>
    </w:p>
    <w:p>
      <w:pPr>
        <w:spacing w:line="300" w:lineRule="exact"/>
        <w:jc w:val="left"/>
        <w:rPr>
          <w:rFonts w:hint="default" w:ascii="Times New Roman" w:hAnsi="Times New Roman" w:eastAsia="方正黑体_GBK" w:cs="Times New Roman"/>
          <w:sz w:val="32"/>
          <w:szCs w:val="32"/>
        </w:rPr>
      </w:pPr>
    </w:p>
    <w:p>
      <w:pPr>
        <w:spacing w:line="580" w:lineRule="exact"/>
        <w:jc w:val="center"/>
        <w:outlineLvl w:val="0"/>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师宗县人民政府决定清理规范的行政审批中介服务事项目录</w:t>
      </w:r>
    </w:p>
    <w:p>
      <w:pPr>
        <w:spacing w:line="580" w:lineRule="exact"/>
        <w:jc w:val="center"/>
        <w:rPr>
          <w:rFonts w:hint="default" w:ascii="Times New Roman" w:hAnsi="Times New Roman" w:eastAsia="方正楷体_GBK" w:cs="Times New Roman"/>
          <w:sz w:val="30"/>
          <w:szCs w:val="30"/>
        </w:rPr>
      </w:pPr>
      <w:r>
        <w:rPr>
          <w:rFonts w:hint="default" w:ascii="Times New Roman" w:hAnsi="Times New Roman" w:eastAsia="方正楷体_GBK" w:cs="Times New Roman"/>
          <w:sz w:val="30"/>
          <w:szCs w:val="30"/>
        </w:rPr>
        <w:t>（共13项）</w:t>
      </w:r>
    </w:p>
    <w:p>
      <w:pPr>
        <w:spacing w:line="580" w:lineRule="exact"/>
        <w:outlineLvl w:val="1"/>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t>一、直接取消中介服务的事项（4项）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38"/>
        <w:gridCol w:w="1347"/>
        <w:gridCol w:w="1748"/>
        <w:gridCol w:w="1354"/>
        <w:gridCol w:w="1470"/>
        <w:gridCol w:w="831"/>
        <w:gridCol w:w="3144"/>
        <w:gridCol w:w="1547"/>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6" w:hRule="atLeast"/>
          <w:tblHeader/>
          <w:jc w:val="center"/>
        </w:trPr>
        <w:tc>
          <w:tcPr>
            <w:tcW w:w="538" w:type="dxa"/>
            <w:vMerge w:val="restart"/>
            <w:noWrap w:val="0"/>
            <w:vAlign w:val="center"/>
          </w:tcPr>
          <w:p>
            <w:pPr>
              <w:widowControl/>
              <w:spacing w:line="4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序号</w:t>
            </w:r>
          </w:p>
        </w:tc>
        <w:tc>
          <w:tcPr>
            <w:tcW w:w="1347" w:type="dxa"/>
            <w:vMerge w:val="restart"/>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行政审批中介服务事项名称</w:t>
            </w:r>
          </w:p>
        </w:tc>
        <w:tc>
          <w:tcPr>
            <w:tcW w:w="5403" w:type="dxa"/>
            <w:gridSpan w:val="4"/>
            <w:noWrap w:val="0"/>
            <w:vAlign w:val="center"/>
          </w:tcPr>
          <w:p>
            <w:pPr>
              <w:widowControl/>
              <w:spacing w:line="4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涉及行政许可事项</w:t>
            </w:r>
          </w:p>
        </w:tc>
        <w:tc>
          <w:tcPr>
            <w:tcW w:w="3144" w:type="dxa"/>
            <w:vMerge w:val="restart"/>
            <w:noWrap w:val="0"/>
            <w:vAlign w:val="center"/>
          </w:tcPr>
          <w:p>
            <w:pPr>
              <w:widowControl/>
              <w:spacing w:line="4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中介服务原设定依据</w:t>
            </w:r>
          </w:p>
        </w:tc>
        <w:tc>
          <w:tcPr>
            <w:tcW w:w="1547" w:type="dxa"/>
            <w:vMerge w:val="restart"/>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原中介</w:t>
            </w:r>
          </w:p>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服务机构</w:t>
            </w:r>
          </w:p>
        </w:tc>
        <w:tc>
          <w:tcPr>
            <w:tcW w:w="1787" w:type="dxa"/>
            <w:vMerge w:val="restart"/>
            <w:noWrap w:val="0"/>
            <w:vAlign w:val="center"/>
          </w:tcPr>
          <w:p>
            <w:pPr>
              <w:widowControl/>
              <w:spacing w:line="4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处理决定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96" w:hRule="atLeast"/>
          <w:tblHeader/>
          <w:jc w:val="center"/>
        </w:trPr>
        <w:tc>
          <w:tcPr>
            <w:tcW w:w="538" w:type="dxa"/>
            <w:vMerge w:val="continue"/>
            <w:noWrap w:val="0"/>
            <w:vAlign w:val="center"/>
          </w:tcPr>
          <w:p>
            <w:pPr>
              <w:widowControl/>
              <w:jc w:val="left"/>
              <w:rPr>
                <w:rFonts w:hint="default" w:ascii="Times New Roman" w:hAnsi="Times New Roman" w:eastAsia="方正黑体_GBK" w:cs="Times New Roman"/>
                <w:kern w:val="0"/>
                <w:szCs w:val="21"/>
              </w:rPr>
            </w:pPr>
          </w:p>
        </w:tc>
        <w:tc>
          <w:tcPr>
            <w:tcW w:w="1347" w:type="dxa"/>
            <w:vMerge w:val="continue"/>
            <w:noWrap w:val="0"/>
            <w:vAlign w:val="center"/>
          </w:tcPr>
          <w:p>
            <w:pPr>
              <w:widowControl/>
              <w:jc w:val="center"/>
              <w:rPr>
                <w:rFonts w:hint="default" w:ascii="Times New Roman" w:hAnsi="Times New Roman" w:eastAsia="方正黑体_GBK" w:cs="Times New Roman"/>
                <w:kern w:val="0"/>
                <w:szCs w:val="21"/>
              </w:rPr>
            </w:pPr>
          </w:p>
        </w:tc>
        <w:tc>
          <w:tcPr>
            <w:tcW w:w="1748" w:type="dxa"/>
            <w:noWrap w:val="0"/>
            <w:vAlign w:val="center"/>
          </w:tcPr>
          <w:p>
            <w:pPr>
              <w:widowControl/>
              <w:spacing w:line="4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主项名称</w:t>
            </w:r>
          </w:p>
        </w:tc>
        <w:tc>
          <w:tcPr>
            <w:tcW w:w="1354" w:type="dxa"/>
            <w:noWrap w:val="0"/>
            <w:vAlign w:val="center"/>
          </w:tcPr>
          <w:p>
            <w:pPr>
              <w:widowControl/>
              <w:spacing w:line="4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子项名称</w:t>
            </w:r>
          </w:p>
        </w:tc>
        <w:tc>
          <w:tcPr>
            <w:tcW w:w="1470" w:type="dxa"/>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业务指导（实施）部门</w:t>
            </w:r>
          </w:p>
        </w:tc>
        <w:tc>
          <w:tcPr>
            <w:tcW w:w="831" w:type="dxa"/>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行使</w:t>
            </w:r>
          </w:p>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层级</w:t>
            </w:r>
          </w:p>
        </w:tc>
        <w:tc>
          <w:tcPr>
            <w:tcW w:w="3144" w:type="dxa"/>
            <w:vMerge w:val="continue"/>
            <w:noWrap w:val="0"/>
            <w:vAlign w:val="center"/>
          </w:tcPr>
          <w:p>
            <w:pPr>
              <w:widowControl/>
              <w:rPr>
                <w:rFonts w:hint="default" w:ascii="Times New Roman" w:hAnsi="Times New Roman" w:eastAsia="方正黑体_GBK" w:cs="Times New Roman"/>
                <w:kern w:val="0"/>
                <w:szCs w:val="21"/>
              </w:rPr>
            </w:pPr>
          </w:p>
        </w:tc>
        <w:tc>
          <w:tcPr>
            <w:tcW w:w="1547" w:type="dxa"/>
            <w:vMerge w:val="continue"/>
            <w:noWrap w:val="0"/>
            <w:vAlign w:val="center"/>
          </w:tcPr>
          <w:p>
            <w:pPr>
              <w:widowControl/>
              <w:rPr>
                <w:rFonts w:hint="default" w:ascii="Times New Roman" w:hAnsi="Times New Roman" w:eastAsia="方正黑体_GBK" w:cs="Times New Roman"/>
                <w:kern w:val="0"/>
                <w:szCs w:val="21"/>
              </w:rPr>
            </w:pPr>
          </w:p>
        </w:tc>
        <w:tc>
          <w:tcPr>
            <w:tcW w:w="1787" w:type="dxa"/>
            <w:vMerge w:val="continue"/>
            <w:noWrap w:val="0"/>
            <w:vAlign w:val="center"/>
          </w:tcPr>
          <w:p>
            <w:pPr>
              <w:widowControl/>
              <w:rPr>
                <w:rFonts w:hint="default" w:ascii="Times New Roman" w:hAnsi="Times New Roman" w:eastAsia="方正黑体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设立民办职业培训学校资产审计</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民办职业培训学校设立、分立、合并、变更及终止审批</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《中华人民共和国民办教育促进法》</w:t>
            </w:r>
          </w:p>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注：审批工作中要求申请人提供审计机构出具的资产审计报告</w:t>
            </w:r>
          </w:p>
        </w:tc>
        <w:tc>
          <w:tcPr>
            <w:tcW w:w="1547"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法定验资机构</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不再要求申请人提供资产审计报告。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57" w:hRule="atLeast"/>
          <w:jc w:val="center"/>
        </w:trPr>
        <w:tc>
          <w:tcPr>
            <w:tcW w:w="53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w:t>
            </w:r>
          </w:p>
        </w:tc>
        <w:tc>
          <w:tcPr>
            <w:tcW w:w="1347"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采矿权申请范围核查</w:t>
            </w:r>
          </w:p>
        </w:tc>
        <w:tc>
          <w:tcPr>
            <w:tcW w:w="1748"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开采矿产资源审批</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开采矿产资源划定矿区范围批准</w:t>
            </w:r>
          </w:p>
        </w:tc>
        <w:tc>
          <w:tcPr>
            <w:tcW w:w="1470"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831"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3144"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《国土资源部关于调整探矿权、采矿权申请资料有关问题的公告》（国土资源部公告2009年第17号）</w:t>
            </w:r>
          </w:p>
        </w:tc>
        <w:tc>
          <w:tcPr>
            <w:tcW w:w="1547"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具备相应资质的测量单位</w:t>
            </w:r>
          </w:p>
        </w:tc>
        <w:tc>
          <w:tcPr>
            <w:tcW w:w="1787"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不再要求申请人提供采矿权申请范围核查表，自然资源主管部门也不再委托有关机构进行采矿权申请范围核查。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1" w:hRule="atLeast"/>
          <w:jc w:val="center"/>
        </w:trPr>
        <w:tc>
          <w:tcPr>
            <w:tcW w:w="53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p>
        </w:tc>
        <w:tc>
          <w:tcPr>
            <w:tcW w:w="1347"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748"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354"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新设采矿权登记</w:t>
            </w:r>
          </w:p>
        </w:tc>
        <w:tc>
          <w:tcPr>
            <w:tcW w:w="1470"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831"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3144"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547"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787"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18" w:hRule="atLeast"/>
          <w:jc w:val="center"/>
        </w:trPr>
        <w:tc>
          <w:tcPr>
            <w:tcW w:w="538"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p>
        </w:tc>
        <w:tc>
          <w:tcPr>
            <w:tcW w:w="1347"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748"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354"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采矿权变更登记</w:t>
            </w:r>
          </w:p>
        </w:tc>
        <w:tc>
          <w:tcPr>
            <w:tcW w:w="1470" w:type="dxa"/>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831" w:type="dxa"/>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3144"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547"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787"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772" w:hRule="atLeast"/>
          <w:jc w:val="center"/>
        </w:trPr>
        <w:tc>
          <w:tcPr>
            <w:tcW w:w="53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w:t>
            </w:r>
          </w:p>
        </w:tc>
        <w:tc>
          <w:tcPr>
            <w:tcW w:w="1347"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矿产资源开采地质报告编制</w:t>
            </w:r>
          </w:p>
        </w:tc>
        <w:tc>
          <w:tcPr>
            <w:tcW w:w="1748"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开采矿产资源审批</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新设采矿权登记</w:t>
            </w:r>
          </w:p>
        </w:tc>
        <w:tc>
          <w:tcPr>
            <w:tcW w:w="1470"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831"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3144"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《国土资源部关于矿产资源勘查登记、开采登记有关规定的通知》（国土资发〔1998〕7号）</w:t>
            </w:r>
          </w:p>
        </w:tc>
        <w:tc>
          <w:tcPr>
            <w:tcW w:w="1547"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具备相应资质的机构</w:t>
            </w:r>
          </w:p>
        </w:tc>
        <w:tc>
          <w:tcPr>
            <w:tcW w:w="1787"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不再要求申请人提供矿产资源开采地质报告。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06" w:hRule="atLeast"/>
          <w:jc w:val="center"/>
        </w:trPr>
        <w:tc>
          <w:tcPr>
            <w:tcW w:w="538"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p>
        </w:tc>
        <w:tc>
          <w:tcPr>
            <w:tcW w:w="1347"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748"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354"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采矿权变更登记</w:t>
            </w:r>
          </w:p>
        </w:tc>
        <w:tc>
          <w:tcPr>
            <w:tcW w:w="1470"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831"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3144"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547"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787"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68" w:hRule="atLeast"/>
          <w:jc w:val="center"/>
        </w:trPr>
        <w:tc>
          <w:tcPr>
            <w:tcW w:w="538"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p>
        </w:tc>
        <w:tc>
          <w:tcPr>
            <w:tcW w:w="1347"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748"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354"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采矿权延续登记</w:t>
            </w:r>
          </w:p>
        </w:tc>
        <w:tc>
          <w:tcPr>
            <w:tcW w:w="1470" w:type="dxa"/>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831" w:type="dxa"/>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3144"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547"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787"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91" w:hRule="atLeast"/>
          <w:jc w:val="center"/>
        </w:trPr>
        <w:tc>
          <w:tcPr>
            <w:tcW w:w="5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w:t>
            </w:r>
          </w:p>
        </w:tc>
        <w:tc>
          <w:tcPr>
            <w:tcW w:w="1347"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在餐饮服务中提供的自酿酒成品安全性检验</w:t>
            </w:r>
          </w:p>
        </w:tc>
        <w:tc>
          <w:tcPr>
            <w:tcW w:w="1748"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食品（含保健食品）生产、经营许可</w:t>
            </w:r>
          </w:p>
        </w:tc>
        <w:tc>
          <w:tcPr>
            <w:tcW w:w="1354"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食品（含保健食品）经营许可</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县市场监管局</w:t>
            </w:r>
          </w:p>
        </w:tc>
        <w:tc>
          <w:tcPr>
            <w:tcW w:w="8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3144"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《食品药品监管总局关于印发食品经营许可审查通则（试行）的通知》（食药监食监二〔2015〕228号）</w:t>
            </w:r>
          </w:p>
        </w:tc>
        <w:tc>
          <w:tcPr>
            <w:tcW w:w="1547"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具备相应资质的食品安全第三方机构</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不再要求申请人提供在餐饮服务中提供的自酿酒成品安全性检验合格报告。</w:t>
            </w:r>
          </w:p>
        </w:tc>
      </w:tr>
    </w:tbl>
    <w:p>
      <w:pPr>
        <w:spacing w:line="580" w:lineRule="exact"/>
        <w:jc w:val="left"/>
        <w:outlineLvl w:val="1"/>
        <w:rPr>
          <w:rFonts w:hint="default" w:ascii="Times New Roman" w:hAnsi="Times New Roman" w:eastAsia="方正黑体_GBK" w:cs="Times New Roman"/>
          <w:sz w:val="30"/>
          <w:szCs w:val="30"/>
        </w:rPr>
      </w:pPr>
      <w:r>
        <w:rPr>
          <w:rFonts w:hint="default" w:ascii="Times New Roman" w:hAnsi="Times New Roman" w:eastAsia="方正黑体_GBK" w:cs="Times New Roman"/>
          <w:sz w:val="30"/>
          <w:szCs w:val="30"/>
        </w:rPr>
        <w:br w:type="page"/>
      </w:r>
      <w:r>
        <w:rPr>
          <w:rFonts w:hint="default" w:ascii="Times New Roman" w:hAnsi="Times New Roman" w:eastAsia="方正黑体_GBK" w:cs="Times New Roman"/>
          <w:sz w:val="30"/>
          <w:szCs w:val="30"/>
        </w:rPr>
        <w:t>二、改由申请人自主决定是否委托中介机构完成的事项（9项）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16"/>
        <w:gridCol w:w="966"/>
        <w:gridCol w:w="1591"/>
        <w:gridCol w:w="1842"/>
        <w:gridCol w:w="1438"/>
        <w:gridCol w:w="744"/>
        <w:gridCol w:w="2501"/>
        <w:gridCol w:w="991"/>
        <w:gridCol w:w="2291"/>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jc w:val="center"/>
        </w:trPr>
        <w:tc>
          <w:tcPr>
            <w:tcW w:w="416" w:type="dxa"/>
            <w:vMerge w:val="restart"/>
            <w:noWrap w:val="0"/>
            <w:vAlign w:val="center"/>
          </w:tcPr>
          <w:p>
            <w:pPr>
              <w:widowControl/>
              <w:spacing w:line="4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序号</w:t>
            </w:r>
          </w:p>
        </w:tc>
        <w:tc>
          <w:tcPr>
            <w:tcW w:w="966" w:type="dxa"/>
            <w:vMerge w:val="restart"/>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行政审批中介服务事项名称</w:t>
            </w:r>
          </w:p>
        </w:tc>
        <w:tc>
          <w:tcPr>
            <w:tcW w:w="5615" w:type="dxa"/>
            <w:gridSpan w:val="4"/>
            <w:noWrap w:val="0"/>
            <w:vAlign w:val="center"/>
          </w:tcPr>
          <w:p>
            <w:pPr>
              <w:widowControl/>
              <w:spacing w:line="36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涉及行政许可事项</w:t>
            </w:r>
          </w:p>
        </w:tc>
        <w:tc>
          <w:tcPr>
            <w:tcW w:w="2501" w:type="dxa"/>
            <w:vMerge w:val="restart"/>
            <w:noWrap w:val="0"/>
            <w:vAlign w:val="center"/>
          </w:tcPr>
          <w:p>
            <w:pPr>
              <w:widowControl/>
              <w:spacing w:line="4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中介服务设定依据</w:t>
            </w:r>
          </w:p>
        </w:tc>
        <w:tc>
          <w:tcPr>
            <w:tcW w:w="991" w:type="dxa"/>
            <w:vMerge w:val="restart"/>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中介服务机构</w:t>
            </w:r>
          </w:p>
        </w:tc>
        <w:tc>
          <w:tcPr>
            <w:tcW w:w="2291" w:type="dxa"/>
            <w:vMerge w:val="restart"/>
            <w:noWrap w:val="0"/>
            <w:vAlign w:val="center"/>
          </w:tcPr>
          <w:p>
            <w:pPr>
              <w:widowControl/>
              <w:spacing w:line="4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处理决定</w:t>
            </w:r>
          </w:p>
        </w:tc>
        <w:tc>
          <w:tcPr>
            <w:tcW w:w="986" w:type="dxa"/>
            <w:vMerge w:val="restart"/>
            <w:noWrap w:val="0"/>
            <w:vAlign w:val="center"/>
          </w:tcPr>
          <w:p>
            <w:pPr>
              <w:widowControl/>
              <w:spacing w:line="4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54" w:hRule="atLeast"/>
          <w:tblHeader/>
          <w:jc w:val="center"/>
        </w:trPr>
        <w:tc>
          <w:tcPr>
            <w:tcW w:w="416" w:type="dxa"/>
            <w:vMerge w:val="continue"/>
            <w:noWrap w:val="0"/>
            <w:vAlign w:val="center"/>
          </w:tcPr>
          <w:p>
            <w:pPr>
              <w:widowControl/>
              <w:spacing w:line="400" w:lineRule="exact"/>
              <w:jc w:val="left"/>
              <w:rPr>
                <w:rFonts w:hint="default" w:ascii="Times New Roman" w:hAnsi="Times New Roman" w:eastAsia="方正黑体_GBK" w:cs="Times New Roman"/>
                <w:kern w:val="0"/>
                <w:szCs w:val="21"/>
              </w:rPr>
            </w:pPr>
          </w:p>
        </w:tc>
        <w:tc>
          <w:tcPr>
            <w:tcW w:w="966" w:type="dxa"/>
            <w:vMerge w:val="continue"/>
            <w:noWrap w:val="0"/>
            <w:vAlign w:val="center"/>
          </w:tcPr>
          <w:p>
            <w:pPr>
              <w:widowControl/>
              <w:spacing w:line="360" w:lineRule="exact"/>
              <w:jc w:val="center"/>
              <w:rPr>
                <w:rFonts w:hint="default" w:ascii="Times New Roman" w:hAnsi="Times New Roman" w:eastAsia="方正黑体_GBK" w:cs="Times New Roman"/>
                <w:kern w:val="0"/>
                <w:szCs w:val="21"/>
              </w:rPr>
            </w:pPr>
          </w:p>
        </w:tc>
        <w:tc>
          <w:tcPr>
            <w:tcW w:w="1591" w:type="dxa"/>
            <w:noWrap w:val="0"/>
            <w:vAlign w:val="center"/>
          </w:tcPr>
          <w:p>
            <w:pPr>
              <w:widowControl/>
              <w:spacing w:line="36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主项名称</w:t>
            </w:r>
          </w:p>
        </w:tc>
        <w:tc>
          <w:tcPr>
            <w:tcW w:w="1842" w:type="dxa"/>
            <w:noWrap w:val="0"/>
            <w:vAlign w:val="center"/>
          </w:tcPr>
          <w:p>
            <w:pPr>
              <w:widowControl/>
              <w:spacing w:line="36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子项名称</w:t>
            </w:r>
          </w:p>
        </w:tc>
        <w:tc>
          <w:tcPr>
            <w:tcW w:w="1438" w:type="dxa"/>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业务指导（实施）部门</w:t>
            </w:r>
          </w:p>
        </w:tc>
        <w:tc>
          <w:tcPr>
            <w:tcW w:w="744" w:type="dxa"/>
            <w:noWrap w:val="0"/>
            <w:vAlign w:val="center"/>
          </w:tcPr>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行使</w:t>
            </w:r>
          </w:p>
          <w:p>
            <w:pPr>
              <w:widowControl/>
              <w:spacing w:line="300" w:lineRule="exact"/>
              <w:jc w:val="center"/>
              <w:rPr>
                <w:rFonts w:hint="default" w:ascii="Times New Roman" w:hAnsi="Times New Roman" w:eastAsia="方正黑体_GBK" w:cs="Times New Roman"/>
                <w:kern w:val="0"/>
                <w:szCs w:val="21"/>
              </w:rPr>
            </w:pPr>
            <w:r>
              <w:rPr>
                <w:rFonts w:hint="default" w:ascii="Times New Roman" w:hAnsi="Times New Roman" w:eastAsia="方正黑体_GBK" w:cs="Times New Roman"/>
                <w:kern w:val="0"/>
                <w:szCs w:val="21"/>
              </w:rPr>
              <w:t>层级</w:t>
            </w:r>
          </w:p>
        </w:tc>
        <w:tc>
          <w:tcPr>
            <w:tcW w:w="2501" w:type="dxa"/>
            <w:vMerge w:val="continue"/>
            <w:noWrap w:val="0"/>
            <w:vAlign w:val="center"/>
          </w:tcPr>
          <w:p>
            <w:pPr>
              <w:widowControl/>
              <w:rPr>
                <w:rFonts w:hint="default" w:ascii="Times New Roman" w:hAnsi="Times New Roman" w:eastAsia="方正黑体_GBK" w:cs="Times New Roman"/>
                <w:kern w:val="0"/>
                <w:szCs w:val="21"/>
              </w:rPr>
            </w:pPr>
          </w:p>
        </w:tc>
        <w:tc>
          <w:tcPr>
            <w:tcW w:w="991" w:type="dxa"/>
            <w:vMerge w:val="continue"/>
            <w:noWrap w:val="0"/>
            <w:vAlign w:val="center"/>
          </w:tcPr>
          <w:p>
            <w:pPr>
              <w:widowControl/>
              <w:rPr>
                <w:rFonts w:hint="default" w:ascii="Times New Roman" w:hAnsi="Times New Roman" w:eastAsia="方正黑体_GBK" w:cs="Times New Roman"/>
                <w:kern w:val="0"/>
                <w:szCs w:val="21"/>
              </w:rPr>
            </w:pPr>
          </w:p>
        </w:tc>
        <w:tc>
          <w:tcPr>
            <w:tcW w:w="2291" w:type="dxa"/>
            <w:vMerge w:val="continue"/>
            <w:noWrap w:val="0"/>
            <w:vAlign w:val="center"/>
          </w:tcPr>
          <w:p>
            <w:pPr>
              <w:widowControl/>
              <w:rPr>
                <w:rFonts w:hint="default" w:ascii="Times New Roman" w:hAnsi="Times New Roman" w:eastAsia="方正黑体_GBK" w:cs="Times New Roman"/>
                <w:kern w:val="0"/>
                <w:szCs w:val="21"/>
              </w:rPr>
            </w:pPr>
          </w:p>
        </w:tc>
        <w:tc>
          <w:tcPr>
            <w:tcW w:w="986" w:type="dxa"/>
            <w:vMerge w:val="continue"/>
            <w:noWrap w:val="0"/>
            <w:vAlign w:val="center"/>
          </w:tcPr>
          <w:p>
            <w:pPr>
              <w:widowControl/>
              <w:rPr>
                <w:rFonts w:hint="default" w:ascii="Times New Roman" w:hAnsi="Times New Roman" w:eastAsia="方正黑体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011" w:hRule="atLeast"/>
          <w:jc w:val="center"/>
        </w:trPr>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1</w:t>
            </w:r>
          </w:p>
        </w:tc>
        <w:tc>
          <w:tcPr>
            <w:tcW w:w="966"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终止民办职业培训学校财务清算</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民办职业培训学校设立、分立、合并、变更及终止审批</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kern w:val="0"/>
                <w:szCs w:val="21"/>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lang w:val="en"/>
              </w:rPr>
            </w:pPr>
            <w:r>
              <w:rPr>
                <w:rFonts w:hint="default" w:ascii="Times New Roman" w:hAnsi="Times New Roman" w:eastAsia="方正仿宋_GBK" w:cs="Times New Roman"/>
                <w:kern w:val="0"/>
                <w:szCs w:val="21"/>
                <w:lang w:val="en"/>
              </w:rPr>
              <w:t>《中华人民共和国民办教育促进法》</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法定验资机构</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申请人可按照要求自行编制财务清算报告，也可委托有关机构编制，审批部门不得以任何形式要求申请人必须委托中介机构提供服务。</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3621" w:hRule="atLeast"/>
          <w:jc w:val="center"/>
        </w:trPr>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2</w:t>
            </w:r>
          </w:p>
        </w:tc>
        <w:tc>
          <w:tcPr>
            <w:tcW w:w="966"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建设项目踏勘选址论证</w:t>
            </w:r>
          </w:p>
        </w:tc>
        <w:tc>
          <w:tcPr>
            <w:tcW w:w="1591"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建设项目用地预审与选址意见书核发</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kern w:val="0"/>
                <w:szCs w:val="21"/>
              </w:rPr>
            </w:pPr>
          </w:p>
        </w:tc>
        <w:tc>
          <w:tcPr>
            <w:tcW w:w="143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501"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lang w:val="en"/>
              </w:rPr>
            </w:pPr>
            <w:r>
              <w:rPr>
                <w:rFonts w:hint="default" w:ascii="Times New Roman" w:hAnsi="Times New Roman" w:eastAsia="方正仿宋_GBK" w:cs="Times New Roman"/>
                <w:kern w:val="0"/>
                <w:szCs w:val="21"/>
                <w:lang w:val="en"/>
              </w:rPr>
              <w:t>《建设项目用地预审管理办法》（国土资源部令第42号发布，国土资源部令第68号修正）</w:t>
            </w:r>
          </w:p>
          <w:p>
            <w:pPr>
              <w:widowControl/>
              <w:rPr>
                <w:rFonts w:hint="default" w:ascii="Times New Roman" w:hAnsi="Times New Roman" w:eastAsia="方正仿宋_GBK" w:cs="Times New Roman"/>
                <w:kern w:val="0"/>
                <w:szCs w:val="21"/>
                <w:lang w:val="en"/>
              </w:rPr>
            </w:pPr>
            <w:r>
              <w:rPr>
                <w:rFonts w:hint="default" w:ascii="Times New Roman" w:hAnsi="Times New Roman" w:eastAsia="方正仿宋_GBK" w:cs="Times New Roman"/>
                <w:kern w:val="0"/>
                <w:szCs w:val="21"/>
                <w:lang w:val="en"/>
              </w:rPr>
              <w:t>《云南省城乡规划条例》</w:t>
            </w:r>
          </w:p>
        </w:tc>
        <w:tc>
          <w:tcPr>
            <w:tcW w:w="991"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具备相应能力的机构</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申请人可按照要求自行编制建设项目踏勘选址论证报告，也可委托有关机构编制，审批部门不得以任何形式要求申请人必须委托中介机构提供服务。</w:t>
            </w:r>
          </w:p>
        </w:tc>
        <w:tc>
          <w:tcPr>
            <w:tcW w:w="986" w:type="dxa"/>
            <w:tcBorders>
              <w:top w:val="single" w:color="auto" w:sz="4" w:space="0"/>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349" w:hRule="atLeast"/>
          <w:jc w:val="center"/>
        </w:trPr>
        <w:tc>
          <w:tcPr>
            <w:tcW w:w="416"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3</w:t>
            </w:r>
          </w:p>
        </w:tc>
        <w:tc>
          <w:tcPr>
            <w:tcW w:w="966"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不涉及自然资源主管部门直接出让采矿权情形的矿产资源储量报告编制</w:t>
            </w:r>
          </w:p>
        </w:tc>
        <w:tc>
          <w:tcPr>
            <w:tcW w:w="1591"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开采矿产资源审批</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新设采矿权登记</w:t>
            </w:r>
          </w:p>
        </w:tc>
        <w:tc>
          <w:tcPr>
            <w:tcW w:w="143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4"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501"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lang w:val="en"/>
              </w:rPr>
            </w:pPr>
            <w:r>
              <w:rPr>
                <w:rFonts w:hint="default" w:ascii="Times New Roman" w:hAnsi="Times New Roman" w:eastAsia="方正仿宋_GBK" w:cs="Times New Roman"/>
                <w:kern w:val="0"/>
                <w:szCs w:val="21"/>
                <w:lang w:val="en"/>
              </w:rPr>
              <w:t>《自然资源部办公厅关于矿产资源储量评审备案管理若干事项的通知》（自然资办发〔2020〕26号）</w:t>
            </w:r>
          </w:p>
        </w:tc>
        <w:tc>
          <w:tcPr>
            <w:tcW w:w="991"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具备相应资质的单位</w:t>
            </w:r>
          </w:p>
        </w:tc>
        <w:tc>
          <w:tcPr>
            <w:tcW w:w="2291"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具备相应资质的申请人可按照要求自行编制不涉及自然资源主管部门直接出让采矿权情形的矿产资源储量报告，也可委托有关机构编制，审批部门不得以任何形式要求申请人必须委托中介机构提供服务。</w:t>
            </w:r>
          </w:p>
        </w:tc>
        <w:tc>
          <w:tcPr>
            <w:tcW w:w="986"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p>
            <w:pPr>
              <w:widowControl/>
              <w:rPr>
                <w:rFonts w:hint="default" w:ascii="Times New Roman" w:hAnsi="Times New Roman" w:eastAsia="方正仿宋_GBK" w:cs="Times New Roman"/>
                <w:kern w:val="0"/>
                <w:szCs w:val="21"/>
              </w:rPr>
            </w:pPr>
          </w:p>
          <w:p>
            <w:pPr>
              <w:widowControl/>
              <w:rPr>
                <w:rFonts w:hint="default" w:ascii="Times New Roman" w:hAnsi="Times New Roman" w:eastAsia="方正仿宋_GBK" w:cs="Times New Roman"/>
                <w:kern w:val="0"/>
                <w:szCs w:val="21"/>
              </w:rPr>
            </w:pPr>
          </w:p>
          <w:p>
            <w:pPr>
              <w:widowControl/>
              <w:rPr>
                <w:rFonts w:hint="default" w:ascii="Times New Roman" w:hAnsi="Times New Roman" w:eastAsia="方正仿宋_GBK" w:cs="Times New Roman"/>
                <w:kern w:val="0"/>
                <w:szCs w:val="21"/>
              </w:rPr>
            </w:pPr>
          </w:p>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涉及自然资源主管部门直接出让采矿权情形的矿产资源储量报告，由审批部门自行编制或委托中介机构提供服务。</w:t>
            </w:r>
          </w:p>
          <w:p>
            <w:pPr>
              <w:widowControl/>
              <w:rPr>
                <w:rFonts w:hint="default" w:ascii="Times New Roman" w:hAnsi="Times New Roman" w:eastAsia="方正仿宋_GBK" w:cs="Times New Roman"/>
                <w:kern w:val="0"/>
                <w:szCs w:val="21"/>
              </w:rPr>
            </w:pPr>
          </w:p>
          <w:p>
            <w:pPr>
              <w:widowControl/>
              <w:rPr>
                <w:rFonts w:hint="default" w:ascii="Times New Roman" w:hAnsi="Times New Roman" w:eastAsia="方正仿宋_GBK" w:cs="Times New Roman"/>
                <w:kern w:val="0"/>
                <w:szCs w:val="21"/>
              </w:rPr>
            </w:pPr>
          </w:p>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24" w:hRule="atLeast"/>
          <w:jc w:val="center"/>
        </w:trPr>
        <w:tc>
          <w:tcPr>
            <w:tcW w:w="416"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p>
        </w:tc>
        <w:tc>
          <w:tcPr>
            <w:tcW w:w="966"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5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采矿权变更登记</w:t>
            </w:r>
          </w:p>
        </w:tc>
        <w:tc>
          <w:tcPr>
            <w:tcW w:w="1438"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4"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50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lang w:val="en"/>
              </w:rPr>
            </w:pPr>
          </w:p>
        </w:tc>
        <w:tc>
          <w:tcPr>
            <w:tcW w:w="9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22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986"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411" w:hRule="atLeast"/>
          <w:jc w:val="center"/>
        </w:trPr>
        <w:tc>
          <w:tcPr>
            <w:tcW w:w="416"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p>
        </w:tc>
        <w:tc>
          <w:tcPr>
            <w:tcW w:w="966"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591"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采矿权延续登记</w:t>
            </w:r>
          </w:p>
        </w:tc>
        <w:tc>
          <w:tcPr>
            <w:tcW w:w="1438" w:type="dxa"/>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县自然资源局</w:t>
            </w:r>
          </w:p>
        </w:tc>
        <w:tc>
          <w:tcPr>
            <w:tcW w:w="744" w:type="dxa"/>
            <w:tcBorders>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501"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lang w:val="en"/>
              </w:rPr>
            </w:pPr>
          </w:p>
        </w:tc>
        <w:tc>
          <w:tcPr>
            <w:tcW w:w="991"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2291"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986" w:type="dxa"/>
            <w:vMerge w:val="continue"/>
            <w:tcBorders>
              <w:left w:val="single" w:color="auto" w:sz="4" w:space="0"/>
              <w:bottom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142" w:hRule="atLeast"/>
          <w:jc w:val="center"/>
        </w:trPr>
        <w:tc>
          <w:tcPr>
            <w:tcW w:w="416"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p>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4</w:t>
            </w:r>
          </w:p>
          <w:p>
            <w:pPr>
              <w:widowControl/>
              <w:jc w:val="center"/>
              <w:rPr>
                <w:rFonts w:hint="default" w:ascii="Times New Roman" w:hAnsi="Times New Roman" w:eastAsia="方正仿宋_GBK" w:cs="Times New Roman"/>
                <w:kern w:val="0"/>
                <w:szCs w:val="21"/>
              </w:rPr>
            </w:pPr>
          </w:p>
        </w:tc>
        <w:tc>
          <w:tcPr>
            <w:tcW w:w="966"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保障公路、公路附属设施质量和安全技术评价</w:t>
            </w:r>
          </w:p>
        </w:tc>
        <w:tc>
          <w:tcPr>
            <w:tcW w:w="1591"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涉路施工许可</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占用、挖掘公路、公路用地或者使公路改线审批</w:t>
            </w:r>
          </w:p>
        </w:tc>
        <w:tc>
          <w:tcPr>
            <w:tcW w:w="1438"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4" w:type="dxa"/>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501"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lang w:val="en"/>
              </w:rPr>
            </w:pPr>
            <w:r>
              <w:rPr>
                <w:rFonts w:hint="default" w:ascii="Times New Roman" w:hAnsi="Times New Roman" w:eastAsia="方正仿宋_GBK" w:cs="Times New Roman"/>
                <w:kern w:val="0"/>
                <w:szCs w:val="21"/>
                <w:lang w:val="en"/>
              </w:rPr>
              <w:t>《公路安全保护条例》</w:t>
            </w:r>
          </w:p>
        </w:tc>
        <w:tc>
          <w:tcPr>
            <w:tcW w:w="991"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具备相应资质的单位</w:t>
            </w:r>
          </w:p>
        </w:tc>
        <w:tc>
          <w:tcPr>
            <w:tcW w:w="2291"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具备相应资质的申请人可按要求自行编制安全技术评价报告，也可委托有关机构编制，审批部门不得以任何形式要求申请人必须委托中介机构提供服务。</w:t>
            </w:r>
          </w:p>
        </w:tc>
        <w:tc>
          <w:tcPr>
            <w:tcW w:w="986" w:type="dxa"/>
            <w:vMerge w:val="restart"/>
            <w:tcBorders>
              <w:top w:val="single" w:color="auto" w:sz="4" w:space="0"/>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438" w:hRule="atLeast"/>
          <w:jc w:val="center"/>
        </w:trPr>
        <w:tc>
          <w:tcPr>
            <w:tcW w:w="416"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p>
        </w:tc>
        <w:tc>
          <w:tcPr>
            <w:tcW w:w="966"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5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跨越、穿越公路及在公路用地范围内架设、埋设管线、电缆等设施，或者利用公路桥梁、公路隧道、涵洞铺设电缆等设施许可</w:t>
            </w:r>
          </w:p>
        </w:tc>
        <w:tc>
          <w:tcPr>
            <w:tcW w:w="1438"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4"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50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lang w:val="en"/>
              </w:rPr>
            </w:pPr>
          </w:p>
        </w:tc>
        <w:tc>
          <w:tcPr>
            <w:tcW w:w="9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22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986"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846" w:hRule="atLeast"/>
          <w:jc w:val="center"/>
        </w:trPr>
        <w:tc>
          <w:tcPr>
            <w:tcW w:w="416"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p>
        </w:tc>
        <w:tc>
          <w:tcPr>
            <w:tcW w:w="966"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5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设置非公路标志审批</w:t>
            </w:r>
          </w:p>
        </w:tc>
        <w:tc>
          <w:tcPr>
            <w:tcW w:w="1438"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4"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50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lang w:val="en"/>
              </w:rPr>
            </w:pPr>
          </w:p>
        </w:tc>
        <w:tc>
          <w:tcPr>
            <w:tcW w:w="9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22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986"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26" w:hRule="atLeast"/>
          <w:jc w:val="center"/>
        </w:trPr>
        <w:tc>
          <w:tcPr>
            <w:tcW w:w="416"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p>
        </w:tc>
        <w:tc>
          <w:tcPr>
            <w:tcW w:w="966"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5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在公路增设或改造平面交叉道口审批</w:t>
            </w:r>
          </w:p>
        </w:tc>
        <w:tc>
          <w:tcPr>
            <w:tcW w:w="1438"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4"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50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lang w:val="en"/>
              </w:rPr>
            </w:pPr>
          </w:p>
        </w:tc>
        <w:tc>
          <w:tcPr>
            <w:tcW w:w="9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22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986"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68" w:hRule="atLeast"/>
          <w:jc w:val="center"/>
        </w:trPr>
        <w:tc>
          <w:tcPr>
            <w:tcW w:w="416" w:type="dxa"/>
            <w:vMerge w:val="continue"/>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p>
        </w:tc>
        <w:tc>
          <w:tcPr>
            <w:tcW w:w="966"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5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公路建筑控制区内埋设管线、电缆等设施许可</w:t>
            </w:r>
          </w:p>
        </w:tc>
        <w:tc>
          <w:tcPr>
            <w:tcW w:w="1438"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4"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50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lang w:val="en"/>
              </w:rPr>
            </w:pPr>
          </w:p>
        </w:tc>
        <w:tc>
          <w:tcPr>
            <w:tcW w:w="9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22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986"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512" w:hRule="atLeast"/>
          <w:jc w:val="center"/>
        </w:trPr>
        <w:tc>
          <w:tcPr>
            <w:tcW w:w="416"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5</w:t>
            </w:r>
          </w:p>
        </w:tc>
        <w:tc>
          <w:tcPr>
            <w:tcW w:w="966"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公路工程建设项目设计文件编制</w:t>
            </w:r>
          </w:p>
        </w:tc>
        <w:tc>
          <w:tcPr>
            <w:tcW w:w="1591" w:type="dxa"/>
            <w:vMerge w:val="restart"/>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公路、水运、铁路、城市轨道交通建设项目设计文件审批</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公路工程建设项目设计文件审批</w:t>
            </w:r>
          </w:p>
        </w:tc>
        <w:tc>
          <w:tcPr>
            <w:tcW w:w="1438"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4"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50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lang w:val="en"/>
              </w:rPr>
            </w:pPr>
            <w:r>
              <w:rPr>
                <w:rFonts w:hint="default" w:ascii="Times New Roman" w:hAnsi="Times New Roman" w:eastAsia="方正仿宋_GBK" w:cs="Times New Roman"/>
                <w:kern w:val="0"/>
                <w:szCs w:val="21"/>
                <w:lang w:val="en"/>
              </w:rPr>
              <w:t>《中华人民共和国公路法》</w:t>
            </w:r>
          </w:p>
          <w:p>
            <w:pPr>
              <w:widowControl/>
              <w:rPr>
                <w:rFonts w:hint="default" w:ascii="Times New Roman" w:hAnsi="Times New Roman" w:eastAsia="方正仿宋_GBK" w:cs="Times New Roman"/>
                <w:kern w:val="0"/>
                <w:szCs w:val="21"/>
                <w:lang w:val="en"/>
              </w:rPr>
            </w:pPr>
            <w:r>
              <w:rPr>
                <w:rFonts w:hint="default" w:ascii="Times New Roman" w:hAnsi="Times New Roman" w:eastAsia="方正仿宋_GBK" w:cs="Times New Roman"/>
                <w:kern w:val="0"/>
                <w:szCs w:val="21"/>
                <w:lang w:val="en"/>
              </w:rPr>
              <w:t>《公路建设市场管理办法》（交通部令2004年第14号发布，交通运输部令2011年第11号第一次修正，交通运输部令2015年第11号第二次修正）</w:t>
            </w:r>
          </w:p>
        </w:tc>
        <w:tc>
          <w:tcPr>
            <w:tcW w:w="99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具备相应设计资质的单位</w:t>
            </w:r>
          </w:p>
        </w:tc>
        <w:tc>
          <w:tcPr>
            <w:tcW w:w="229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具备相应设计资质的申请人可按照要求自行编制设计文件，也可委托有关机构编制，审批部门不得以任何形式要求申请人必须委托中介机构提供服务。</w:t>
            </w:r>
          </w:p>
        </w:tc>
        <w:tc>
          <w:tcPr>
            <w:tcW w:w="986"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356" w:hRule="atLeast"/>
          <w:jc w:val="center"/>
        </w:trPr>
        <w:tc>
          <w:tcPr>
            <w:tcW w:w="416"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24"/>
              </w:rPr>
              <w:t>6</w:t>
            </w:r>
          </w:p>
        </w:tc>
        <w:tc>
          <w:tcPr>
            <w:tcW w:w="966"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水运工程建设项目初步设计文件编制</w:t>
            </w:r>
          </w:p>
        </w:tc>
        <w:tc>
          <w:tcPr>
            <w:tcW w:w="1591" w:type="dxa"/>
            <w:vMerge w:val="continue"/>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水运工程建设项目设计文件审批</w:t>
            </w:r>
          </w:p>
        </w:tc>
        <w:tc>
          <w:tcPr>
            <w:tcW w:w="1438"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4"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50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lang w:val="en"/>
              </w:rPr>
            </w:pPr>
            <w:r>
              <w:rPr>
                <w:rFonts w:hint="default" w:ascii="Times New Roman" w:hAnsi="Times New Roman" w:eastAsia="方正仿宋_GBK" w:cs="Times New Roman"/>
                <w:kern w:val="0"/>
                <w:szCs w:val="21"/>
                <w:lang w:val="en"/>
              </w:rPr>
              <w:t>《建设工程勘察设计管理条例》</w:t>
            </w:r>
          </w:p>
          <w:p>
            <w:pPr>
              <w:widowControl/>
              <w:rPr>
                <w:rFonts w:hint="default" w:ascii="Times New Roman" w:hAnsi="Times New Roman" w:eastAsia="方正仿宋_GBK" w:cs="Times New Roman"/>
                <w:kern w:val="0"/>
                <w:szCs w:val="21"/>
                <w:lang w:val="en"/>
              </w:rPr>
            </w:pPr>
            <w:r>
              <w:rPr>
                <w:rFonts w:hint="default" w:ascii="Times New Roman" w:hAnsi="Times New Roman" w:eastAsia="方正仿宋_GBK" w:cs="Times New Roman"/>
                <w:kern w:val="0"/>
                <w:szCs w:val="21"/>
                <w:lang w:val="en"/>
              </w:rPr>
              <w:t>《水运建设市场监督管理办法》（交通运输部令2016年第74号）</w:t>
            </w:r>
          </w:p>
        </w:tc>
        <w:tc>
          <w:tcPr>
            <w:tcW w:w="99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具备相应设计资质的单位</w:t>
            </w:r>
          </w:p>
        </w:tc>
        <w:tc>
          <w:tcPr>
            <w:tcW w:w="229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具备相应设计资质的申请人可按照要求自行编制初步设计文件，也可委托有关机构编制，审批部门不得以任何形式要求申请人必须委托中介机构提供服务。</w:t>
            </w:r>
          </w:p>
        </w:tc>
        <w:tc>
          <w:tcPr>
            <w:tcW w:w="986"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150" w:hRule="atLeast"/>
          <w:jc w:val="center"/>
        </w:trPr>
        <w:tc>
          <w:tcPr>
            <w:tcW w:w="416"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Cs w:val="21"/>
              </w:rPr>
              <w:t>7</w:t>
            </w:r>
          </w:p>
        </w:tc>
        <w:tc>
          <w:tcPr>
            <w:tcW w:w="966"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河道采砂方案编制</w:t>
            </w:r>
          </w:p>
        </w:tc>
        <w:tc>
          <w:tcPr>
            <w:tcW w:w="159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河道采砂许可</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kern w:val="0"/>
                <w:szCs w:val="21"/>
              </w:rPr>
            </w:pPr>
          </w:p>
        </w:tc>
        <w:tc>
          <w:tcPr>
            <w:tcW w:w="1438"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4"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50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lang w:val="en"/>
              </w:rPr>
            </w:pPr>
            <w:r>
              <w:rPr>
                <w:rFonts w:hint="default" w:ascii="Times New Roman" w:hAnsi="Times New Roman" w:eastAsia="方正仿宋_GBK" w:cs="Times New Roman"/>
                <w:kern w:val="0"/>
                <w:szCs w:val="21"/>
                <w:lang w:val="en"/>
              </w:rPr>
              <w:t>《水利部关于河道采砂管理工作的指导意见》（水河湖〔2019〕58号）</w:t>
            </w:r>
          </w:p>
        </w:tc>
        <w:tc>
          <w:tcPr>
            <w:tcW w:w="99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具备相应能力的单位</w:t>
            </w:r>
          </w:p>
        </w:tc>
        <w:tc>
          <w:tcPr>
            <w:tcW w:w="229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申请人可按照要求自行编制河道采砂方案，也可委托有关机构编制，审批部门不得以任何形式要求申请人必须委托中介机构提供服务。</w:t>
            </w:r>
          </w:p>
        </w:tc>
        <w:tc>
          <w:tcPr>
            <w:tcW w:w="986"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2654" w:hRule="atLeast"/>
          <w:jc w:val="center"/>
        </w:trPr>
        <w:tc>
          <w:tcPr>
            <w:tcW w:w="416"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Cs w:val="21"/>
              </w:rPr>
              <w:t>8</w:t>
            </w:r>
          </w:p>
        </w:tc>
        <w:tc>
          <w:tcPr>
            <w:tcW w:w="966"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建设项目水资源论证</w:t>
            </w:r>
          </w:p>
        </w:tc>
        <w:tc>
          <w:tcPr>
            <w:tcW w:w="159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取水许可</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kern w:val="0"/>
                <w:szCs w:val="21"/>
              </w:rPr>
            </w:pPr>
          </w:p>
        </w:tc>
        <w:tc>
          <w:tcPr>
            <w:tcW w:w="1438"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4"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50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lang w:val="en"/>
              </w:rPr>
            </w:pPr>
            <w:r>
              <w:rPr>
                <w:rFonts w:hint="default" w:ascii="Times New Roman" w:hAnsi="Times New Roman" w:eastAsia="方正仿宋_GBK" w:cs="Times New Roman"/>
                <w:kern w:val="0"/>
                <w:szCs w:val="21"/>
                <w:lang w:val="en"/>
              </w:rPr>
              <w:t>《取水许可和水资源费征收管理条例》</w:t>
            </w:r>
          </w:p>
        </w:tc>
        <w:tc>
          <w:tcPr>
            <w:tcW w:w="99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具备相应能力的单位</w:t>
            </w:r>
          </w:p>
        </w:tc>
        <w:tc>
          <w:tcPr>
            <w:tcW w:w="229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申请人可按照要求自行编制建设项目水资源论证报告，也可委托有关机构编制，审批部门不得以任何形式要求申请人必须委托中介机构提供服务。</w:t>
            </w:r>
          </w:p>
        </w:tc>
        <w:tc>
          <w:tcPr>
            <w:tcW w:w="986"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1068" w:hRule="atLeast"/>
          <w:jc w:val="center"/>
        </w:trPr>
        <w:tc>
          <w:tcPr>
            <w:tcW w:w="416"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Cs w:val="21"/>
              </w:rPr>
              <w:t>9</w:t>
            </w:r>
          </w:p>
        </w:tc>
        <w:tc>
          <w:tcPr>
            <w:tcW w:w="966"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洪水影响评价</w:t>
            </w:r>
          </w:p>
        </w:tc>
        <w:tc>
          <w:tcPr>
            <w:tcW w:w="159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洪水影响评价审批</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方正仿宋_GBK" w:cs="Times New Roman"/>
                <w:kern w:val="0"/>
                <w:szCs w:val="21"/>
              </w:rPr>
            </w:pPr>
          </w:p>
        </w:tc>
        <w:tc>
          <w:tcPr>
            <w:tcW w:w="1438"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县行政审批局</w:t>
            </w:r>
          </w:p>
        </w:tc>
        <w:tc>
          <w:tcPr>
            <w:tcW w:w="744" w:type="dxa"/>
            <w:tcBorders>
              <w:left w:val="single" w:color="auto" w:sz="4" w:space="0"/>
              <w:right w:val="single" w:color="auto" w:sz="4" w:space="0"/>
            </w:tcBorders>
            <w:noWrap w:val="0"/>
            <w:vAlign w:val="center"/>
          </w:tcPr>
          <w:p>
            <w:pPr>
              <w:widowControl/>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县</w:t>
            </w:r>
          </w:p>
        </w:tc>
        <w:tc>
          <w:tcPr>
            <w:tcW w:w="250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lang w:val="en"/>
              </w:rPr>
            </w:pPr>
            <w:r>
              <w:rPr>
                <w:rFonts w:hint="default" w:ascii="Times New Roman" w:hAnsi="Times New Roman" w:eastAsia="方正仿宋_GBK" w:cs="Times New Roman"/>
                <w:kern w:val="0"/>
                <w:szCs w:val="21"/>
                <w:lang w:val="en"/>
              </w:rPr>
              <w:t>《中华人民共和国防洪法》</w:t>
            </w:r>
          </w:p>
          <w:p>
            <w:pPr>
              <w:widowControl/>
              <w:rPr>
                <w:rFonts w:hint="default" w:ascii="Times New Roman" w:hAnsi="Times New Roman" w:eastAsia="方正仿宋_GBK" w:cs="Times New Roman"/>
                <w:kern w:val="0"/>
                <w:szCs w:val="21"/>
                <w:lang w:val="en"/>
              </w:rPr>
            </w:pPr>
            <w:r>
              <w:rPr>
                <w:rFonts w:hint="default" w:ascii="Times New Roman" w:hAnsi="Times New Roman" w:eastAsia="方正仿宋_GBK" w:cs="Times New Roman"/>
                <w:kern w:val="0"/>
                <w:szCs w:val="21"/>
                <w:lang w:val="en"/>
              </w:rPr>
              <w:t>《水工程建设规划同意书制度管理办法（试行）》（水利部令第31号发布，水利部令第47号第一次修正，水利部令第49号第二次修正）</w:t>
            </w:r>
          </w:p>
          <w:p>
            <w:pPr>
              <w:widowControl/>
              <w:rPr>
                <w:rFonts w:hint="default" w:ascii="Times New Roman" w:hAnsi="Times New Roman" w:eastAsia="方正仿宋_GBK" w:cs="Times New Roman"/>
                <w:kern w:val="0"/>
                <w:szCs w:val="21"/>
                <w:lang w:val="en"/>
              </w:rPr>
            </w:pPr>
            <w:r>
              <w:rPr>
                <w:rFonts w:hint="default" w:ascii="Times New Roman" w:hAnsi="Times New Roman" w:eastAsia="方正仿宋_GBK" w:cs="Times New Roman"/>
                <w:kern w:val="0"/>
                <w:szCs w:val="21"/>
                <w:lang w:val="en"/>
              </w:rPr>
              <w:t>《水利部关于加强非防洪建设项目洪水影响评价工作的通知》（水汛〔2017〕359号）</w:t>
            </w:r>
          </w:p>
        </w:tc>
        <w:tc>
          <w:tcPr>
            <w:tcW w:w="99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具备相应能力的单位</w:t>
            </w:r>
          </w:p>
        </w:tc>
        <w:tc>
          <w:tcPr>
            <w:tcW w:w="2291"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申请人可按照要求自行编制洪水影响评价报告，也可委托有关机构编制，审批部门不得以任何形式要求申请人必须委托中介机构提供服务。</w:t>
            </w:r>
          </w:p>
        </w:tc>
        <w:tc>
          <w:tcPr>
            <w:tcW w:w="986" w:type="dxa"/>
            <w:tcBorders>
              <w:left w:val="single" w:color="auto" w:sz="4" w:space="0"/>
              <w:right w:val="single" w:color="auto" w:sz="4" w:space="0"/>
            </w:tcBorders>
            <w:noWrap w:val="0"/>
            <w:vAlign w:val="center"/>
          </w:tcPr>
          <w:p>
            <w:pPr>
              <w:widowControl/>
              <w:rPr>
                <w:rFonts w:hint="default" w:ascii="Times New Roman" w:hAnsi="Times New Roman" w:eastAsia="方正仿宋_GBK" w:cs="Times New Roman"/>
                <w:kern w:val="0"/>
                <w:szCs w:val="21"/>
              </w:rPr>
            </w:pPr>
          </w:p>
        </w:tc>
      </w:tr>
    </w:tbl>
    <w:p>
      <w:pPr>
        <w:spacing w:line="560" w:lineRule="exact"/>
        <w:jc w:val="left"/>
        <w:rPr>
          <w:rFonts w:hint="default" w:ascii="Times New Roman" w:hAnsi="Times New Roman" w:cs="Times New Roman"/>
          <w:lang w:val="en-US" w:eastAsia="zh-CN"/>
        </w:rPr>
      </w:pPr>
      <w:bookmarkStart w:id="0" w:name="_GoBack"/>
      <w:bookmarkEnd w:id="0"/>
    </w:p>
    <w:sectPr>
      <w:headerReference r:id="rId3" w:type="default"/>
      <w:footerReference r:id="rId4"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99"/>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23"/>
    <w:rsid w:val="00047A46"/>
    <w:rsid w:val="00050266"/>
    <w:rsid w:val="00075927"/>
    <w:rsid w:val="0008783B"/>
    <w:rsid w:val="000950B2"/>
    <w:rsid w:val="000C791B"/>
    <w:rsid w:val="00107D6B"/>
    <w:rsid w:val="001718AF"/>
    <w:rsid w:val="0020444C"/>
    <w:rsid w:val="00256EF1"/>
    <w:rsid w:val="00292778"/>
    <w:rsid w:val="003A4830"/>
    <w:rsid w:val="003C4000"/>
    <w:rsid w:val="003F33F6"/>
    <w:rsid w:val="00453C1F"/>
    <w:rsid w:val="004833B4"/>
    <w:rsid w:val="004B3AE5"/>
    <w:rsid w:val="004E12EC"/>
    <w:rsid w:val="00565288"/>
    <w:rsid w:val="005736D4"/>
    <w:rsid w:val="00576F33"/>
    <w:rsid w:val="005D0FEC"/>
    <w:rsid w:val="005E0A90"/>
    <w:rsid w:val="005F3E72"/>
    <w:rsid w:val="006304CB"/>
    <w:rsid w:val="00650CAA"/>
    <w:rsid w:val="00651EDB"/>
    <w:rsid w:val="00672907"/>
    <w:rsid w:val="007E2496"/>
    <w:rsid w:val="00834C65"/>
    <w:rsid w:val="00913FE2"/>
    <w:rsid w:val="0094364F"/>
    <w:rsid w:val="009D0832"/>
    <w:rsid w:val="00A47673"/>
    <w:rsid w:val="00A60E08"/>
    <w:rsid w:val="00B51BE3"/>
    <w:rsid w:val="00B63A21"/>
    <w:rsid w:val="00B703E0"/>
    <w:rsid w:val="00C15523"/>
    <w:rsid w:val="00C5336E"/>
    <w:rsid w:val="00D143BF"/>
    <w:rsid w:val="00D665F8"/>
    <w:rsid w:val="00D96EA4"/>
    <w:rsid w:val="00E32BCF"/>
    <w:rsid w:val="00EA63E1"/>
    <w:rsid w:val="00F02077"/>
    <w:rsid w:val="00F124CA"/>
    <w:rsid w:val="00F24851"/>
    <w:rsid w:val="00F71AE7"/>
    <w:rsid w:val="01850BA9"/>
    <w:rsid w:val="029357EE"/>
    <w:rsid w:val="039F4ECB"/>
    <w:rsid w:val="03F421E8"/>
    <w:rsid w:val="04A1385A"/>
    <w:rsid w:val="06277E45"/>
    <w:rsid w:val="081E6FE1"/>
    <w:rsid w:val="084C6E94"/>
    <w:rsid w:val="08CC77A0"/>
    <w:rsid w:val="08EF785B"/>
    <w:rsid w:val="09BC26E0"/>
    <w:rsid w:val="0A0F5C88"/>
    <w:rsid w:val="0CA94C51"/>
    <w:rsid w:val="0E193673"/>
    <w:rsid w:val="0EA71A99"/>
    <w:rsid w:val="0F355C4E"/>
    <w:rsid w:val="0FE44934"/>
    <w:rsid w:val="10213B37"/>
    <w:rsid w:val="11D27E54"/>
    <w:rsid w:val="128E38C1"/>
    <w:rsid w:val="13B80057"/>
    <w:rsid w:val="13EB0B84"/>
    <w:rsid w:val="13FF0FC2"/>
    <w:rsid w:val="146B2515"/>
    <w:rsid w:val="14E31251"/>
    <w:rsid w:val="14EC5DAD"/>
    <w:rsid w:val="15210A5B"/>
    <w:rsid w:val="15343FE2"/>
    <w:rsid w:val="157D2974"/>
    <w:rsid w:val="15D05977"/>
    <w:rsid w:val="16AC0261"/>
    <w:rsid w:val="18E6046B"/>
    <w:rsid w:val="19F430D5"/>
    <w:rsid w:val="1A540E6C"/>
    <w:rsid w:val="1AB35EB1"/>
    <w:rsid w:val="1BD640BA"/>
    <w:rsid w:val="1C020F6F"/>
    <w:rsid w:val="1CDD3841"/>
    <w:rsid w:val="1DAC76EC"/>
    <w:rsid w:val="1E40298C"/>
    <w:rsid w:val="1EF2340B"/>
    <w:rsid w:val="20B2577F"/>
    <w:rsid w:val="20D90EC3"/>
    <w:rsid w:val="21F07A1E"/>
    <w:rsid w:val="22AD32E3"/>
    <w:rsid w:val="24BB2F7F"/>
    <w:rsid w:val="25677C5F"/>
    <w:rsid w:val="26097F8B"/>
    <w:rsid w:val="28CF396F"/>
    <w:rsid w:val="290A097D"/>
    <w:rsid w:val="2A042F59"/>
    <w:rsid w:val="2C706A80"/>
    <w:rsid w:val="2CB006F1"/>
    <w:rsid w:val="2D9210D9"/>
    <w:rsid w:val="2DB16C7E"/>
    <w:rsid w:val="2E430242"/>
    <w:rsid w:val="2EFC0FC5"/>
    <w:rsid w:val="308C4555"/>
    <w:rsid w:val="3122721B"/>
    <w:rsid w:val="316737D2"/>
    <w:rsid w:val="31703B92"/>
    <w:rsid w:val="31950904"/>
    <w:rsid w:val="32107C16"/>
    <w:rsid w:val="32265828"/>
    <w:rsid w:val="328F7337"/>
    <w:rsid w:val="334954F4"/>
    <w:rsid w:val="339175B4"/>
    <w:rsid w:val="35247922"/>
    <w:rsid w:val="36810987"/>
    <w:rsid w:val="36CC4BD0"/>
    <w:rsid w:val="388964F0"/>
    <w:rsid w:val="3B052B39"/>
    <w:rsid w:val="3C13603D"/>
    <w:rsid w:val="3C5161DE"/>
    <w:rsid w:val="40234454"/>
    <w:rsid w:val="42DB6F00"/>
    <w:rsid w:val="42FD383F"/>
    <w:rsid w:val="450170E6"/>
    <w:rsid w:val="45040D6D"/>
    <w:rsid w:val="45BB7C67"/>
    <w:rsid w:val="47330CE8"/>
    <w:rsid w:val="47B52E40"/>
    <w:rsid w:val="4851105D"/>
    <w:rsid w:val="489B55DB"/>
    <w:rsid w:val="49EC176D"/>
    <w:rsid w:val="4A49423D"/>
    <w:rsid w:val="4B03345B"/>
    <w:rsid w:val="4B3C2FE5"/>
    <w:rsid w:val="4B566C3E"/>
    <w:rsid w:val="4B885A81"/>
    <w:rsid w:val="4B9C794D"/>
    <w:rsid w:val="4DA67EE0"/>
    <w:rsid w:val="4E972DF5"/>
    <w:rsid w:val="4E9831DD"/>
    <w:rsid w:val="50763919"/>
    <w:rsid w:val="50B14A59"/>
    <w:rsid w:val="51D202AB"/>
    <w:rsid w:val="52B3536B"/>
    <w:rsid w:val="533C68E1"/>
    <w:rsid w:val="5390657B"/>
    <w:rsid w:val="5421082A"/>
    <w:rsid w:val="54EF0549"/>
    <w:rsid w:val="553B79B4"/>
    <w:rsid w:val="55FC0195"/>
    <w:rsid w:val="59072027"/>
    <w:rsid w:val="5BE7106A"/>
    <w:rsid w:val="5DDF7AA7"/>
    <w:rsid w:val="5E303B31"/>
    <w:rsid w:val="5FE25736"/>
    <w:rsid w:val="62B22CD8"/>
    <w:rsid w:val="640946BF"/>
    <w:rsid w:val="65FA2219"/>
    <w:rsid w:val="66F171A1"/>
    <w:rsid w:val="6A027D38"/>
    <w:rsid w:val="6A190083"/>
    <w:rsid w:val="6A710AB9"/>
    <w:rsid w:val="6BA5133C"/>
    <w:rsid w:val="6DBD2440"/>
    <w:rsid w:val="6E430D8B"/>
    <w:rsid w:val="6E6F6696"/>
    <w:rsid w:val="6EB25472"/>
    <w:rsid w:val="6F851D90"/>
    <w:rsid w:val="72D665EE"/>
    <w:rsid w:val="7409663E"/>
    <w:rsid w:val="76BB4059"/>
    <w:rsid w:val="774A352D"/>
    <w:rsid w:val="77E02F06"/>
    <w:rsid w:val="780D129E"/>
    <w:rsid w:val="78617DCB"/>
    <w:rsid w:val="786A3A9A"/>
    <w:rsid w:val="78F15E97"/>
    <w:rsid w:val="796236B7"/>
    <w:rsid w:val="7B9C28B9"/>
    <w:rsid w:val="7C436B2A"/>
    <w:rsid w:val="7D2472FF"/>
    <w:rsid w:val="7D2C538E"/>
    <w:rsid w:val="7D976ED8"/>
    <w:rsid w:val="7E6D0547"/>
    <w:rsid w:val="7EB6357D"/>
    <w:rsid w:val="7FCA1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1"/>
    <w:pPr>
      <w:ind w:left="212" w:hanging="3"/>
      <w:outlineLvl w:val="0"/>
    </w:pPr>
    <w:rPr>
      <w:rFonts w:ascii="PMingLiU" w:hAnsi="PMingLiU" w:eastAsia="PMingLiU" w:cs="PMingLiU"/>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9"/>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日期 字符"/>
    <w:basedOn w:val="7"/>
    <w:link w:val="3"/>
    <w:semiHidden/>
    <w:qFormat/>
    <w:uiPriority w:val="99"/>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423</Words>
  <Characters>2414</Characters>
  <Lines>20</Lines>
  <Paragraphs>5</Paragraphs>
  <TotalTime>18</TotalTime>
  <ScaleCrop>false</ScaleCrop>
  <LinksUpToDate>false</LinksUpToDate>
  <CharactersWithSpaces>2832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2020-05-04T02:58:00Z</dcterms:created>
  <dc:creator>微软用户</dc:creator>
  <cp:lastModifiedBy>Shiyi</cp:lastModifiedBy>
  <cp:lastPrinted>2021-06-07T02:25:00Z</cp:lastPrinted>
  <dcterms:modified xsi:type="dcterms:W3CDTF">2021-10-25T01:24:25Z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E3036F85CD874169A5526C85F6CA0394</vt:lpwstr>
  </property>
</Properties>
</file>