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300" w:lineRule="exact"/>
        <w:jc w:val="left"/>
        <w:rPr>
          <w:rFonts w:hint="default" w:ascii="Times New Roman" w:hAnsi="Times New Roman" w:eastAsia="方正黑体_GBK" w:cs="Times New Roman"/>
          <w:sz w:val="32"/>
          <w:szCs w:val="32"/>
        </w:rPr>
      </w:pPr>
    </w:p>
    <w:p>
      <w:pPr>
        <w:spacing w:line="580" w:lineRule="exact"/>
        <w:jc w:val="center"/>
        <w:outlineLvl w:val="0"/>
        <w:rPr>
          <w:rFonts w:hint="default" w:ascii="Times New Roman" w:hAnsi="Times New Roman" w:eastAsia="方正小标宋_GBK" w:cs="Times New Roman"/>
          <w:sz w:val="40"/>
          <w:szCs w:val="40"/>
        </w:rPr>
      </w:pPr>
      <w:r>
        <w:rPr>
          <w:rFonts w:hint="default" w:ascii="Times New Roman" w:hAnsi="Times New Roman" w:eastAsia="方正小标宋_GBK" w:cs="Times New Roman"/>
          <w:sz w:val="40"/>
          <w:szCs w:val="40"/>
        </w:rPr>
        <w:t>师宗县人民政府决定清理规范的行政审批中介服务事项目录</w:t>
      </w:r>
    </w:p>
    <w:p>
      <w:pPr>
        <w:spacing w:line="580" w:lineRule="exact"/>
        <w:jc w:val="center"/>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（共13项）</w:t>
      </w:r>
    </w:p>
    <w:p>
      <w:pPr>
        <w:spacing w:line="580" w:lineRule="exact"/>
        <w:outlineLvl w:val="1"/>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一、直接取消中介服务的事项（4项）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38"/>
        <w:gridCol w:w="1347"/>
        <w:gridCol w:w="1748"/>
        <w:gridCol w:w="1354"/>
        <w:gridCol w:w="1470"/>
        <w:gridCol w:w="831"/>
        <w:gridCol w:w="3144"/>
        <w:gridCol w:w="1547"/>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6" w:hRule="atLeast"/>
          <w:tblHeader/>
          <w:jc w:val="center"/>
        </w:trPr>
        <w:tc>
          <w:tcPr>
            <w:tcW w:w="538" w:type="dxa"/>
            <w:vMerge w:val="restart"/>
            <w:noWrap w:val="0"/>
            <w:vAlign w:val="center"/>
          </w:tcPr>
          <w:p>
            <w:pPr>
              <w:widowControl/>
              <w:spacing w:line="4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序号</w:t>
            </w:r>
          </w:p>
        </w:tc>
        <w:tc>
          <w:tcPr>
            <w:tcW w:w="1347" w:type="dxa"/>
            <w:vMerge w:val="restart"/>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行政审批中介服务事项名称</w:t>
            </w:r>
          </w:p>
        </w:tc>
        <w:tc>
          <w:tcPr>
            <w:tcW w:w="5403" w:type="dxa"/>
            <w:gridSpan w:val="4"/>
            <w:noWrap w:val="0"/>
            <w:vAlign w:val="center"/>
          </w:tcPr>
          <w:p>
            <w:pPr>
              <w:widowControl/>
              <w:spacing w:line="4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涉及行政许可事项</w:t>
            </w:r>
          </w:p>
        </w:tc>
        <w:tc>
          <w:tcPr>
            <w:tcW w:w="3144" w:type="dxa"/>
            <w:vMerge w:val="restart"/>
            <w:noWrap w:val="0"/>
            <w:vAlign w:val="center"/>
          </w:tcPr>
          <w:p>
            <w:pPr>
              <w:widowControl/>
              <w:spacing w:line="4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中介服务原设定依据</w:t>
            </w:r>
          </w:p>
        </w:tc>
        <w:tc>
          <w:tcPr>
            <w:tcW w:w="1547" w:type="dxa"/>
            <w:vMerge w:val="restart"/>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原中介</w:t>
            </w:r>
          </w:p>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服务机构</w:t>
            </w:r>
          </w:p>
        </w:tc>
        <w:tc>
          <w:tcPr>
            <w:tcW w:w="1787" w:type="dxa"/>
            <w:vMerge w:val="restart"/>
            <w:noWrap w:val="0"/>
            <w:vAlign w:val="center"/>
          </w:tcPr>
          <w:p>
            <w:pPr>
              <w:widowControl/>
              <w:spacing w:line="4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96" w:hRule="atLeast"/>
          <w:tblHeader/>
          <w:jc w:val="center"/>
        </w:trPr>
        <w:tc>
          <w:tcPr>
            <w:tcW w:w="538" w:type="dxa"/>
            <w:vMerge w:val="continue"/>
            <w:noWrap w:val="0"/>
            <w:vAlign w:val="center"/>
          </w:tcPr>
          <w:p>
            <w:pPr>
              <w:widowControl/>
              <w:jc w:val="left"/>
              <w:rPr>
                <w:rFonts w:hint="default" w:ascii="Times New Roman" w:hAnsi="Times New Roman" w:eastAsia="方正黑体_GBK" w:cs="Times New Roman"/>
                <w:kern w:val="0"/>
                <w:szCs w:val="21"/>
              </w:rPr>
            </w:pPr>
          </w:p>
        </w:tc>
        <w:tc>
          <w:tcPr>
            <w:tcW w:w="1347" w:type="dxa"/>
            <w:vMerge w:val="continue"/>
            <w:noWrap w:val="0"/>
            <w:vAlign w:val="center"/>
          </w:tcPr>
          <w:p>
            <w:pPr>
              <w:widowControl/>
              <w:jc w:val="center"/>
              <w:rPr>
                <w:rFonts w:hint="default" w:ascii="Times New Roman" w:hAnsi="Times New Roman" w:eastAsia="方正黑体_GBK" w:cs="Times New Roman"/>
                <w:kern w:val="0"/>
                <w:szCs w:val="21"/>
              </w:rPr>
            </w:pPr>
          </w:p>
        </w:tc>
        <w:tc>
          <w:tcPr>
            <w:tcW w:w="1748" w:type="dxa"/>
            <w:noWrap w:val="0"/>
            <w:vAlign w:val="center"/>
          </w:tcPr>
          <w:p>
            <w:pPr>
              <w:widowControl/>
              <w:spacing w:line="4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主项名称</w:t>
            </w:r>
          </w:p>
        </w:tc>
        <w:tc>
          <w:tcPr>
            <w:tcW w:w="1354" w:type="dxa"/>
            <w:noWrap w:val="0"/>
            <w:vAlign w:val="center"/>
          </w:tcPr>
          <w:p>
            <w:pPr>
              <w:widowControl/>
              <w:spacing w:line="4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子项名称</w:t>
            </w:r>
          </w:p>
        </w:tc>
        <w:tc>
          <w:tcPr>
            <w:tcW w:w="1470" w:type="dxa"/>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业务指导（实施）部门</w:t>
            </w:r>
          </w:p>
        </w:tc>
        <w:tc>
          <w:tcPr>
            <w:tcW w:w="831" w:type="dxa"/>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行使</w:t>
            </w:r>
          </w:p>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层级</w:t>
            </w:r>
          </w:p>
        </w:tc>
        <w:tc>
          <w:tcPr>
            <w:tcW w:w="3144" w:type="dxa"/>
            <w:vMerge w:val="continue"/>
            <w:noWrap w:val="0"/>
            <w:vAlign w:val="center"/>
          </w:tcPr>
          <w:p>
            <w:pPr>
              <w:widowControl/>
              <w:rPr>
                <w:rFonts w:hint="default" w:ascii="Times New Roman" w:hAnsi="Times New Roman" w:eastAsia="方正黑体_GBK" w:cs="Times New Roman"/>
                <w:kern w:val="0"/>
                <w:szCs w:val="21"/>
              </w:rPr>
            </w:pPr>
          </w:p>
        </w:tc>
        <w:tc>
          <w:tcPr>
            <w:tcW w:w="1547" w:type="dxa"/>
            <w:vMerge w:val="continue"/>
            <w:noWrap w:val="0"/>
            <w:vAlign w:val="center"/>
          </w:tcPr>
          <w:p>
            <w:pPr>
              <w:widowControl/>
              <w:rPr>
                <w:rFonts w:hint="default" w:ascii="Times New Roman" w:hAnsi="Times New Roman" w:eastAsia="方正黑体_GBK" w:cs="Times New Roman"/>
                <w:kern w:val="0"/>
                <w:szCs w:val="21"/>
              </w:rPr>
            </w:pPr>
          </w:p>
        </w:tc>
        <w:tc>
          <w:tcPr>
            <w:tcW w:w="1787" w:type="dxa"/>
            <w:vMerge w:val="continue"/>
            <w:noWrap w:val="0"/>
            <w:vAlign w:val="center"/>
          </w:tcPr>
          <w:p>
            <w:pPr>
              <w:widowControl/>
              <w:rPr>
                <w:rFonts w:hint="default" w:ascii="Times New Roman" w:hAnsi="Times New Roman" w:eastAsia="方正黑体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设立民办职业培训学校资产审计</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民办职业培训学校设立、分立、合并、变更及终止审批</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《中华人民共和国民办教育促进法》</w:t>
            </w:r>
          </w:p>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注：审批工作中要求申请人提供审计机构出具的资产审计报告</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法定验资机构</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不再要求申请人提供资产审计报告。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57" w:hRule="atLeast"/>
          <w:jc w:val="center"/>
        </w:trPr>
        <w:tc>
          <w:tcPr>
            <w:tcW w:w="538"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w:t>
            </w:r>
          </w:p>
        </w:tc>
        <w:tc>
          <w:tcPr>
            <w:tcW w:w="1347"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采矿权申请范围核查</w:t>
            </w:r>
          </w:p>
        </w:tc>
        <w:tc>
          <w:tcPr>
            <w:tcW w:w="1748"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开采矿产资源审批</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开采矿产资源划定矿区范围批准</w:t>
            </w:r>
          </w:p>
        </w:tc>
        <w:tc>
          <w:tcPr>
            <w:tcW w:w="1470" w:type="dxa"/>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县自然资源局</w:t>
            </w:r>
          </w:p>
        </w:tc>
        <w:tc>
          <w:tcPr>
            <w:tcW w:w="831" w:type="dxa"/>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3144"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《国土资源部关于调整探矿权、采矿权申请资料有关问题的公告》（国土资源部公告2009年第17号）</w:t>
            </w:r>
          </w:p>
        </w:tc>
        <w:tc>
          <w:tcPr>
            <w:tcW w:w="1547"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具备相应资质的测量单位</w:t>
            </w:r>
          </w:p>
        </w:tc>
        <w:tc>
          <w:tcPr>
            <w:tcW w:w="1787"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不再要求申请人提供采矿权申请范围核查表，自然资源主管部门也不再委托有关机构进行采矿权申请范围核查。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1" w:hRule="atLeast"/>
          <w:jc w:val="center"/>
        </w:trPr>
        <w:tc>
          <w:tcPr>
            <w:tcW w:w="538"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p>
        </w:tc>
        <w:tc>
          <w:tcPr>
            <w:tcW w:w="1347"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748"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35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新设采矿权登记</w:t>
            </w:r>
          </w:p>
        </w:tc>
        <w:tc>
          <w:tcPr>
            <w:tcW w:w="1470"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县自然资源局</w:t>
            </w:r>
          </w:p>
        </w:tc>
        <w:tc>
          <w:tcPr>
            <w:tcW w:w="831"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3144"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547"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787"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8" w:hRule="atLeast"/>
          <w:jc w:val="center"/>
        </w:trPr>
        <w:tc>
          <w:tcPr>
            <w:tcW w:w="538" w:type="dxa"/>
            <w:vMerge w:val="continue"/>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p>
        </w:tc>
        <w:tc>
          <w:tcPr>
            <w:tcW w:w="1347"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748"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35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采矿权变更登记</w:t>
            </w:r>
          </w:p>
        </w:tc>
        <w:tc>
          <w:tcPr>
            <w:tcW w:w="1470" w:type="dxa"/>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县自然资源局</w:t>
            </w:r>
          </w:p>
        </w:tc>
        <w:tc>
          <w:tcPr>
            <w:tcW w:w="831" w:type="dxa"/>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3144"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547"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787"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72" w:hRule="atLeast"/>
          <w:jc w:val="center"/>
        </w:trPr>
        <w:tc>
          <w:tcPr>
            <w:tcW w:w="538"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w:t>
            </w:r>
          </w:p>
        </w:tc>
        <w:tc>
          <w:tcPr>
            <w:tcW w:w="1347"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矿产资源开采地质报告编制</w:t>
            </w:r>
          </w:p>
        </w:tc>
        <w:tc>
          <w:tcPr>
            <w:tcW w:w="1748"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开采矿产资源审批</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新设采矿权登记</w:t>
            </w:r>
          </w:p>
        </w:tc>
        <w:tc>
          <w:tcPr>
            <w:tcW w:w="1470" w:type="dxa"/>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县自然资源局</w:t>
            </w:r>
          </w:p>
        </w:tc>
        <w:tc>
          <w:tcPr>
            <w:tcW w:w="831" w:type="dxa"/>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3144"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《国土资源部关于矿产资源勘查登记、开采登记有关规定的通知》（国土资发〔1998〕7号）</w:t>
            </w:r>
          </w:p>
        </w:tc>
        <w:tc>
          <w:tcPr>
            <w:tcW w:w="1547"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具备相应资质的机构</w:t>
            </w:r>
          </w:p>
        </w:tc>
        <w:tc>
          <w:tcPr>
            <w:tcW w:w="1787"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不再要求申请人提供矿产资源开采地质报告。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06" w:hRule="atLeast"/>
          <w:jc w:val="center"/>
        </w:trPr>
        <w:tc>
          <w:tcPr>
            <w:tcW w:w="538"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p>
        </w:tc>
        <w:tc>
          <w:tcPr>
            <w:tcW w:w="1347"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748"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35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采矿权变更登记</w:t>
            </w:r>
          </w:p>
        </w:tc>
        <w:tc>
          <w:tcPr>
            <w:tcW w:w="1470"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县自然资源局</w:t>
            </w:r>
          </w:p>
        </w:tc>
        <w:tc>
          <w:tcPr>
            <w:tcW w:w="831"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3144"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547"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787"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8" w:hRule="atLeast"/>
          <w:jc w:val="center"/>
        </w:trPr>
        <w:tc>
          <w:tcPr>
            <w:tcW w:w="538" w:type="dxa"/>
            <w:vMerge w:val="continue"/>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p>
        </w:tc>
        <w:tc>
          <w:tcPr>
            <w:tcW w:w="1347"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748"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35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采矿权延续登记</w:t>
            </w:r>
          </w:p>
        </w:tc>
        <w:tc>
          <w:tcPr>
            <w:tcW w:w="1470" w:type="dxa"/>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县自然资源局</w:t>
            </w:r>
          </w:p>
        </w:tc>
        <w:tc>
          <w:tcPr>
            <w:tcW w:w="831" w:type="dxa"/>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3144"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547"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787"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91" w:hRule="atLeast"/>
          <w:jc w:val="center"/>
        </w:trPr>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在餐饮服务中提供的自酿酒成品安全性检验</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食品（含保健食品）生产、经营许可</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食品（含保健食品）经营许可</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县市场监管局</w:t>
            </w: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314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《食品药品监管总局关于印发食品经营许可审查通则（试行）的通知》（食药监食监二〔2015〕228号）</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具备相应资质的食品安全第三方机构</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不再要求申请人提供在餐饮服务中提供的自酿酒成品安全性检验合格报告。</w:t>
            </w:r>
          </w:p>
        </w:tc>
      </w:tr>
    </w:tbl>
    <w:p>
      <w:pPr>
        <w:spacing w:line="580" w:lineRule="exact"/>
        <w:jc w:val="left"/>
        <w:outlineLvl w:val="1"/>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br w:type="page"/>
      </w:r>
      <w:r>
        <w:rPr>
          <w:rFonts w:hint="default" w:ascii="Times New Roman" w:hAnsi="Times New Roman" w:eastAsia="方正黑体_GBK" w:cs="Times New Roman"/>
          <w:sz w:val="30"/>
          <w:szCs w:val="30"/>
        </w:rPr>
        <w:t>二、改由申请人自主决定是否委托中介机构完成的事项（9项）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6"/>
        <w:gridCol w:w="966"/>
        <w:gridCol w:w="1591"/>
        <w:gridCol w:w="1842"/>
        <w:gridCol w:w="1438"/>
        <w:gridCol w:w="744"/>
        <w:gridCol w:w="2501"/>
        <w:gridCol w:w="991"/>
        <w:gridCol w:w="2291"/>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tblHeader/>
          <w:jc w:val="center"/>
        </w:trPr>
        <w:tc>
          <w:tcPr>
            <w:tcW w:w="416" w:type="dxa"/>
            <w:vMerge w:val="restart"/>
            <w:noWrap w:val="0"/>
            <w:vAlign w:val="center"/>
          </w:tcPr>
          <w:p>
            <w:pPr>
              <w:widowControl/>
              <w:spacing w:line="4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序号</w:t>
            </w:r>
          </w:p>
        </w:tc>
        <w:tc>
          <w:tcPr>
            <w:tcW w:w="966" w:type="dxa"/>
            <w:vMerge w:val="restart"/>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行政审批中介服务事项名称</w:t>
            </w:r>
          </w:p>
        </w:tc>
        <w:tc>
          <w:tcPr>
            <w:tcW w:w="5615" w:type="dxa"/>
            <w:gridSpan w:val="4"/>
            <w:noWrap w:val="0"/>
            <w:vAlign w:val="center"/>
          </w:tcPr>
          <w:p>
            <w:pPr>
              <w:widowControl/>
              <w:spacing w:line="36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涉及行政许可事项</w:t>
            </w:r>
          </w:p>
        </w:tc>
        <w:tc>
          <w:tcPr>
            <w:tcW w:w="2501" w:type="dxa"/>
            <w:vMerge w:val="restart"/>
            <w:noWrap w:val="0"/>
            <w:vAlign w:val="center"/>
          </w:tcPr>
          <w:p>
            <w:pPr>
              <w:widowControl/>
              <w:spacing w:line="4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中介服务设定依据</w:t>
            </w:r>
          </w:p>
        </w:tc>
        <w:tc>
          <w:tcPr>
            <w:tcW w:w="991" w:type="dxa"/>
            <w:vMerge w:val="restart"/>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中介服务机构</w:t>
            </w:r>
          </w:p>
        </w:tc>
        <w:tc>
          <w:tcPr>
            <w:tcW w:w="2291" w:type="dxa"/>
            <w:vMerge w:val="restart"/>
            <w:noWrap w:val="0"/>
            <w:vAlign w:val="center"/>
          </w:tcPr>
          <w:p>
            <w:pPr>
              <w:widowControl/>
              <w:spacing w:line="4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处理决定</w:t>
            </w:r>
          </w:p>
        </w:tc>
        <w:tc>
          <w:tcPr>
            <w:tcW w:w="986" w:type="dxa"/>
            <w:vMerge w:val="restart"/>
            <w:noWrap w:val="0"/>
            <w:vAlign w:val="center"/>
          </w:tcPr>
          <w:p>
            <w:pPr>
              <w:widowControl/>
              <w:spacing w:line="4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tblHeader/>
          <w:jc w:val="center"/>
        </w:trPr>
        <w:tc>
          <w:tcPr>
            <w:tcW w:w="416" w:type="dxa"/>
            <w:vMerge w:val="continue"/>
            <w:noWrap w:val="0"/>
            <w:vAlign w:val="center"/>
          </w:tcPr>
          <w:p>
            <w:pPr>
              <w:widowControl/>
              <w:spacing w:line="400" w:lineRule="exact"/>
              <w:jc w:val="left"/>
              <w:rPr>
                <w:rFonts w:hint="default" w:ascii="Times New Roman" w:hAnsi="Times New Roman" w:eastAsia="方正黑体_GBK" w:cs="Times New Roman"/>
                <w:kern w:val="0"/>
                <w:szCs w:val="21"/>
              </w:rPr>
            </w:pPr>
          </w:p>
        </w:tc>
        <w:tc>
          <w:tcPr>
            <w:tcW w:w="966" w:type="dxa"/>
            <w:vMerge w:val="continue"/>
            <w:noWrap w:val="0"/>
            <w:vAlign w:val="center"/>
          </w:tcPr>
          <w:p>
            <w:pPr>
              <w:widowControl/>
              <w:spacing w:line="360" w:lineRule="exact"/>
              <w:jc w:val="center"/>
              <w:rPr>
                <w:rFonts w:hint="default" w:ascii="Times New Roman" w:hAnsi="Times New Roman" w:eastAsia="方正黑体_GBK" w:cs="Times New Roman"/>
                <w:kern w:val="0"/>
                <w:szCs w:val="21"/>
              </w:rPr>
            </w:pPr>
          </w:p>
        </w:tc>
        <w:tc>
          <w:tcPr>
            <w:tcW w:w="1591" w:type="dxa"/>
            <w:noWrap w:val="0"/>
            <w:vAlign w:val="center"/>
          </w:tcPr>
          <w:p>
            <w:pPr>
              <w:widowControl/>
              <w:spacing w:line="36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主项名称</w:t>
            </w:r>
          </w:p>
        </w:tc>
        <w:tc>
          <w:tcPr>
            <w:tcW w:w="1842" w:type="dxa"/>
            <w:noWrap w:val="0"/>
            <w:vAlign w:val="center"/>
          </w:tcPr>
          <w:p>
            <w:pPr>
              <w:widowControl/>
              <w:spacing w:line="36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子项名称</w:t>
            </w:r>
          </w:p>
        </w:tc>
        <w:tc>
          <w:tcPr>
            <w:tcW w:w="1438" w:type="dxa"/>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业务指导（实施）部门</w:t>
            </w:r>
          </w:p>
        </w:tc>
        <w:tc>
          <w:tcPr>
            <w:tcW w:w="744" w:type="dxa"/>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行使</w:t>
            </w:r>
          </w:p>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层级</w:t>
            </w:r>
          </w:p>
        </w:tc>
        <w:tc>
          <w:tcPr>
            <w:tcW w:w="2501" w:type="dxa"/>
            <w:vMerge w:val="continue"/>
            <w:noWrap w:val="0"/>
            <w:vAlign w:val="center"/>
          </w:tcPr>
          <w:p>
            <w:pPr>
              <w:widowControl/>
              <w:rPr>
                <w:rFonts w:hint="default" w:ascii="Times New Roman" w:hAnsi="Times New Roman" w:eastAsia="方正黑体_GBK" w:cs="Times New Roman"/>
                <w:kern w:val="0"/>
                <w:szCs w:val="21"/>
              </w:rPr>
            </w:pPr>
          </w:p>
        </w:tc>
        <w:tc>
          <w:tcPr>
            <w:tcW w:w="991" w:type="dxa"/>
            <w:vMerge w:val="continue"/>
            <w:noWrap w:val="0"/>
            <w:vAlign w:val="center"/>
          </w:tcPr>
          <w:p>
            <w:pPr>
              <w:widowControl/>
              <w:rPr>
                <w:rFonts w:hint="default" w:ascii="Times New Roman" w:hAnsi="Times New Roman" w:eastAsia="方正黑体_GBK" w:cs="Times New Roman"/>
                <w:kern w:val="0"/>
                <w:szCs w:val="21"/>
              </w:rPr>
            </w:pPr>
          </w:p>
        </w:tc>
        <w:tc>
          <w:tcPr>
            <w:tcW w:w="2291" w:type="dxa"/>
            <w:vMerge w:val="continue"/>
            <w:noWrap w:val="0"/>
            <w:vAlign w:val="center"/>
          </w:tcPr>
          <w:p>
            <w:pPr>
              <w:widowControl/>
              <w:rPr>
                <w:rFonts w:hint="default" w:ascii="Times New Roman" w:hAnsi="Times New Roman" w:eastAsia="方正黑体_GBK" w:cs="Times New Roman"/>
                <w:kern w:val="0"/>
                <w:szCs w:val="21"/>
              </w:rPr>
            </w:pPr>
          </w:p>
        </w:tc>
        <w:tc>
          <w:tcPr>
            <w:tcW w:w="986" w:type="dxa"/>
            <w:vMerge w:val="continue"/>
            <w:noWrap w:val="0"/>
            <w:vAlign w:val="center"/>
          </w:tcPr>
          <w:p>
            <w:pPr>
              <w:widowControl/>
              <w:rPr>
                <w:rFonts w:hint="default" w:ascii="Times New Roman" w:hAnsi="Times New Roman" w:eastAsia="方正黑体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11" w:hRule="atLeast"/>
          <w:jc w:val="center"/>
        </w:trPr>
        <w:tc>
          <w:tcPr>
            <w:tcW w:w="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终止民办职业培训学校财务清算</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民办职业培训学校设立、分立、合并、变更及终止审批</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《中华人民共和国民办教育促进法》</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法定验资机构</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申请人可按照要求自行编制财务清算报告，也可委托有关机构编制，审批部门不得以任何形式要求申请人必须委托中介机构提供服务。</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621" w:hRule="atLeast"/>
          <w:jc w:val="center"/>
        </w:trPr>
        <w:tc>
          <w:tcPr>
            <w:tcW w:w="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建设项目踏勘选址论证</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建设项目用地预审与选址意见书核发</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p>
        </w:tc>
        <w:tc>
          <w:tcPr>
            <w:tcW w:w="14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县自然资源局</w:t>
            </w: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《建设项目用地预审管理办法》（国土资源部令第42号发布，国土资源部令第68号修正）</w:t>
            </w:r>
          </w:p>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《云南省城乡规划条例》</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具备相应能力的机构</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申请人可按照要求自行编制建设项目踏勘选址论证报告，也可委托有关机构编制，审批部门不得以任何形式要求申请人必须委托中介机构提供服务。</w:t>
            </w:r>
          </w:p>
        </w:tc>
        <w:tc>
          <w:tcPr>
            <w:tcW w:w="986"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49" w:hRule="atLeast"/>
          <w:jc w:val="center"/>
        </w:trPr>
        <w:tc>
          <w:tcPr>
            <w:tcW w:w="416"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w:t>
            </w:r>
          </w:p>
        </w:tc>
        <w:tc>
          <w:tcPr>
            <w:tcW w:w="966"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不涉及自然资源主管部门直接出让采矿权情形的矿产资源储量报告编制</w:t>
            </w:r>
          </w:p>
        </w:tc>
        <w:tc>
          <w:tcPr>
            <w:tcW w:w="1591"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开采矿产资源审批</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新设采矿权登记</w:t>
            </w:r>
          </w:p>
        </w:tc>
        <w:tc>
          <w:tcPr>
            <w:tcW w:w="1438" w:type="dxa"/>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县自然资源局</w:t>
            </w:r>
          </w:p>
        </w:tc>
        <w:tc>
          <w:tcPr>
            <w:tcW w:w="744" w:type="dxa"/>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《自然资源部办公厅关于矿产资源储量评审备案管理若干事项的通知》（自然资办发〔2020〕26号）</w:t>
            </w:r>
          </w:p>
        </w:tc>
        <w:tc>
          <w:tcPr>
            <w:tcW w:w="991"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具备相应资质的单位</w:t>
            </w:r>
          </w:p>
        </w:tc>
        <w:tc>
          <w:tcPr>
            <w:tcW w:w="2291"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具备相应资质的申请人可按照要求自行编制不涉及自然资源主管部门直接出让采矿权情形的矿产资源储量报告，也可委托有关机构编制，审批部门不得以任何形式要求申请人必须委托中介机构提供服务。</w:t>
            </w:r>
          </w:p>
        </w:tc>
        <w:tc>
          <w:tcPr>
            <w:tcW w:w="986"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p>
            <w:pPr>
              <w:widowControl/>
              <w:rPr>
                <w:rFonts w:hint="default" w:ascii="Times New Roman" w:hAnsi="Times New Roman" w:eastAsia="方正仿宋_GBK" w:cs="Times New Roman"/>
                <w:kern w:val="0"/>
                <w:szCs w:val="21"/>
              </w:rPr>
            </w:pPr>
          </w:p>
          <w:p>
            <w:pPr>
              <w:widowControl/>
              <w:rPr>
                <w:rFonts w:hint="default" w:ascii="Times New Roman" w:hAnsi="Times New Roman" w:eastAsia="方正仿宋_GBK" w:cs="Times New Roman"/>
                <w:kern w:val="0"/>
                <w:szCs w:val="21"/>
              </w:rPr>
            </w:pPr>
          </w:p>
          <w:p>
            <w:pPr>
              <w:widowControl/>
              <w:rPr>
                <w:rFonts w:hint="default" w:ascii="Times New Roman" w:hAnsi="Times New Roman" w:eastAsia="方正仿宋_GBK" w:cs="Times New Roman"/>
                <w:kern w:val="0"/>
                <w:szCs w:val="21"/>
              </w:rPr>
            </w:pPr>
          </w:p>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涉及自然资源主管部门直接出让采矿权情形的矿产资源储量报告，由审批部门自行编制或委托中介机构提供服务。</w:t>
            </w:r>
          </w:p>
          <w:p>
            <w:pPr>
              <w:widowControl/>
              <w:rPr>
                <w:rFonts w:hint="default" w:ascii="Times New Roman" w:hAnsi="Times New Roman" w:eastAsia="方正仿宋_GBK" w:cs="Times New Roman"/>
                <w:kern w:val="0"/>
                <w:szCs w:val="21"/>
              </w:rPr>
            </w:pPr>
          </w:p>
          <w:p>
            <w:pPr>
              <w:widowControl/>
              <w:rPr>
                <w:rFonts w:hint="default" w:ascii="Times New Roman" w:hAnsi="Times New Roman" w:eastAsia="方正仿宋_GBK" w:cs="Times New Roman"/>
                <w:kern w:val="0"/>
                <w:szCs w:val="21"/>
              </w:rPr>
            </w:pPr>
          </w:p>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24" w:hRule="atLeast"/>
          <w:jc w:val="center"/>
        </w:trPr>
        <w:tc>
          <w:tcPr>
            <w:tcW w:w="416"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p>
        </w:tc>
        <w:tc>
          <w:tcPr>
            <w:tcW w:w="966"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5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采矿权变更登记</w:t>
            </w:r>
          </w:p>
        </w:tc>
        <w:tc>
          <w:tcPr>
            <w:tcW w:w="1438"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县自然资源局</w:t>
            </w:r>
          </w:p>
        </w:tc>
        <w:tc>
          <w:tcPr>
            <w:tcW w:w="744"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p>
        </w:tc>
        <w:tc>
          <w:tcPr>
            <w:tcW w:w="9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22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986"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11" w:hRule="atLeast"/>
          <w:jc w:val="center"/>
        </w:trPr>
        <w:tc>
          <w:tcPr>
            <w:tcW w:w="416" w:type="dxa"/>
            <w:vMerge w:val="continue"/>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p>
        </w:tc>
        <w:tc>
          <w:tcPr>
            <w:tcW w:w="966"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591"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采矿权延续登记</w:t>
            </w:r>
          </w:p>
        </w:tc>
        <w:tc>
          <w:tcPr>
            <w:tcW w:w="1438" w:type="dxa"/>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县自然资源局</w:t>
            </w:r>
          </w:p>
        </w:tc>
        <w:tc>
          <w:tcPr>
            <w:tcW w:w="744" w:type="dxa"/>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p>
        </w:tc>
        <w:tc>
          <w:tcPr>
            <w:tcW w:w="991"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2291"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986" w:type="dxa"/>
            <w:vMerge w:val="continue"/>
            <w:tcBorders>
              <w:left w:val="single" w:color="auto" w:sz="4" w:space="0"/>
              <w:bottom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42" w:hRule="atLeast"/>
          <w:jc w:val="center"/>
        </w:trPr>
        <w:tc>
          <w:tcPr>
            <w:tcW w:w="416"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p>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w:t>
            </w:r>
          </w:p>
          <w:p>
            <w:pPr>
              <w:widowControl/>
              <w:jc w:val="center"/>
              <w:rPr>
                <w:rFonts w:hint="default" w:ascii="Times New Roman" w:hAnsi="Times New Roman" w:eastAsia="方正仿宋_GBK" w:cs="Times New Roman"/>
                <w:kern w:val="0"/>
                <w:szCs w:val="21"/>
              </w:rPr>
            </w:pPr>
          </w:p>
        </w:tc>
        <w:tc>
          <w:tcPr>
            <w:tcW w:w="966"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保障公路、公路附属设施质量和安全技术评价</w:t>
            </w:r>
          </w:p>
        </w:tc>
        <w:tc>
          <w:tcPr>
            <w:tcW w:w="1591"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涉路施工许可</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占用、挖掘公路、公路用地或者使公路改线审批</w:t>
            </w:r>
          </w:p>
        </w:tc>
        <w:tc>
          <w:tcPr>
            <w:tcW w:w="1438" w:type="dxa"/>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44" w:type="dxa"/>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《公路安全保护条例》</w:t>
            </w:r>
          </w:p>
        </w:tc>
        <w:tc>
          <w:tcPr>
            <w:tcW w:w="991"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具备相应资质的单位</w:t>
            </w:r>
          </w:p>
        </w:tc>
        <w:tc>
          <w:tcPr>
            <w:tcW w:w="2291"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具备相应资质的申请人可按要求自行编制安全技术评价报告，也可委托有关机构编制，审批部门不得以任何形式要求申请人必须委托中介机构提供服务。</w:t>
            </w:r>
          </w:p>
        </w:tc>
        <w:tc>
          <w:tcPr>
            <w:tcW w:w="986" w:type="dxa"/>
            <w:vMerge w:val="restart"/>
            <w:tcBorders>
              <w:top w:val="single" w:color="auto" w:sz="4" w:space="0"/>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38" w:hRule="atLeast"/>
          <w:jc w:val="center"/>
        </w:trPr>
        <w:tc>
          <w:tcPr>
            <w:tcW w:w="416"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p>
        </w:tc>
        <w:tc>
          <w:tcPr>
            <w:tcW w:w="966"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5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跨越、穿越公路及在公路用地范围内架设、埋设管线、电缆等设施，或者利用公路桥梁、公路隧道、涵洞铺设电缆等设施许可</w:t>
            </w:r>
          </w:p>
        </w:tc>
        <w:tc>
          <w:tcPr>
            <w:tcW w:w="1438"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44"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p>
        </w:tc>
        <w:tc>
          <w:tcPr>
            <w:tcW w:w="9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22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986"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46" w:hRule="atLeast"/>
          <w:jc w:val="center"/>
        </w:trPr>
        <w:tc>
          <w:tcPr>
            <w:tcW w:w="416"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p>
        </w:tc>
        <w:tc>
          <w:tcPr>
            <w:tcW w:w="966"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5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设置非公路标志审批</w:t>
            </w:r>
          </w:p>
        </w:tc>
        <w:tc>
          <w:tcPr>
            <w:tcW w:w="1438"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44"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p>
        </w:tc>
        <w:tc>
          <w:tcPr>
            <w:tcW w:w="9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22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986"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26" w:hRule="atLeast"/>
          <w:jc w:val="center"/>
        </w:trPr>
        <w:tc>
          <w:tcPr>
            <w:tcW w:w="416"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p>
        </w:tc>
        <w:tc>
          <w:tcPr>
            <w:tcW w:w="966"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5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在公路增设或改造平面交叉道口审批</w:t>
            </w:r>
          </w:p>
        </w:tc>
        <w:tc>
          <w:tcPr>
            <w:tcW w:w="1438"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44"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p>
        </w:tc>
        <w:tc>
          <w:tcPr>
            <w:tcW w:w="9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22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986"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68" w:hRule="atLeast"/>
          <w:jc w:val="center"/>
        </w:trPr>
        <w:tc>
          <w:tcPr>
            <w:tcW w:w="416"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p>
        </w:tc>
        <w:tc>
          <w:tcPr>
            <w:tcW w:w="966"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5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公路建筑控制区内埋设管线、电缆等设施许可</w:t>
            </w:r>
          </w:p>
        </w:tc>
        <w:tc>
          <w:tcPr>
            <w:tcW w:w="1438"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44"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p>
        </w:tc>
        <w:tc>
          <w:tcPr>
            <w:tcW w:w="9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22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986"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512" w:hRule="atLeast"/>
          <w:jc w:val="center"/>
        </w:trPr>
        <w:tc>
          <w:tcPr>
            <w:tcW w:w="416"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w:t>
            </w:r>
          </w:p>
        </w:tc>
        <w:tc>
          <w:tcPr>
            <w:tcW w:w="966"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公路工程建设项目设计文件编制</w:t>
            </w:r>
          </w:p>
        </w:tc>
        <w:tc>
          <w:tcPr>
            <w:tcW w:w="1591" w:type="dxa"/>
            <w:vMerge w:val="restart"/>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公路、水运、铁路、城市轨道交通建设项目设计文件审批</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公路工程建设项目设计文件审批</w:t>
            </w:r>
          </w:p>
        </w:tc>
        <w:tc>
          <w:tcPr>
            <w:tcW w:w="1438"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44"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《中华人民共和国公路法》</w:t>
            </w:r>
          </w:p>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《公路建设市场管理办法》（交通部令2004年第14号发布，交通运输部令2011年第11号第一次修正，交通运输部令2015年第11号第二次修正）</w:t>
            </w:r>
          </w:p>
        </w:tc>
        <w:tc>
          <w:tcPr>
            <w:tcW w:w="9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具备相应设计资质的单位</w:t>
            </w:r>
          </w:p>
        </w:tc>
        <w:tc>
          <w:tcPr>
            <w:tcW w:w="22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具备相应设计资质的申请人可按照要求自行编制设计文件，也可委托有关机构编制，审批部门不得以任何形式要求申请人必须委托中介机构提供服务。</w:t>
            </w:r>
          </w:p>
        </w:tc>
        <w:tc>
          <w:tcPr>
            <w:tcW w:w="986"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56" w:hRule="atLeast"/>
          <w:jc w:val="center"/>
        </w:trPr>
        <w:tc>
          <w:tcPr>
            <w:tcW w:w="416"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24"/>
              </w:rPr>
              <w:t>6</w:t>
            </w:r>
          </w:p>
        </w:tc>
        <w:tc>
          <w:tcPr>
            <w:tcW w:w="966"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水运工程建设项目初步设计文件编制</w:t>
            </w:r>
          </w:p>
        </w:tc>
        <w:tc>
          <w:tcPr>
            <w:tcW w:w="1591" w:type="dxa"/>
            <w:vMerge w:val="continue"/>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水运工程建设项目设计文件审批</w:t>
            </w:r>
          </w:p>
        </w:tc>
        <w:tc>
          <w:tcPr>
            <w:tcW w:w="1438"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44"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《建设工程勘察设计管理条例》</w:t>
            </w:r>
          </w:p>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《水运建设市场监督管理办法》（交通运输部令2016年第74号）</w:t>
            </w:r>
          </w:p>
        </w:tc>
        <w:tc>
          <w:tcPr>
            <w:tcW w:w="9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具备相应设计资质的单位</w:t>
            </w:r>
          </w:p>
        </w:tc>
        <w:tc>
          <w:tcPr>
            <w:tcW w:w="22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具备相应设计资质的申请人可按照要求自行编制初步设计文件，也可委托有关机构编制，审批部门不得以任何形式要求申请人必须委托中介机构提供服务。</w:t>
            </w:r>
          </w:p>
        </w:tc>
        <w:tc>
          <w:tcPr>
            <w:tcW w:w="986"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0" w:hRule="atLeast"/>
          <w:jc w:val="center"/>
        </w:trPr>
        <w:tc>
          <w:tcPr>
            <w:tcW w:w="416"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Cs w:val="21"/>
              </w:rPr>
              <w:t>7</w:t>
            </w:r>
          </w:p>
        </w:tc>
        <w:tc>
          <w:tcPr>
            <w:tcW w:w="966"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河道采砂方案编制</w:t>
            </w:r>
          </w:p>
        </w:tc>
        <w:tc>
          <w:tcPr>
            <w:tcW w:w="15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河道采砂许可</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p>
        </w:tc>
        <w:tc>
          <w:tcPr>
            <w:tcW w:w="1438"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44"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《水利部关于河道采砂管理工作的指导意见》（水河湖〔2019〕58号）</w:t>
            </w:r>
          </w:p>
        </w:tc>
        <w:tc>
          <w:tcPr>
            <w:tcW w:w="9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具备相应能力的单位</w:t>
            </w:r>
          </w:p>
        </w:tc>
        <w:tc>
          <w:tcPr>
            <w:tcW w:w="22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申请人可按照要求自行编制河道采砂方案，也可委托有关机构编制，审批部门不得以任何形式要求申请人必须委托中介机构提供服务。</w:t>
            </w:r>
          </w:p>
        </w:tc>
        <w:tc>
          <w:tcPr>
            <w:tcW w:w="986"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654" w:hRule="atLeast"/>
          <w:jc w:val="center"/>
        </w:trPr>
        <w:tc>
          <w:tcPr>
            <w:tcW w:w="416"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Cs w:val="21"/>
              </w:rPr>
              <w:t>8</w:t>
            </w:r>
          </w:p>
        </w:tc>
        <w:tc>
          <w:tcPr>
            <w:tcW w:w="966"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建设项目水资源论证</w:t>
            </w:r>
          </w:p>
        </w:tc>
        <w:tc>
          <w:tcPr>
            <w:tcW w:w="15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取水许可</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p>
        </w:tc>
        <w:tc>
          <w:tcPr>
            <w:tcW w:w="1438"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44"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《取水许可和水资源费征收管理条例》</w:t>
            </w:r>
          </w:p>
        </w:tc>
        <w:tc>
          <w:tcPr>
            <w:tcW w:w="9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具备相应能力的单位</w:t>
            </w:r>
          </w:p>
        </w:tc>
        <w:tc>
          <w:tcPr>
            <w:tcW w:w="22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申请人可按照要求自行编制建设项目水资源论证报告，也可委托有关机构编制，审批部门不得以任何形式要求申请人必须委托中介机构提供服务。</w:t>
            </w:r>
          </w:p>
        </w:tc>
        <w:tc>
          <w:tcPr>
            <w:tcW w:w="986"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68" w:hRule="atLeast"/>
          <w:jc w:val="center"/>
        </w:trPr>
        <w:tc>
          <w:tcPr>
            <w:tcW w:w="416"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Cs w:val="21"/>
              </w:rPr>
              <w:t>9</w:t>
            </w:r>
          </w:p>
        </w:tc>
        <w:tc>
          <w:tcPr>
            <w:tcW w:w="966"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洪水影响评价</w:t>
            </w:r>
          </w:p>
        </w:tc>
        <w:tc>
          <w:tcPr>
            <w:tcW w:w="15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洪水影响评价审批</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kern w:val="0"/>
                <w:szCs w:val="21"/>
              </w:rPr>
            </w:pPr>
          </w:p>
        </w:tc>
        <w:tc>
          <w:tcPr>
            <w:tcW w:w="1438"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44" w:type="dxa"/>
            <w:tcBorders>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0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《中华人民共和国防洪法》</w:t>
            </w:r>
          </w:p>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《水工程建设规划同意书制度管理办法（试行）》（水利部令第31号发布，水利部令第47号第一次修正，水利部令第49号第二次修正）</w:t>
            </w:r>
          </w:p>
          <w:p>
            <w:pPr>
              <w:widowControl/>
              <w:rPr>
                <w:rFonts w:hint="default" w:ascii="Times New Roman" w:hAnsi="Times New Roman" w:eastAsia="方正仿宋_GBK" w:cs="Times New Roman"/>
                <w:kern w:val="0"/>
                <w:szCs w:val="21"/>
                <w:lang w:val="en"/>
              </w:rPr>
            </w:pPr>
            <w:r>
              <w:rPr>
                <w:rFonts w:hint="default" w:ascii="Times New Roman" w:hAnsi="Times New Roman" w:eastAsia="方正仿宋_GBK" w:cs="Times New Roman"/>
                <w:kern w:val="0"/>
                <w:szCs w:val="21"/>
                <w:lang w:val="en"/>
              </w:rPr>
              <w:t>《水利部关于加强非防洪建设项目洪水影响评价工作的通知》（水汛〔2017〕359号）</w:t>
            </w:r>
          </w:p>
        </w:tc>
        <w:tc>
          <w:tcPr>
            <w:tcW w:w="9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具备相应能力的单位</w:t>
            </w:r>
          </w:p>
        </w:tc>
        <w:tc>
          <w:tcPr>
            <w:tcW w:w="2291"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申请人可按照要求自行编制洪水影响评价报告，也可委托有关机构编制，审批部门不得以任何形式要求申请人必须委托中介机构提供服务。</w:t>
            </w:r>
          </w:p>
        </w:tc>
        <w:tc>
          <w:tcPr>
            <w:tcW w:w="986" w:type="dxa"/>
            <w:tcBorders>
              <w:left w:val="single" w:color="auto" w:sz="4" w:space="0"/>
              <w:right w:val="single" w:color="auto" w:sz="4" w:space="0"/>
            </w:tcBorders>
            <w:noWrap w:val="0"/>
            <w:vAlign w:val="center"/>
          </w:tcPr>
          <w:p>
            <w:pPr>
              <w:widowControl/>
              <w:rPr>
                <w:rFonts w:hint="default" w:ascii="Times New Roman" w:hAnsi="Times New Roman" w:eastAsia="方正仿宋_GBK" w:cs="Times New Roman"/>
                <w:kern w:val="0"/>
                <w:szCs w:val="21"/>
              </w:rPr>
            </w:pPr>
          </w:p>
        </w:tc>
      </w:tr>
    </w:tbl>
    <w:p>
      <w:pPr>
        <w:spacing w:line="560" w:lineRule="exact"/>
        <w:jc w:val="left"/>
        <w:rPr>
          <w:rFonts w:hint="default" w:ascii="Times New Roman" w:hAnsi="Times New Roman" w:cs="Times New Roman"/>
          <w:lang w:val="en-US" w:eastAsia="zh-CN"/>
        </w:rPr>
      </w:pPr>
      <w:bookmarkStart w:id="0" w:name="_GoBack"/>
      <w:bookmarkEnd w:id="0"/>
    </w:p>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99"/>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23"/>
    <w:rsid w:val="00047A46"/>
    <w:rsid w:val="00050266"/>
    <w:rsid w:val="00075927"/>
    <w:rsid w:val="0008783B"/>
    <w:rsid w:val="000950B2"/>
    <w:rsid w:val="000C791B"/>
    <w:rsid w:val="00107D6B"/>
    <w:rsid w:val="001718AF"/>
    <w:rsid w:val="0020444C"/>
    <w:rsid w:val="00256EF1"/>
    <w:rsid w:val="00292778"/>
    <w:rsid w:val="003A4830"/>
    <w:rsid w:val="003C4000"/>
    <w:rsid w:val="003F33F6"/>
    <w:rsid w:val="00453C1F"/>
    <w:rsid w:val="004833B4"/>
    <w:rsid w:val="004B3AE5"/>
    <w:rsid w:val="004E12EC"/>
    <w:rsid w:val="00565288"/>
    <w:rsid w:val="005736D4"/>
    <w:rsid w:val="00576F33"/>
    <w:rsid w:val="005D0FEC"/>
    <w:rsid w:val="005E0A90"/>
    <w:rsid w:val="005F3E72"/>
    <w:rsid w:val="006304CB"/>
    <w:rsid w:val="00650CAA"/>
    <w:rsid w:val="00651EDB"/>
    <w:rsid w:val="00672907"/>
    <w:rsid w:val="007E2496"/>
    <w:rsid w:val="00834C65"/>
    <w:rsid w:val="00913FE2"/>
    <w:rsid w:val="0094364F"/>
    <w:rsid w:val="009D0832"/>
    <w:rsid w:val="00A47673"/>
    <w:rsid w:val="00A60E08"/>
    <w:rsid w:val="00B51BE3"/>
    <w:rsid w:val="00B63A21"/>
    <w:rsid w:val="00B703E0"/>
    <w:rsid w:val="00C15523"/>
    <w:rsid w:val="00C5336E"/>
    <w:rsid w:val="00D143BF"/>
    <w:rsid w:val="00D665F8"/>
    <w:rsid w:val="00D96EA4"/>
    <w:rsid w:val="00E32BCF"/>
    <w:rsid w:val="00EA63E1"/>
    <w:rsid w:val="00F02077"/>
    <w:rsid w:val="00F124CA"/>
    <w:rsid w:val="00F24851"/>
    <w:rsid w:val="00F71AE7"/>
    <w:rsid w:val="01850BA9"/>
    <w:rsid w:val="029357EE"/>
    <w:rsid w:val="039F4ECB"/>
    <w:rsid w:val="03F421E8"/>
    <w:rsid w:val="04A1385A"/>
    <w:rsid w:val="06277E45"/>
    <w:rsid w:val="081E6FE1"/>
    <w:rsid w:val="084C6E94"/>
    <w:rsid w:val="08CC77A0"/>
    <w:rsid w:val="08EF785B"/>
    <w:rsid w:val="09BC26E0"/>
    <w:rsid w:val="0A0F5C88"/>
    <w:rsid w:val="0CA94C51"/>
    <w:rsid w:val="0E193673"/>
    <w:rsid w:val="0EA71A99"/>
    <w:rsid w:val="0F355C4E"/>
    <w:rsid w:val="0FE44934"/>
    <w:rsid w:val="10213B37"/>
    <w:rsid w:val="11D27E54"/>
    <w:rsid w:val="128E38C1"/>
    <w:rsid w:val="13B80057"/>
    <w:rsid w:val="13EB0B84"/>
    <w:rsid w:val="13FF0FC2"/>
    <w:rsid w:val="146B2515"/>
    <w:rsid w:val="14E31251"/>
    <w:rsid w:val="14EC5DAD"/>
    <w:rsid w:val="15210A5B"/>
    <w:rsid w:val="15343FE2"/>
    <w:rsid w:val="157D2974"/>
    <w:rsid w:val="15D05977"/>
    <w:rsid w:val="16AC0261"/>
    <w:rsid w:val="18E6046B"/>
    <w:rsid w:val="19F430D5"/>
    <w:rsid w:val="1A540E6C"/>
    <w:rsid w:val="1AB35EB1"/>
    <w:rsid w:val="1BD640BA"/>
    <w:rsid w:val="1C020F6F"/>
    <w:rsid w:val="1CDD3841"/>
    <w:rsid w:val="1DAC76EC"/>
    <w:rsid w:val="1E40298C"/>
    <w:rsid w:val="1EF2340B"/>
    <w:rsid w:val="20B2577F"/>
    <w:rsid w:val="20D90EC3"/>
    <w:rsid w:val="21F07A1E"/>
    <w:rsid w:val="22AD32E3"/>
    <w:rsid w:val="24BB2F7F"/>
    <w:rsid w:val="25677C5F"/>
    <w:rsid w:val="26097F8B"/>
    <w:rsid w:val="28CF396F"/>
    <w:rsid w:val="290A097D"/>
    <w:rsid w:val="2A042F59"/>
    <w:rsid w:val="2C706A80"/>
    <w:rsid w:val="2CB006F1"/>
    <w:rsid w:val="2D9210D9"/>
    <w:rsid w:val="2DB16C7E"/>
    <w:rsid w:val="2E430242"/>
    <w:rsid w:val="2EFC0FC5"/>
    <w:rsid w:val="308C4555"/>
    <w:rsid w:val="3122721B"/>
    <w:rsid w:val="316737D2"/>
    <w:rsid w:val="31703B92"/>
    <w:rsid w:val="31950904"/>
    <w:rsid w:val="32107C16"/>
    <w:rsid w:val="32265828"/>
    <w:rsid w:val="328F7337"/>
    <w:rsid w:val="334954F4"/>
    <w:rsid w:val="339175B4"/>
    <w:rsid w:val="35247922"/>
    <w:rsid w:val="36810987"/>
    <w:rsid w:val="36CC4BD0"/>
    <w:rsid w:val="388964F0"/>
    <w:rsid w:val="3B052B39"/>
    <w:rsid w:val="3C13603D"/>
    <w:rsid w:val="3C5161DE"/>
    <w:rsid w:val="40234454"/>
    <w:rsid w:val="42DB6F00"/>
    <w:rsid w:val="42FD383F"/>
    <w:rsid w:val="450170E6"/>
    <w:rsid w:val="45040D6D"/>
    <w:rsid w:val="45BB7C67"/>
    <w:rsid w:val="47330CE8"/>
    <w:rsid w:val="47B52E40"/>
    <w:rsid w:val="4851105D"/>
    <w:rsid w:val="489B55DB"/>
    <w:rsid w:val="49EC176D"/>
    <w:rsid w:val="4A49423D"/>
    <w:rsid w:val="4B03345B"/>
    <w:rsid w:val="4B3C2FE5"/>
    <w:rsid w:val="4B566C3E"/>
    <w:rsid w:val="4B885A81"/>
    <w:rsid w:val="4B9C794D"/>
    <w:rsid w:val="4DA67EE0"/>
    <w:rsid w:val="4E972DF5"/>
    <w:rsid w:val="4E9831DD"/>
    <w:rsid w:val="50763919"/>
    <w:rsid w:val="50B14A59"/>
    <w:rsid w:val="51D202AB"/>
    <w:rsid w:val="52B3536B"/>
    <w:rsid w:val="533C68E1"/>
    <w:rsid w:val="5390657B"/>
    <w:rsid w:val="5421082A"/>
    <w:rsid w:val="54EF0549"/>
    <w:rsid w:val="553B79B4"/>
    <w:rsid w:val="55FC0195"/>
    <w:rsid w:val="59072027"/>
    <w:rsid w:val="5BE7106A"/>
    <w:rsid w:val="5DDF7AA7"/>
    <w:rsid w:val="5E303B31"/>
    <w:rsid w:val="5FE25736"/>
    <w:rsid w:val="62B22CD8"/>
    <w:rsid w:val="640946BF"/>
    <w:rsid w:val="65FA2219"/>
    <w:rsid w:val="66F171A1"/>
    <w:rsid w:val="6A027D38"/>
    <w:rsid w:val="6A190083"/>
    <w:rsid w:val="6A710AB9"/>
    <w:rsid w:val="6BA5133C"/>
    <w:rsid w:val="6DBD2440"/>
    <w:rsid w:val="6E430D8B"/>
    <w:rsid w:val="6E6F6696"/>
    <w:rsid w:val="6EB25472"/>
    <w:rsid w:val="6F851D90"/>
    <w:rsid w:val="72D665EE"/>
    <w:rsid w:val="7409663E"/>
    <w:rsid w:val="76BB4059"/>
    <w:rsid w:val="774A352D"/>
    <w:rsid w:val="77E02F06"/>
    <w:rsid w:val="780D129E"/>
    <w:rsid w:val="78617DCB"/>
    <w:rsid w:val="786A3A9A"/>
    <w:rsid w:val="78F15E97"/>
    <w:rsid w:val="796236B7"/>
    <w:rsid w:val="7B9C28B9"/>
    <w:rsid w:val="7C436B2A"/>
    <w:rsid w:val="7D2472FF"/>
    <w:rsid w:val="7D2C538E"/>
    <w:rsid w:val="7D976ED8"/>
    <w:rsid w:val="7E6D0547"/>
    <w:rsid w:val="7EB6357D"/>
    <w:rsid w:val="7FCA1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212" w:hanging="3"/>
      <w:outlineLvl w:val="0"/>
    </w:pPr>
    <w:rPr>
      <w:rFonts w:ascii="PMingLiU" w:hAnsi="PMingLiU" w:eastAsia="PMingLiU" w:cs="PMingLiU"/>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9"/>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日期 字符"/>
    <w:basedOn w:val="7"/>
    <w:link w:val="3"/>
    <w:semiHidden/>
    <w:qFormat/>
    <w:uiPriority w:val="99"/>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423</Words>
  <Characters>2414</Characters>
  <Lines>20</Lines>
  <Paragraphs>5</Paragraphs>
  <TotalTime>18</TotalTime>
  <ScaleCrop>false</ScaleCrop>
  <LinksUpToDate>false</LinksUpToDate>
  <CharactersWithSpaces>2832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2020-05-04T02:58:00Z</dcterms:created>
  <dc:creator>微软用户</dc:creator>
  <cp:lastModifiedBy>Shiyi</cp:lastModifiedBy>
  <cp:lastPrinted>2021-06-07T02:25:00Z</cp:lastPrinted>
  <dcterms:modified xsi:type="dcterms:W3CDTF">2021-10-25T01:24:25Z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E3036F85CD874169A5526C85F6CA0394</vt:lpwstr>
  </property>
</Properties>
</file>