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cs="Arial"/>
          <w:color w:val="000000"/>
          <w:sz w:val="32"/>
          <w:szCs w:val="32"/>
        </w:rPr>
      </w:pPr>
      <w:r>
        <w:rPr>
          <w:rFonts w:hint="eastAsia" w:ascii="黑体" w:eastAsia="黑体" w:cs="Arial"/>
          <w:color w:val="000000"/>
          <w:sz w:val="32"/>
          <w:szCs w:val="32"/>
        </w:rPr>
        <w:t>附件3</w:t>
      </w:r>
    </w:p>
    <w:p>
      <w:pPr>
        <w:spacing w:line="720" w:lineRule="exact"/>
        <w:jc w:val="center"/>
        <w:rPr>
          <w:rFonts w:hint="eastAsia" w:ascii="方正小标宋_GBK" w:hAnsi="华文中宋" w:eastAsia="方正小标宋_GBK"/>
          <w:color w:val="000000"/>
          <w:sz w:val="44"/>
          <w:szCs w:val="44"/>
        </w:rPr>
      </w:pPr>
      <w:r>
        <w:rPr>
          <w:rFonts w:hint="eastAsia" w:ascii="方正小标宋_GBK" w:hAnsi="华文中宋" w:eastAsia="方正小标宋_GBK"/>
          <w:color w:val="000000"/>
          <w:sz w:val="44"/>
          <w:szCs w:val="44"/>
        </w:rPr>
        <w:t>申报材料要求及有关指标说明</w:t>
      </w:r>
    </w:p>
    <w:p>
      <w:pPr>
        <w:spacing w:line="720" w:lineRule="exact"/>
        <w:jc w:val="center"/>
        <w:rPr>
          <w:rFonts w:hint="eastAsia" w:ascii="方正小标宋_GBK" w:hAnsi="华文中宋" w:eastAsia="方正小标宋_GBK"/>
          <w:color w:val="000000"/>
          <w:sz w:val="28"/>
          <w:szCs w:val="28"/>
        </w:rPr>
      </w:pPr>
    </w:p>
    <w:p>
      <w:pPr>
        <w:spacing w:line="600" w:lineRule="exact"/>
        <w:ind w:firstLine="630" w:firstLineChars="196"/>
        <w:rPr>
          <w:rFonts w:hint="eastAsia" w:ascii="楷体_GB2312" w:hAnsi="华文中宋" w:eastAsia="楷体_GB2312"/>
          <w:b/>
          <w:color w:val="000000"/>
          <w:sz w:val="32"/>
          <w:szCs w:val="32"/>
        </w:rPr>
      </w:pPr>
      <w:r>
        <w:rPr>
          <w:rFonts w:hint="eastAsia" w:ascii="楷体_GB2312" w:hAnsi="华文中宋" w:eastAsia="楷体_GB2312"/>
          <w:b/>
          <w:color w:val="000000"/>
          <w:sz w:val="32"/>
          <w:szCs w:val="32"/>
        </w:rPr>
        <w:t>（一）申报材料要求</w:t>
      </w:r>
    </w:p>
    <w:p>
      <w:pPr>
        <w:spacing w:line="600" w:lineRule="exact"/>
        <w:ind w:firstLine="645"/>
        <w:rPr>
          <w:rFonts w:hint="eastAsia" w:ascii="仿宋_GB2312" w:eastAsia="仿宋_GB2312"/>
          <w:sz w:val="32"/>
          <w:szCs w:val="32"/>
        </w:rPr>
      </w:pPr>
      <w:r>
        <w:rPr>
          <w:rFonts w:hint="eastAsia" w:ascii="仿宋_GB2312" w:eastAsia="仿宋_GB2312"/>
          <w:sz w:val="32"/>
          <w:szCs w:val="32"/>
        </w:rPr>
        <w:t xml:space="preserve">申报企业要按照以下内容及顺序编制目录，并将材料胶订成册。 </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1.企业申请。</w:t>
      </w:r>
      <w:r>
        <w:rPr>
          <w:rFonts w:hint="eastAsia" w:ascii="仿宋_GB2312" w:eastAsia="仿宋_GB2312"/>
          <w:sz w:val="32"/>
          <w:szCs w:val="32"/>
        </w:rPr>
        <w:t>申报企业以文件形式向县级农业产业化主管部门提出的认定申请报告。</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2.填报表格。</w:t>
      </w:r>
      <w:r>
        <w:rPr>
          <w:rFonts w:hint="eastAsia" w:ascii="仿宋_GB2312" w:eastAsia="仿宋_GB2312"/>
          <w:sz w:val="32"/>
          <w:szCs w:val="32"/>
        </w:rPr>
        <w:t>如实填写申报县级重点龙头企业汇总表（附件1）和县级重点龙头企业认定申报表（附件2）。填报内容要与《审计报告》等相关证明材料保持一致。</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3.企业发展情况（</w:t>
      </w:r>
      <w:r>
        <w:rPr>
          <w:rFonts w:hint="eastAsia" w:ascii="仿宋_GB2312" w:eastAsia="仿宋_GB2312"/>
          <w:b/>
          <w:sz w:val="32"/>
          <w:szCs w:val="32"/>
          <w:lang w:val="en-US" w:eastAsia="zh-CN"/>
        </w:rPr>
        <w:t>1</w:t>
      </w:r>
      <w:r>
        <w:rPr>
          <w:rFonts w:hint="eastAsia" w:ascii="仿宋_GB2312" w:eastAsia="仿宋_GB2312"/>
          <w:b/>
          <w:sz w:val="32"/>
          <w:szCs w:val="32"/>
        </w:rPr>
        <w:t>000字左右）。</w:t>
      </w:r>
      <w:r>
        <w:rPr>
          <w:rFonts w:hint="eastAsia" w:ascii="仿宋_GB2312" w:eastAsia="仿宋_GB2312"/>
          <w:sz w:val="32"/>
          <w:szCs w:val="32"/>
        </w:rPr>
        <w:t>（1）企业基本情况：企业创办及发展变化情况，时间、地点，投资人（股东），注册资本，总资产，固定资产，主要经营项目，经营方式，销售收入，经济效益，企业经营发展情况。（2）企业近三年发展情况，累计上缴税金对国家和地方财政的贡献，解决就业情况，加强质量安全管理，企业创品牌，科技创新、制度创新，促进产业发展情况，带动农户数及农户收入增加情况，节约资源、保护环境、发展农业循环经济、发展高效现代农业情况，参与社会公益事业情况，企业受表彰奖励情况，享受政策优惠情况和企业认为有必要报告的其他情况等。（3）存在困难和问题。（4）今后发展方向和目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4.审计报告原件。</w:t>
      </w:r>
      <w:r>
        <w:rPr>
          <w:rFonts w:hint="eastAsia" w:ascii="仿宋_GB2312" w:eastAsia="仿宋_GB2312"/>
          <w:color w:val="000000"/>
          <w:sz w:val="32"/>
          <w:szCs w:val="32"/>
        </w:rPr>
        <w:t>由国家认可资质的会计师事务所出具的企业20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年度《审计报告》原件</w:t>
      </w:r>
      <w:r>
        <w:rPr>
          <w:rFonts w:hint="eastAsia" w:ascii="仿宋_GB2312" w:eastAsia="仿宋_GB2312"/>
          <w:sz w:val="32"/>
          <w:szCs w:val="32"/>
        </w:rPr>
        <w:t>。</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5.资信证明原件。</w:t>
      </w:r>
      <w:r>
        <w:rPr>
          <w:rFonts w:hint="eastAsia" w:ascii="仿宋_GB2312" w:eastAsia="仿宋_GB2312"/>
          <w:sz w:val="32"/>
          <w:szCs w:val="32"/>
        </w:rPr>
        <w:t>由企业开户行经查询人民银行征信系统后出具，具体说明企业201</w:t>
      </w:r>
      <w:r>
        <w:rPr>
          <w:rFonts w:hint="eastAsia" w:ascii="仿宋_GB2312" w:eastAsia="仿宋_GB2312"/>
          <w:sz w:val="32"/>
          <w:szCs w:val="32"/>
          <w:lang w:val="en-US" w:eastAsia="zh-CN"/>
        </w:rPr>
        <w:t>8</w:t>
      </w:r>
      <w:r>
        <w:rPr>
          <w:rFonts w:hint="eastAsia" w:ascii="仿宋_GB2312" w:eastAsia="仿宋_GB2312"/>
          <w:sz w:val="32"/>
          <w:szCs w:val="32"/>
        </w:rPr>
        <w:t>至20</w:t>
      </w:r>
      <w:r>
        <w:rPr>
          <w:rFonts w:hint="eastAsia" w:ascii="仿宋_GB2312" w:eastAsia="仿宋_GB2312"/>
          <w:sz w:val="32"/>
          <w:szCs w:val="32"/>
          <w:lang w:val="en-US" w:eastAsia="zh-CN"/>
        </w:rPr>
        <w:t>20</w:t>
      </w:r>
      <w:r>
        <w:rPr>
          <w:rFonts w:hint="eastAsia" w:ascii="仿宋_GB2312" w:eastAsia="仿宋_GB2312"/>
          <w:sz w:val="32"/>
          <w:szCs w:val="32"/>
        </w:rPr>
        <w:t>年有无银行资信方面的问题</w:t>
      </w:r>
      <w:r>
        <w:rPr>
          <w:rFonts w:hint="eastAsia" w:ascii="仿宋_GB2312" w:eastAsia="仿宋_GB2312"/>
          <w:sz w:val="32"/>
          <w:szCs w:val="32"/>
          <w:lang w:eastAsia="zh-CN"/>
        </w:rPr>
        <w:t>、信用等级，有贷款的企业由其开户银行出具授信额度证明，</w:t>
      </w:r>
      <w:r>
        <w:rPr>
          <w:rFonts w:hint="eastAsia" w:ascii="仿宋_GB2312" w:eastAsia="仿宋_GB2312"/>
          <w:sz w:val="32"/>
          <w:szCs w:val="32"/>
        </w:rPr>
        <w:t>无贷款企业由其所</w:t>
      </w:r>
      <w:r>
        <w:rPr>
          <w:rFonts w:hint="eastAsia" w:ascii="仿宋_GB2312" w:eastAsia="仿宋_GB2312"/>
          <w:sz w:val="32"/>
          <w:szCs w:val="32"/>
          <w:lang w:eastAsia="zh-CN"/>
        </w:rPr>
        <w:t>在</w:t>
      </w:r>
      <w:r>
        <w:rPr>
          <w:rFonts w:hint="eastAsia" w:ascii="仿宋_GB2312" w:eastAsia="仿宋_GB2312"/>
          <w:sz w:val="32"/>
          <w:szCs w:val="32"/>
        </w:rPr>
        <w:t>开户银行出具企业无贷款的证明。</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6.税务证明原件。</w:t>
      </w:r>
      <w:r>
        <w:rPr>
          <w:rFonts w:hint="eastAsia" w:ascii="仿宋_GB2312" w:eastAsia="仿宋_GB2312"/>
          <w:sz w:val="32"/>
          <w:szCs w:val="32"/>
        </w:rPr>
        <w:t>由县级（含）以上国税和地税部门出具的企业201</w:t>
      </w:r>
      <w:r>
        <w:rPr>
          <w:rFonts w:hint="eastAsia" w:ascii="仿宋_GB2312" w:eastAsia="仿宋_GB2312"/>
          <w:sz w:val="32"/>
          <w:szCs w:val="32"/>
          <w:lang w:val="en-US" w:eastAsia="zh-CN"/>
        </w:rPr>
        <w:t>8</w:t>
      </w:r>
      <w:r>
        <w:rPr>
          <w:rFonts w:hint="eastAsia" w:ascii="仿宋_GB2312" w:eastAsia="仿宋_GB2312"/>
          <w:sz w:val="32"/>
          <w:szCs w:val="32"/>
        </w:rPr>
        <w:t>年至20</w:t>
      </w:r>
      <w:r>
        <w:rPr>
          <w:rFonts w:hint="eastAsia" w:ascii="仿宋_GB2312" w:eastAsia="仿宋_GB2312"/>
          <w:sz w:val="32"/>
          <w:szCs w:val="32"/>
          <w:lang w:val="en-US" w:eastAsia="zh-CN"/>
        </w:rPr>
        <w:t>20</w:t>
      </w:r>
      <w:r>
        <w:rPr>
          <w:rFonts w:hint="eastAsia" w:ascii="仿宋_GB2312" w:eastAsia="仿宋_GB2312"/>
          <w:sz w:val="32"/>
          <w:szCs w:val="32"/>
        </w:rPr>
        <w:t>年无涉税违法行为的证明原件，证明原件中需明确企业20</w:t>
      </w:r>
      <w:r>
        <w:rPr>
          <w:rFonts w:hint="eastAsia" w:ascii="仿宋_GB2312" w:eastAsia="仿宋_GB2312"/>
          <w:sz w:val="32"/>
          <w:szCs w:val="32"/>
          <w:lang w:val="en-US" w:eastAsia="zh-CN"/>
        </w:rPr>
        <w:t>20</w:t>
      </w:r>
      <w:r>
        <w:rPr>
          <w:rFonts w:hint="eastAsia" w:ascii="仿宋_GB2312" w:eastAsia="仿宋_GB2312"/>
          <w:sz w:val="32"/>
          <w:szCs w:val="32"/>
        </w:rPr>
        <w:t>年度实际上缴税金总额。</w:t>
      </w:r>
    </w:p>
    <w:p>
      <w:pPr>
        <w:spacing w:line="600" w:lineRule="exact"/>
        <w:ind w:firstLine="643" w:firstLineChars="200"/>
        <w:rPr>
          <w:rFonts w:hint="eastAsia" w:ascii="宋体" w:hAnsi="宋体"/>
          <w:sz w:val="32"/>
          <w:szCs w:val="32"/>
        </w:rPr>
      </w:pPr>
      <w:r>
        <w:rPr>
          <w:rFonts w:hint="eastAsia" w:ascii="仿宋_GB2312" w:eastAsia="仿宋_GB2312"/>
          <w:b/>
          <w:sz w:val="32"/>
          <w:szCs w:val="32"/>
        </w:rPr>
        <w:t>7.带动农户证明原件。</w:t>
      </w:r>
      <w:r>
        <w:rPr>
          <w:rFonts w:hint="eastAsia" w:ascii="仿宋_GB2312" w:eastAsia="仿宋_GB2312"/>
          <w:sz w:val="32"/>
          <w:szCs w:val="32"/>
        </w:rPr>
        <w:t>由县级（含）以上农经部门出具的企业与农户利益联结方式和带动农户数的证明原件。</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8.质量安全证明原件。</w:t>
      </w:r>
      <w:r>
        <w:rPr>
          <w:rFonts w:hint="eastAsia" w:ascii="仿宋_GB2312" w:eastAsia="仿宋_GB2312"/>
          <w:sz w:val="32"/>
          <w:szCs w:val="32"/>
        </w:rPr>
        <w:t>由县级（含）以上农业和其他法定部门出具的质量安全证明原件。国家认可的产品质量认证、产品检测合格证明、著名商标、知名品牌、“三品一标”等辅助证明复印件。复印件各页面需加盖企业公章，确保与原件一致。</w:t>
      </w:r>
    </w:p>
    <w:p>
      <w:pPr>
        <w:spacing w:line="600" w:lineRule="exact"/>
        <w:ind w:firstLine="643" w:firstLineChars="200"/>
        <w:rPr>
          <w:rFonts w:hint="eastAsia" w:ascii="仿宋_GB2312" w:eastAsia="仿宋_GB2312"/>
          <w:color w:val="000000"/>
          <w:sz w:val="32"/>
          <w:szCs w:val="32"/>
        </w:rPr>
      </w:pPr>
      <w:r>
        <w:rPr>
          <w:rFonts w:hint="eastAsia" w:ascii="仿宋_GB2312" w:eastAsia="仿宋_GB2312"/>
          <w:b/>
          <w:color w:val="000000"/>
          <w:sz w:val="32"/>
          <w:szCs w:val="32"/>
        </w:rPr>
        <w:t>9.环保情况证明。</w:t>
      </w:r>
      <w:r>
        <w:rPr>
          <w:rFonts w:hint="eastAsia" w:ascii="仿宋_GB2312" w:eastAsia="仿宋_GB2312"/>
          <w:color w:val="000000"/>
          <w:sz w:val="32"/>
          <w:szCs w:val="32"/>
        </w:rPr>
        <w:t>由县级（含）以上环保部门出具的证明企业无环保方面问题的证明原件。</w:t>
      </w:r>
    </w:p>
    <w:p>
      <w:pPr>
        <w:spacing w:line="600" w:lineRule="exact"/>
        <w:ind w:firstLine="630" w:firstLineChars="196"/>
        <w:rPr>
          <w:rFonts w:hint="eastAsia" w:ascii="仿宋_GB2312" w:eastAsia="仿宋_GB2312"/>
          <w:sz w:val="32"/>
          <w:szCs w:val="32"/>
        </w:rPr>
      </w:pPr>
      <w:r>
        <w:rPr>
          <w:rFonts w:hint="eastAsia" w:ascii="仿宋_GB2312" w:eastAsia="仿宋_GB2312"/>
          <w:b/>
          <w:sz w:val="32"/>
          <w:szCs w:val="32"/>
        </w:rPr>
        <w:t>10．企业证书复印件。</w:t>
      </w:r>
      <w:r>
        <w:rPr>
          <w:rFonts w:hint="eastAsia" w:ascii="仿宋_GB2312" w:eastAsia="仿宋_GB2312"/>
          <w:sz w:val="32"/>
          <w:szCs w:val="32"/>
        </w:rPr>
        <w:t>企业营业执照、组织机构代码证、企业获奖证书、荣誉证书、评级证书等复印件，复印件各页面需加盖企业公章，确保与原件一致。</w:t>
      </w:r>
    </w:p>
    <w:p>
      <w:pPr>
        <w:spacing w:line="600" w:lineRule="exact"/>
        <w:ind w:firstLine="643" w:firstLineChars="200"/>
        <w:rPr>
          <w:rFonts w:hint="default" w:ascii="仿宋_GB2312" w:eastAsia="仿宋_GB2312"/>
          <w:sz w:val="32"/>
          <w:szCs w:val="32"/>
          <w:lang w:val="en-US" w:eastAsia="zh-CN"/>
        </w:rPr>
      </w:pPr>
      <w:r>
        <w:rPr>
          <w:rFonts w:hint="eastAsia" w:ascii="仿宋_GB2312" w:eastAsia="仿宋_GB2312"/>
          <w:b/>
          <w:sz w:val="32"/>
          <w:szCs w:val="32"/>
        </w:rPr>
        <w:t>11.</w:t>
      </w:r>
      <w:r>
        <w:rPr>
          <w:rFonts w:hint="eastAsia" w:ascii="仿宋_GB2312" w:eastAsia="仿宋_GB2312"/>
          <w:sz w:val="32"/>
          <w:szCs w:val="32"/>
        </w:rPr>
        <w:t>各级主管部门和企业认为有必要提供的其它证明材料。</w:t>
      </w:r>
    </w:p>
    <w:p>
      <w:pPr>
        <w:spacing w:line="600" w:lineRule="exact"/>
        <w:ind w:firstLine="630" w:firstLineChars="196"/>
        <w:rPr>
          <w:rFonts w:hint="eastAsia" w:ascii="楷体_GB2312" w:hAnsi="华文中宋" w:eastAsia="楷体_GB2312"/>
          <w:b/>
          <w:color w:val="000000"/>
          <w:sz w:val="32"/>
          <w:szCs w:val="32"/>
        </w:rPr>
      </w:pPr>
      <w:r>
        <w:rPr>
          <w:rFonts w:hint="eastAsia" w:ascii="楷体_GB2312" w:hAnsi="华文中宋" w:eastAsia="楷体_GB2312"/>
          <w:b/>
          <w:color w:val="000000"/>
          <w:sz w:val="32"/>
          <w:szCs w:val="32"/>
        </w:rPr>
        <w:t>（二）有关指标说明</w:t>
      </w:r>
    </w:p>
    <w:p>
      <w:pPr>
        <w:spacing w:line="600" w:lineRule="exact"/>
        <w:ind w:firstLine="630" w:firstLineChars="196"/>
        <w:rPr>
          <w:rFonts w:hint="eastAsia" w:ascii="仿宋_GB2312" w:hAnsi="仿宋_GB2312" w:eastAsia="仿宋_GB2312" w:cs="仿宋_GB2312"/>
          <w:b/>
          <w:bCs/>
          <w:sz w:val="32"/>
          <w:szCs w:val="32"/>
        </w:rPr>
      </w:pPr>
      <w:r>
        <w:rPr>
          <w:rFonts w:ascii="仿宋_GB2312" w:hAnsi="仿宋_GB2312" w:eastAsia="仿宋_GB2312" w:cs="仿宋_GB2312"/>
          <w:b/>
          <w:bCs/>
          <w:sz w:val="32"/>
          <w:szCs w:val="32"/>
        </w:rPr>
        <w:t>1.</w:t>
      </w:r>
      <w:r>
        <w:rPr>
          <w:rFonts w:ascii="仿宋_GB2312" w:hAnsi="仿宋_GB2312" w:eastAsia="仿宋_GB2312" w:cs="仿宋_GB2312"/>
          <w:bCs/>
          <w:sz w:val="32"/>
          <w:szCs w:val="32"/>
        </w:rPr>
        <w:t>企业各项经济指标根据企业20</w:t>
      </w:r>
      <w:r>
        <w:rPr>
          <w:rFonts w:hint="eastAsia" w:ascii="仿宋_GB2312" w:hAnsi="仿宋_GB2312" w:eastAsia="仿宋_GB2312" w:cs="仿宋_GB2312"/>
          <w:bCs/>
          <w:sz w:val="32"/>
          <w:szCs w:val="32"/>
          <w:lang w:val="en-US" w:eastAsia="zh-CN"/>
        </w:rPr>
        <w:t>20</w:t>
      </w:r>
      <w:r>
        <w:rPr>
          <w:rFonts w:ascii="仿宋_GB2312" w:hAnsi="仿宋_GB2312" w:eastAsia="仿宋_GB2312" w:cs="仿宋_GB2312"/>
          <w:bCs/>
          <w:sz w:val="32"/>
          <w:szCs w:val="32"/>
        </w:rPr>
        <w:t>年度实际情况填写</w:t>
      </w:r>
      <w:r>
        <w:rPr>
          <w:rFonts w:hint="eastAsia" w:ascii="仿宋_GB2312" w:hAnsi="仿宋_GB2312" w:eastAsia="仿宋_GB2312" w:cs="仿宋_GB2312"/>
          <w:bCs/>
          <w:sz w:val="32"/>
          <w:szCs w:val="32"/>
        </w:rPr>
        <w:t>，如实填写</w:t>
      </w:r>
      <w:r>
        <w:rPr>
          <w:rFonts w:hint="eastAsia" w:ascii="仿宋_GB2312" w:eastAsia="仿宋_GB2312"/>
          <w:sz w:val="32"/>
          <w:szCs w:val="32"/>
        </w:rPr>
        <w:t>申报县级重点龙头企业汇总表（附件1）和县级重点龙头企业认定申报表（附件2）并与审计报告等证明材料保持一致。</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2.资产总额：</w:t>
      </w:r>
      <w:r>
        <w:rPr>
          <w:rFonts w:ascii="仿宋_GB2312" w:hAnsi="仿宋_GB2312" w:eastAsia="仿宋_GB2312" w:cs="仿宋_GB2312"/>
          <w:sz w:val="32"/>
          <w:szCs w:val="32"/>
        </w:rPr>
        <w:t>必须与</w:t>
      </w:r>
      <w:r>
        <w:rPr>
          <w:rFonts w:hint="eastAsia" w:ascii="仿宋_GB2312" w:hAnsi="仿宋_GB2312" w:eastAsia="仿宋_GB2312" w:cs="仿宋_GB2312"/>
          <w:sz w:val="32"/>
          <w:szCs w:val="32"/>
        </w:rPr>
        <w:t>企业</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ascii="仿宋_GB2312" w:hAnsi="仿宋_GB2312" w:eastAsia="仿宋_GB2312" w:cs="仿宋_GB2312"/>
          <w:sz w:val="32"/>
          <w:szCs w:val="32"/>
        </w:rPr>
        <w:t>年度审计报告保持一致。</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3.固定资产：</w:t>
      </w:r>
      <w:r>
        <w:rPr>
          <w:rFonts w:ascii="仿宋_GB2312" w:hAnsi="仿宋_GB2312" w:eastAsia="仿宋_GB2312" w:cs="仿宋_GB2312"/>
          <w:sz w:val="32"/>
          <w:szCs w:val="32"/>
        </w:rPr>
        <w:t>必须</w:t>
      </w:r>
      <w:r>
        <w:rPr>
          <w:rFonts w:hint="eastAsia" w:ascii="仿宋_GB2312" w:hAnsi="仿宋_GB2312" w:eastAsia="仿宋_GB2312" w:cs="仿宋_GB2312"/>
          <w:sz w:val="32"/>
          <w:szCs w:val="32"/>
          <w:lang w:eastAsia="zh-CN"/>
        </w:rPr>
        <w:t>与</w:t>
      </w:r>
      <w:r>
        <w:rPr>
          <w:rFonts w:ascii="仿宋_GB2312" w:hAnsi="仿宋_GB2312" w:eastAsia="仿宋_GB2312" w:cs="仿宋_GB2312"/>
          <w:sz w:val="32"/>
          <w:szCs w:val="32"/>
        </w:rPr>
        <w:t>企业20</w:t>
      </w:r>
      <w:r>
        <w:rPr>
          <w:rFonts w:hint="eastAsia" w:ascii="仿宋_GB2312" w:hAnsi="仿宋_GB2312" w:eastAsia="仿宋_GB2312" w:cs="仿宋_GB2312"/>
          <w:sz w:val="32"/>
          <w:szCs w:val="32"/>
          <w:lang w:val="en-US" w:eastAsia="zh-CN"/>
        </w:rPr>
        <w:t>20</w:t>
      </w:r>
      <w:r>
        <w:rPr>
          <w:rFonts w:ascii="仿宋_GB2312" w:hAnsi="仿宋_GB2312" w:eastAsia="仿宋_GB2312" w:cs="仿宋_GB2312"/>
          <w:sz w:val="32"/>
          <w:szCs w:val="32"/>
        </w:rPr>
        <w:t>年度审计报告保持一致。</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4.销售收入或交易额：</w:t>
      </w:r>
      <w:r>
        <w:rPr>
          <w:rFonts w:ascii="仿宋_GB2312" w:hAnsi="仿宋_GB2312" w:eastAsia="仿宋_GB2312" w:cs="仿宋_GB2312"/>
          <w:sz w:val="32"/>
          <w:szCs w:val="32"/>
        </w:rPr>
        <w:t>必须与企业20</w:t>
      </w:r>
      <w:r>
        <w:rPr>
          <w:rFonts w:hint="eastAsia" w:ascii="仿宋_GB2312" w:hAnsi="仿宋_GB2312" w:eastAsia="仿宋_GB2312" w:cs="仿宋_GB2312"/>
          <w:sz w:val="32"/>
          <w:szCs w:val="32"/>
          <w:lang w:val="en-US" w:eastAsia="zh-CN"/>
        </w:rPr>
        <w:t>20</w:t>
      </w:r>
      <w:r>
        <w:rPr>
          <w:rFonts w:ascii="仿宋_GB2312" w:hAnsi="仿宋_GB2312" w:eastAsia="仿宋_GB2312" w:cs="仿宋_GB2312"/>
          <w:sz w:val="32"/>
          <w:szCs w:val="32"/>
        </w:rPr>
        <w:t>年度审计报告保持一致，加工、流通型企业填写销售收入；农产品批发市场填写交易额。</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5.总资产回报率：</w:t>
      </w:r>
      <w:r>
        <w:rPr>
          <w:rFonts w:ascii="仿宋_GB2312" w:hAnsi="仿宋_GB2312" w:eastAsia="仿宋_GB2312" w:cs="仿宋_GB2312"/>
          <w:sz w:val="32"/>
          <w:szCs w:val="32"/>
        </w:rPr>
        <w:t>总资产报酬率应高于当年银行贷款基准利率，20</w:t>
      </w:r>
      <w:r>
        <w:rPr>
          <w:rFonts w:hint="eastAsia" w:ascii="仿宋_GB2312" w:hAnsi="仿宋_GB2312" w:eastAsia="仿宋_GB2312" w:cs="仿宋_GB2312"/>
          <w:sz w:val="32"/>
          <w:szCs w:val="32"/>
          <w:lang w:val="en-US" w:eastAsia="zh-CN"/>
        </w:rPr>
        <w:t>20</w:t>
      </w:r>
      <w:r>
        <w:rPr>
          <w:rFonts w:ascii="仿宋_GB2312" w:hAnsi="仿宋_GB2312" w:eastAsia="仿宋_GB2312" w:cs="仿宋_GB2312"/>
          <w:sz w:val="32"/>
          <w:szCs w:val="32"/>
        </w:rPr>
        <w:t>年银行贷款基准利率按照</w:t>
      </w:r>
      <w:r>
        <w:rPr>
          <w:rFonts w:hint="eastAsia" w:ascii="仿宋_GB2312" w:hAnsi="仿宋_GB2312" w:eastAsia="仿宋_GB2312" w:cs="仿宋_GB2312"/>
          <w:sz w:val="32"/>
          <w:szCs w:val="32"/>
          <w:lang w:val="en-US" w:eastAsia="zh-CN"/>
        </w:rPr>
        <w:t>3.85</w:t>
      </w:r>
      <w:r>
        <w:rPr>
          <w:rFonts w:ascii="仿宋_GB2312" w:hAnsi="仿宋_GB2312" w:eastAsia="仿宋_GB2312" w:cs="仿宋_GB2312"/>
          <w:sz w:val="32"/>
          <w:szCs w:val="32"/>
        </w:rPr>
        <w:t>%计算。总资产报酬率=（税后利润+实际上缴税金总额）÷资产总额。</w:t>
      </w:r>
    </w:p>
    <w:p>
      <w:pPr>
        <w:spacing w:line="60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6.资产负债率：</w:t>
      </w:r>
      <w:r>
        <w:rPr>
          <w:rFonts w:ascii="仿宋_GB2312" w:hAnsi="仿宋_GB2312" w:eastAsia="仿宋_GB2312" w:cs="仿宋_GB2312"/>
          <w:sz w:val="32"/>
          <w:szCs w:val="32"/>
        </w:rPr>
        <w:t>资产负债率=期末总负债÷期末总资产。</w:t>
      </w:r>
    </w:p>
    <w:p>
      <w:pPr>
        <w:spacing w:line="600" w:lineRule="exact"/>
        <w:ind w:left="628" w:leftChars="299"/>
        <w:rPr>
          <w:rFonts w:hint="eastAsia" w:ascii="仿宋_GB2312" w:hAnsi="仿宋_GB2312" w:eastAsia="仿宋_GB2312" w:cs="仿宋_GB2312"/>
          <w:sz w:val="32"/>
          <w:szCs w:val="32"/>
        </w:rPr>
      </w:pPr>
      <w:r>
        <w:rPr>
          <w:rFonts w:ascii="仿宋_GB2312" w:hAnsi="仿宋_GB2312" w:eastAsia="仿宋_GB2312" w:cs="仿宋_GB2312"/>
          <w:b/>
          <w:bCs/>
          <w:sz w:val="32"/>
          <w:szCs w:val="32"/>
        </w:rPr>
        <w:t>7.信用等级：</w:t>
      </w:r>
      <w:r>
        <w:rPr>
          <w:rFonts w:ascii="仿宋_GB2312" w:hAnsi="仿宋_GB2312" w:eastAsia="仿宋_GB2312" w:cs="仿宋_GB2312"/>
          <w:sz w:val="32"/>
          <w:szCs w:val="32"/>
        </w:rPr>
        <w:t>根据企业开户银行出具的</w:t>
      </w:r>
      <w:r>
        <w:rPr>
          <w:rFonts w:hint="eastAsia" w:ascii="仿宋_GB2312" w:hAnsi="仿宋_GB2312" w:eastAsia="仿宋_GB2312" w:cs="仿宋_GB2312"/>
          <w:sz w:val="32"/>
          <w:szCs w:val="32"/>
        </w:rPr>
        <w:t>信用等级</w:t>
      </w:r>
      <w:r>
        <w:rPr>
          <w:rFonts w:ascii="仿宋_GB2312" w:hAnsi="仿宋_GB2312" w:eastAsia="仿宋_GB2312" w:cs="仿宋_GB2312"/>
          <w:sz w:val="32"/>
          <w:szCs w:val="32"/>
        </w:rPr>
        <w:t>证明如</w:t>
      </w:r>
    </w:p>
    <w:p>
      <w:pPr>
        <w:spacing w:line="600" w:lineRule="exact"/>
        <w:rPr>
          <w:rFonts w:hint="eastAsia" w:ascii="仿宋_GB2312" w:hAnsi="仿宋_GB2312" w:eastAsia="仿宋_GB2312" w:cs="仿宋_GB2312"/>
          <w:sz w:val="32"/>
          <w:szCs w:val="32"/>
        </w:rPr>
      </w:pPr>
      <w:r>
        <w:rPr>
          <w:rFonts w:ascii="仿宋_GB2312" w:hAnsi="仿宋_GB2312" w:eastAsia="仿宋_GB2312" w:cs="仿宋_GB2312"/>
          <w:sz w:val="32"/>
          <w:szCs w:val="32"/>
        </w:rPr>
        <w:t xml:space="preserve">实填写。 </w:t>
      </w:r>
    </w:p>
    <w:p>
      <w:pPr>
        <w:spacing w:line="600" w:lineRule="exact"/>
        <w:ind w:firstLine="630" w:firstLineChars="196"/>
        <w:rPr>
          <w:rFonts w:ascii="仿宋_GB2312" w:hAnsi="仿宋_GB2312" w:eastAsia="仿宋_GB2312" w:cs="仿宋_GB2312"/>
          <w:sz w:val="32"/>
          <w:szCs w:val="32"/>
        </w:rPr>
      </w:pPr>
      <w:r>
        <w:rPr>
          <w:rFonts w:ascii="仿宋_GB2312" w:hAnsi="仿宋_GB2312" w:eastAsia="仿宋_GB2312" w:cs="仿宋_GB2312"/>
          <w:b/>
          <w:bCs/>
          <w:sz w:val="32"/>
          <w:szCs w:val="32"/>
        </w:rPr>
        <w:t>8.带动农户数：</w:t>
      </w:r>
      <w:r>
        <w:rPr>
          <w:rFonts w:ascii="仿宋_GB2312" w:hAnsi="仿宋_GB2312" w:eastAsia="仿宋_GB2312" w:cs="仿宋_GB2312"/>
          <w:sz w:val="32"/>
          <w:szCs w:val="32"/>
        </w:rPr>
        <w:t>根据</w:t>
      </w:r>
      <w:r>
        <w:rPr>
          <w:rFonts w:ascii="仿宋_GB2312" w:eastAsia="仿宋_GB2312"/>
          <w:sz w:val="32"/>
        </w:rPr>
        <w:t>农经部门出具的证明如实填写</w:t>
      </w:r>
      <w:r>
        <w:rPr>
          <w:rFonts w:ascii="仿宋_GB2312" w:hAnsi="仿宋_GB2312" w:eastAsia="仿宋_GB2312" w:cs="仿宋_GB2312"/>
          <w:sz w:val="32"/>
          <w:szCs w:val="32"/>
        </w:rPr>
        <w:t>。</w:t>
      </w:r>
    </w:p>
    <w:p>
      <w:pPr>
        <w:spacing w:line="60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9.合同、入股及合作方式采购原料值占原料采购总值比例：</w:t>
      </w:r>
      <w:r>
        <w:rPr>
          <w:rFonts w:ascii="仿宋_GB2312" w:eastAsia="仿宋_GB2312"/>
          <w:color w:val="000000"/>
          <w:kern w:val="0"/>
          <w:sz w:val="32"/>
        </w:rPr>
        <w:t>即企业通过订立合同、入股和合作方式采购的原料总额占企业所需原料采购总额的比例</w:t>
      </w:r>
      <w:r>
        <w:rPr>
          <w:rFonts w:ascii="仿宋_GB2312" w:hAnsi="仿宋_GB2312" w:eastAsia="仿宋_GB2312" w:cs="仿宋_GB2312"/>
          <w:sz w:val="32"/>
          <w:szCs w:val="32"/>
        </w:rPr>
        <w:t>。</w:t>
      </w:r>
    </w:p>
    <w:p>
      <w:pPr>
        <w:spacing w:line="600" w:lineRule="exact"/>
        <w:ind w:firstLine="643"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10.产品产销率：</w:t>
      </w:r>
      <w:r>
        <w:rPr>
          <w:rFonts w:ascii="仿宋_GB2312" w:eastAsia="仿宋_GB2312"/>
          <w:color w:val="000000"/>
          <w:kern w:val="0"/>
          <w:sz w:val="32"/>
        </w:rPr>
        <w:t>填写20</w:t>
      </w:r>
      <w:r>
        <w:rPr>
          <w:rFonts w:hint="eastAsia" w:ascii="仿宋_GB2312" w:eastAsia="仿宋_GB2312"/>
          <w:color w:val="000000"/>
          <w:kern w:val="0"/>
          <w:sz w:val="32"/>
          <w:lang w:val="en-US" w:eastAsia="zh-CN"/>
        </w:rPr>
        <w:t>20</w:t>
      </w:r>
      <w:r>
        <w:rPr>
          <w:rFonts w:ascii="仿宋_GB2312" w:eastAsia="仿宋_GB2312"/>
          <w:color w:val="000000"/>
          <w:kern w:val="0"/>
          <w:sz w:val="32"/>
        </w:rPr>
        <w:t>年企业主营产品销售量与生产加工量之比</w:t>
      </w:r>
      <w:r>
        <w:rPr>
          <w:rFonts w:ascii="仿宋_GB2312" w:eastAsia="仿宋_GB2312"/>
          <w:sz w:val="32"/>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76904"/>
    <w:rsid w:val="52A76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2021-10-12T14:39:00Z</dcterms:created>
  <dc:creator>木易</dc:creator>
  <cp:lastModifiedBy>木易</cp:lastModifiedBy>
  <dcterms:modified xsi:type="dcterms:W3CDTF">2021-10-12T14:39:14Z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7FCEE27839B549A08FCDE56F67405621</vt:lpwstr>
  </property>
</Properties>
</file>